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E2" w:rsidRPr="00EA48F2" w:rsidRDefault="009334E2" w:rsidP="00A678AD">
      <w:pPr>
        <w:pStyle w:val="PaperTitle"/>
        <w:rPr>
          <w:b w:val="0"/>
          <w:bCs/>
          <w:szCs w:val="24"/>
        </w:rPr>
      </w:pPr>
      <w:r w:rsidRPr="00EA48F2">
        <w:rPr>
          <w:szCs w:val="24"/>
        </w:rPr>
        <w:t>THE DOMESTIC VIOLENCE SCREENING THROUGH THE EMPOWERMENT OF MENTAL HEALTH CADRES</w:t>
      </w:r>
    </w:p>
    <w:p w:rsidR="009334E2" w:rsidRPr="00A678AD" w:rsidRDefault="009334E2" w:rsidP="00A678AD">
      <w:pPr>
        <w:pStyle w:val="AuthorName"/>
        <w:rPr>
          <w:sz w:val="24"/>
          <w:szCs w:val="24"/>
        </w:rPr>
      </w:pPr>
      <w:r w:rsidRPr="00A678AD">
        <w:rPr>
          <w:sz w:val="24"/>
          <w:szCs w:val="24"/>
        </w:rPr>
        <w:t xml:space="preserve">. </w:t>
      </w:r>
      <w:r w:rsidRPr="00EA48F2">
        <w:rPr>
          <w:szCs w:val="24"/>
        </w:rPr>
        <w:t>Erna Erawati</w:t>
      </w:r>
      <w:r w:rsidRPr="00EA48F2">
        <w:rPr>
          <w:szCs w:val="24"/>
          <w:vertAlign w:val="superscript"/>
        </w:rPr>
        <w:t xml:space="preserve"> 1,a)</w:t>
      </w:r>
      <w:r w:rsidRPr="00EA48F2">
        <w:rPr>
          <w:szCs w:val="24"/>
        </w:rPr>
        <w:t xml:space="preserve"> and Hermani Triredjeki, Sunarmi, Adi Isworo</w:t>
      </w:r>
      <w:r w:rsidR="00BC1DA9" w:rsidRPr="00EA48F2">
        <w:rPr>
          <w:szCs w:val="24"/>
        </w:rPr>
        <w:t>, Bambang Sarwono</w:t>
      </w:r>
      <w:r w:rsidRPr="00EA48F2">
        <w:rPr>
          <w:szCs w:val="24"/>
          <w:vertAlign w:val="superscript"/>
        </w:rPr>
        <w:t xml:space="preserve"> 2, 3, b)</w:t>
      </w:r>
      <w:r w:rsidRPr="00EA48F2">
        <w:rPr>
          <w:szCs w:val="24"/>
          <w:vertAlign w:val="superscript"/>
        </w:rPr>
        <w:br/>
      </w:r>
    </w:p>
    <w:p w:rsidR="009334E2" w:rsidRPr="00EA48F2" w:rsidRDefault="009334E2" w:rsidP="00A678AD">
      <w:pPr>
        <w:pStyle w:val="AuthorAffiliation"/>
      </w:pPr>
      <w:r w:rsidRPr="00EA48F2">
        <w:rPr>
          <w:i w:val="0"/>
          <w:iCs/>
          <w:vertAlign w:val="superscript"/>
        </w:rPr>
        <w:t xml:space="preserve">1, 2, ,3, 4 </w:t>
      </w:r>
      <w:r w:rsidRPr="00EA48F2">
        <w:rPr>
          <w:i w:val="0"/>
          <w:iCs/>
        </w:rPr>
        <w:t>Poltekkes Kemenkes Semarang (</w:t>
      </w:r>
      <w:r w:rsidRPr="00EA48F2">
        <w:t>Jalan Perintis Kemerdekaan, Magelang</w:t>
      </w:r>
      <w:r w:rsidRPr="00EA48F2">
        <w:rPr>
          <w:i w:val="0"/>
          <w:iCs/>
        </w:rPr>
        <w:t>)</w:t>
      </w:r>
      <w:r w:rsidRPr="00EA48F2">
        <w:t xml:space="preserve">. </w:t>
      </w:r>
    </w:p>
    <w:p w:rsidR="009334E2" w:rsidRPr="00EA48F2" w:rsidRDefault="009334E2" w:rsidP="00A678AD">
      <w:pPr>
        <w:pStyle w:val="AuthorAffiliation"/>
      </w:pPr>
      <w:r w:rsidRPr="00EA48F2">
        <w:t>here.</w:t>
      </w:r>
    </w:p>
    <w:p w:rsidR="009334E2" w:rsidRPr="00EA48F2" w:rsidRDefault="009334E2" w:rsidP="00A678AD">
      <w:pPr>
        <w:pStyle w:val="AuthorEmail"/>
        <w:rPr>
          <w:rStyle w:val="Hyperlink"/>
        </w:rPr>
      </w:pPr>
      <w:r w:rsidRPr="00EA48F2">
        <w:br/>
      </w:r>
      <w:r w:rsidRPr="00EA48F2">
        <w:rPr>
          <w:vertAlign w:val="superscript"/>
        </w:rPr>
        <w:t>a)</w:t>
      </w:r>
      <w:r w:rsidRPr="00EA48F2">
        <w:t>Corresponding author: ernaerawati57@yahoo.com</w:t>
      </w:r>
      <w:r w:rsidRPr="00EA48F2">
        <w:rPr>
          <w:i/>
        </w:rPr>
        <w:br/>
      </w:r>
      <w:r w:rsidRPr="00EA48F2">
        <w:rPr>
          <w:vertAlign w:val="superscript"/>
        </w:rPr>
        <w:t>b)</w:t>
      </w:r>
      <w:r w:rsidRPr="00EA48F2">
        <w:t xml:space="preserve"> </w:t>
      </w:r>
      <w:hyperlink r:id="rId8" w:history="1">
        <w:r w:rsidRPr="00EA48F2">
          <w:rPr>
            <w:rStyle w:val="Hyperlink"/>
          </w:rPr>
          <w:t>hermanitriredjeki@ymail.com</w:t>
        </w:r>
      </w:hyperlink>
    </w:p>
    <w:p w:rsidR="009334E2" w:rsidRPr="00EA48F2" w:rsidRDefault="00FE0DF7" w:rsidP="00A678AD">
      <w:pPr>
        <w:pStyle w:val="AuthorEmail"/>
        <w:rPr>
          <w:rStyle w:val="Hyperlink"/>
        </w:rPr>
      </w:pPr>
      <w:hyperlink r:id="rId9" w:history="1">
        <w:r w:rsidR="009334E2" w:rsidRPr="00EA48F2">
          <w:rPr>
            <w:rStyle w:val="Hyperlink"/>
          </w:rPr>
          <w:t>sunarmiko@gmail.com</w:t>
        </w:r>
      </w:hyperlink>
    </w:p>
    <w:p w:rsidR="009334E2" w:rsidRPr="00EA48F2" w:rsidRDefault="00FE0DF7" w:rsidP="00A678AD">
      <w:pPr>
        <w:pStyle w:val="AuthorEmail"/>
        <w:rPr>
          <w:rStyle w:val="Hyperlink"/>
        </w:rPr>
      </w:pPr>
      <w:hyperlink r:id="rId10" w:history="1">
        <w:r w:rsidR="006A7FAA" w:rsidRPr="00EA48F2">
          <w:rPr>
            <w:rStyle w:val="Hyperlink"/>
          </w:rPr>
          <w:t>adiisworo@yahoo.com</w:t>
        </w:r>
      </w:hyperlink>
    </w:p>
    <w:p w:rsidR="006A7FAA" w:rsidRPr="00EA48F2" w:rsidRDefault="006A7FAA" w:rsidP="00A678AD">
      <w:pPr>
        <w:pStyle w:val="AuthorEmail"/>
        <w:rPr>
          <w:rStyle w:val="Hyperlink"/>
        </w:rPr>
      </w:pPr>
      <w:r w:rsidRPr="00EA48F2">
        <w:rPr>
          <w:rStyle w:val="Hyperlink"/>
        </w:rPr>
        <w:t>bambangsmgl@gmail.com</w:t>
      </w:r>
    </w:p>
    <w:p w:rsidR="009334E2" w:rsidRPr="00EA48F2" w:rsidRDefault="009334E2" w:rsidP="00A678AD">
      <w:pPr>
        <w:pStyle w:val="Abstract"/>
        <w:rPr>
          <w:szCs w:val="18"/>
        </w:rPr>
      </w:pPr>
      <w:r w:rsidRPr="00EA48F2">
        <w:rPr>
          <w:b/>
          <w:szCs w:val="18"/>
        </w:rPr>
        <w:t>Abstract</w:t>
      </w:r>
      <w:r w:rsidRPr="00EA48F2">
        <w:rPr>
          <w:szCs w:val="18"/>
        </w:rPr>
        <w:t>. Domestic violence spans across cultures and many countries include Indonesia. In the women and children perspectives, it is taboo to report the domestic violence because it is a private matter, not for the public domain. Therefore domestic violence screening through the empowerment and mentoring of mental health cadres is needed to raise awareness of domestic violence in rural community. The aim of this study is to explore the influence of the empowerment and mentoring of mental health cadres on screening domestic violence. A quasi experimental was conducted among mental health cadres. The total sampling derived from six sub district of Kalegen village. Data were analyzed by using SPSS (version 19). A total sample of 22 mental health cadres aged between 28 years to 49 years. There is a high significant screening capability in pretest-posttest after empowerment and  mentoring of mental health cadres (p&gt; .001). The empowerment and mentoring of mental health cadres on screening domestic violence could strengthen support and raising domestic violence awareness. This intervention should become a part of community health program in community. A longitudinal study can be carried out to prevent domestic violence.</w:t>
      </w:r>
    </w:p>
    <w:p w:rsidR="009334E2" w:rsidRPr="00EA48F2" w:rsidRDefault="009334E2" w:rsidP="00A678AD">
      <w:pPr>
        <w:pStyle w:val="Abstract"/>
        <w:rPr>
          <w:szCs w:val="18"/>
        </w:rPr>
      </w:pPr>
      <w:r w:rsidRPr="00EA48F2">
        <w:rPr>
          <w:szCs w:val="18"/>
        </w:rPr>
        <w:t>Keywords: domestic violence; mental health cadres; quantitative study.</w:t>
      </w:r>
    </w:p>
    <w:p w:rsidR="00EA48F2" w:rsidRDefault="00EA48F2" w:rsidP="00A678AD">
      <w:pPr>
        <w:pStyle w:val="Heading1"/>
        <w:keepNext/>
        <w:spacing w:before="240" w:beforeAutospacing="0" w:after="240" w:afterAutospacing="0"/>
        <w:jc w:val="center"/>
        <w:rPr>
          <w:bCs w:val="0"/>
          <w:caps/>
          <w:kern w:val="0"/>
          <w:sz w:val="24"/>
          <w:szCs w:val="24"/>
        </w:rPr>
      </w:pPr>
    </w:p>
    <w:p w:rsidR="009334E2" w:rsidRPr="00EA48F2" w:rsidRDefault="009334E2" w:rsidP="00A678AD">
      <w:pPr>
        <w:pStyle w:val="Heading1"/>
        <w:keepNext/>
        <w:spacing w:before="240" w:beforeAutospacing="0" w:after="240" w:afterAutospacing="0"/>
        <w:jc w:val="center"/>
        <w:rPr>
          <w:bCs w:val="0"/>
          <w:caps/>
          <w:kern w:val="0"/>
          <w:sz w:val="24"/>
          <w:szCs w:val="24"/>
        </w:rPr>
      </w:pPr>
      <w:r w:rsidRPr="00EA48F2">
        <w:rPr>
          <w:bCs w:val="0"/>
          <w:caps/>
          <w:kern w:val="0"/>
          <w:sz w:val="24"/>
          <w:szCs w:val="24"/>
        </w:rPr>
        <w:t>INTRODUCTION</w:t>
      </w:r>
    </w:p>
    <w:p w:rsidR="005B14A5" w:rsidRPr="00EA48F2" w:rsidRDefault="005B14A5" w:rsidP="00A678AD">
      <w:pPr>
        <w:pStyle w:val="Heading1"/>
        <w:spacing w:before="0" w:beforeAutospacing="0" w:after="0" w:afterAutospacing="0"/>
        <w:jc w:val="both"/>
        <w:rPr>
          <w:b w:val="0"/>
          <w:color w:val="000000"/>
          <w:sz w:val="24"/>
          <w:szCs w:val="24"/>
        </w:rPr>
      </w:pPr>
      <w:r w:rsidRPr="00EA48F2">
        <w:rPr>
          <w:b w:val="0"/>
          <w:sz w:val="24"/>
          <w:szCs w:val="24"/>
        </w:rPr>
        <w:t xml:space="preserve">Domestic violence spans across cultures and many countries. </w:t>
      </w:r>
      <w:r w:rsidRPr="00EA48F2">
        <w:rPr>
          <w:b w:val="0"/>
          <w:color w:val="000000"/>
          <w:sz w:val="24"/>
          <w:szCs w:val="24"/>
        </w:rPr>
        <w:t>The prevalence domestic violence in Southeast Asia was 37.7% (WHO, 2013).</w:t>
      </w:r>
      <w:r w:rsidRPr="00EA48F2">
        <w:rPr>
          <w:b w:val="0"/>
          <w:sz w:val="24"/>
          <w:szCs w:val="24"/>
        </w:rPr>
        <w:t xml:space="preserve"> </w:t>
      </w:r>
      <w:r w:rsidRPr="00EA48F2">
        <w:rPr>
          <w:b w:val="0"/>
          <w:color w:val="000000"/>
          <w:sz w:val="24"/>
          <w:szCs w:val="24"/>
        </w:rPr>
        <w:t xml:space="preserve">Domestic violence is a patterns of coercive behavior in a relationship used to maintain power and control over in directed and non directed form. Although domestic violence is common experienced by women (Heise, 2011), but another study put men as a victim of domestic violence (Lövestad &amp; Krantz, 2012; Nybergh et al, 2013). According to national socioeconomic survey 2006, the estimation level of women victim in Central Java province, Indonesia is 3.4 and more than half (55,1%), violence conduct by their spouse (Utami, 2013). Nearly two out of three women victims of violence in both urban and rural areas have experienced in humiliation (Utami, 2013). </w:t>
      </w:r>
    </w:p>
    <w:p w:rsidR="005B14A5" w:rsidRPr="00EA48F2" w:rsidRDefault="005B14A5" w:rsidP="00A678AD">
      <w:pPr>
        <w:pStyle w:val="Heading1"/>
        <w:spacing w:before="0" w:beforeAutospacing="0" w:after="0" w:afterAutospacing="0"/>
        <w:jc w:val="both"/>
        <w:rPr>
          <w:b w:val="0"/>
          <w:color w:val="000000"/>
          <w:sz w:val="24"/>
          <w:szCs w:val="24"/>
        </w:rPr>
      </w:pPr>
      <w:r w:rsidRPr="00EA48F2">
        <w:rPr>
          <w:b w:val="0"/>
          <w:color w:val="000000"/>
          <w:sz w:val="24"/>
          <w:szCs w:val="24"/>
        </w:rPr>
        <w:lastRenderedPageBreak/>
        <w:t xml:space="preserve">Indonesia has implemented prevention programs to reduce violence against women, particularly domestic violence. The domestic violence intervention was aimed to prevent further impact to victim such as post traumatic stress disorder (PTSD), depression, HIV, and other traumas such as battered women syndrome (Hien &amp; </w:t>
      </w:r>
      <w:hyperlink r:id="rId11" w:history="1">
        <w:r w:rsidRPr="00EA48F2">
          <w:rPr>
            <w:b w:val="0"/>
            <w:color w:val="000000"/>
            <w:sz w:val="24"/>
            <w:szCs w:val="24"/>
          </w:rPr>
          <w:t>Ruglass</w:t>
        </w:r>
      </w:hyperlink>
      <w:r w:rsidRPr="00EA48F2">
        <w:rPr>
          <w:b w:val="0"/>
          <w:color w:val="000000"/>
          <w:sz w:val="24"/>
          <w:szCs w:val="24"/>
        </w:rPr>
        <w:t xml:space="preserve">, 2009). </w:t>
      </w:r>
    </w:p>
    <w:p w:rsidR="005B14A5" w:rsidRPr="00EA48F2" w:rsidRDefault="005B14A5" w:rsidP="00A678AD">
      <w:pPr>
        <w:pStyle w:val="Heading1"/>
        <w:spacing w:before="0" w:beforeAutospacing="0" w:after="0" w:afterAutospacing="0"/>
        <w:jc w:val="both"/>
        <w:rPr>
          <w:b w:val="0"/>
          <w:color w:val="000000"/>
          <w:sz w:val="24"/>
          <w:szCs w:val="24"/>
        </w:rPr>
      </w:pPr>
    </w:p>
    <w:p w:rsidR="005B14A5" w:rsidRPr="00EA48F2" w:rsidRDefault="005B14A5" w:rsidP="00A678AD">
      <w:pPr>
        <w:pStyle w:val="Heading1"/>
        <w:spacing w:before="0" w:beforeAutospacing="0" w:after="0" w:afterAutospacing="0"/>
        <w:jc w:val="both"/>
        <w:rPr>
          <w:b w:val="0"/>
          <w:color w:val="000000"/>
          <w:sz w:val="24"/>
          <w:szCs w:val="24"/>
        </w:rPr>
      </w:pPr>
      <w:r w:rsidRPr="00EA48F2">
        <w:rPr>
          <w:b w:val="0"/>
          <w:color w:val="000000"/>
          <w:sz w:val="24"/>
          <w:szCs w:val="24"/>
        </w:rPr>
        <w:t>The most common cause domestic violence is economic difficulty. This cause is a majority trigger the domestic violence in Magelang. Kalegen village is a rural community in Magelang district, Central Java Province. Most of people in Kalegen village have a taboo perspectives in reporting domestic violence. This is supported by another findings mentioned that most of women choose not to report their abuse experiences to the police (</w:t>
      </w:r>
      <w:hyperlink r:id="rId12" w:anchor="R73" w:history="1">
        <w:r w:rsidRPr="00EA48F2">
          <w:rPr>
            <w:b w:val="0"/>
            <w:color w:val="000000"/>
            <w:sz w:val="24"/>
            <w:szCs w:val="24"/>
          </w:rPr>
          <w:t>Rennison &amp; Welchans, 2000</w:t>
        </w:r>
      </w:hyperlink>
      <w:r w:rsidRPr="00EA48F2">
        <w:rPr>
          <w:b w:val="0"/>
          <w:color w:val="000000"/>
          <w:sz w:val="24"/>
          <w:szCs w:val="24"/>
        </w:rPr>
        <w:t>; </w:t>
      </w:r>
      <w:hyperlink r:id="rId13" w:anchor="R88" w:history="1">
        <w:r w:rsidRPr="00EA48F2">
          <w:rPr>
            <w:b w:val="0"/>
            <w:color w:val="000000"/>
            <w:sz w:val="24"/>
            <w:szCs w:val="24"/>
          </w:rPr>
          <w:t>Tjaden &amp; Thoennes, 2000</w:t>
        </w:r>
      </w:hyperlink>
      <w:r w:rsidRPr="00EA48F2">
        <w:rPr>
          <w:b w:val="0"/>
          <w:color w:val="000000"/>
          <w:sz w:val="24"/>
          <w:szCs w:val="24"/>
        </w:rPr>
        <w:t xml:space="preserve">). Therefore we choose Kalegen as a pilot project of domestic violence prevention through the empowerment and mentoring of mental health cadres in rural community. We also consider that Kalegen village is being a part of Desa Siaga Sehat Jiwa (DSSJ) program. DSSJ program focused on community mental health and the program based on community mental health nursing model (Keliat, et al, 2011). </w:t>
      </w:r>
      <w:r w:rsidRPr="00EA48F2">
        <w:rPr>
          <w:b w:val="0"/>
          <w:color w:val="333333"/>
          <w:sz w:val="24"/>
          <w:szCs w:val="24"/>
        </w:rPr>
        <w:t>This</w:t>
      </w:r>
      <w:r w:rsidRPr="00EA48F2">
        <w:rPr>
          <w:color w:val="333333"/>
          <w:sz w:val="24"/>
          <w:szCs w:val="24"/>
        </w:rPr>
        <w:t xml:space="preserve"> </w:t>
      </w:r>
      <w:r w:rsidRPr="00EA48F2">
        <w:rPr>
          <w:b w:val="0"/>
          <w:color w:val="000000"/>
          <w:sz w:val="24"/>
          <w:szCs w:val="24"/>
        </w:rPr>
        <w:t>program is developed since 2006 after tsunami Aceh, and spread across province in Indonesia. In Kalegen village itself, this program developed as the result of corporation between Bandongan community health center and Poltekkes Kesehatan Kemenkes Semarang.</w:t>
      </w:r>
    </w:p>
    <w:p w:rsidR="005B14A5" w:rsidRPr="00EA48F2" w:rsidRDefault="005B14A5" w:rsidP="00A678AD">
      <w:pPr>
        <w:pStyle w:val="Heading1"/>
        <w:spacing w:before="0" w:beforeAutospacing="0" w:after="0" w:afterAutospacing="0"/>
        <w:jc w:val="both"/>
        <w:rPr>
          <w:b w:val="0"/>
          <w:color w:val="000000"/>
          <w:sz w:val="24"/>
          <w:szCs w:val="24"/>
        </w:rPr>
      </w:pPr>
    </w:p>
    <w:p w:rsidR="005B14A5" w:rsidRPr="00EA48F2" w:rsidRDefault="005B14A5" w:rsidP="00A678AD">
      <w:pPr>
        <w:pStyle w:val="Heading1"/>
        <w:spacing w:before="0" w:beforeAutospacing="0" w:after="0" w:afterAutospacing="0"/>
        <w:jc w:val="center"/>
        <w:rPr>
          <w:color w:val="000000"/>
          <w:sz w:val="24"/>
          <w:szCs w:val="24"/>
        </w:rPr>
      </w:pPr>
      <w:r w:rsidRPr="00EA48F2">
        <w:rPr>
          <w:color w:val="000000"/>
          <w:sz w:val="24"/>
          <w:szCs w:val="24"/>
        </w:rPr>
        <w:t>METHOD</w:t>
      </w:r>
    </w:p>
    <w:p w:rsidR="005B14A5" w:rsidRPr="00EA48F2" w:rsidRDefault="005B14A5" w:rsidP="00A678AD">
      <w:pPr>
        <w:pStyle w:val="Heading1"/>
        <w:spacing w:before="0" w:beforeAutospacing="0" w:after="0" w:afterAutospacing="0"/>
        <w:jc w:val="both"/>
        <w:rPr>
          <w:b w:val="0"/>
          <w:color w:val="000000"/>
          <w:sz w:val="24"/>
          <w:szCs w:val="24"/>
        </w:rPr>
      </w:pPr>
      <w:r w:rsidRPr="00EA48F2">
        <w:rPr>
          <w:b w:val="0"/>
          <w:color w:val="000000"/>
          <w:sz w:val="24"/>
          <w:szCs w:val="24"/>
        </w:rPr>
        <w:t xml:space="preserve">We conducted a quasi experimental study using quantitative statistical method with one-group pretest-posttest design. There are eight stages in empowerment and mentoring of mental health cadres. First, welcome and orientation. In this stage mental health cadres met in the meeting followed by community nurses from Bandongan community health center and also stakeholder in Kalegen village which consisted of religious leader, the head of the district, health staff. Second stage, community psychiatric nurses gives an educational program about domestic violence screening for mental health cadres. Third stage, mental health cadres support &amp; experience sharing about domestic violence. Fourth stage, knowing the impact of stress, setting and monitoring goals. Fifth stage, domestic violence prevention. Sixth stage, mental health cadres </w:t>
      </w:r>
      <w:r w:rsidRPr="00EA48F2">
        <w:rPr>
          <w:b w:val="0"/>
          <w:sz w:val="24"/>
          <w:szCs w:val="24"/>
        </w:rPr>
        <w:t>build a networks of domestic violence awareness. Seventh stage, mentoring</w:t>
      </w:r>
      <w:r w:rsidRPr="00EA48F2">
        <w:rPr>
          <w:b w:val="0"/>
          <w:color w:val="000000"/>
          <w:sz w:val="24"/>
          <w:szCs w:val="24"/>
        </w:rPr>
        <w:t xml:space="preserve"> mental health cadres  for domestic violence in six sub district in Kalegen village.  The six sub district are Dusun Kalegen; Dusun Kaweron, Dusun Banyuwangi, Dusun Kiringan, Dusun Dileman, and Dusun Karanglo. Mental health cadres socialize the </w:t>
      </w:r>
      <w:r w:rsidRPr="00EA48F2">
        <w:rPr>
          <w:b w:val="0"/>
          <w:sz w:val="24"/>
          <w:szCs w:val="24"/>
        </w:rPr>
        <w:t>networks of domestic violence awareness to community.</w:t>
      </w:r>
      <w:r w:rsidRPr="00EA48F2">
        <w:rPr>
          <w:b w:val="0"/>
          <w:color w:val="000000"/>
          <w:sz w:val="24"/>
          <w:szCs w:val="24"/>
        </w:rPr>
        <w:t xml:space="preserve"> Eighth stage, recognizing progress &amp; staying on track. All stage need 50 hours to implement this program. A total  participants of 22 mental health cadres who underwent their Desa Siaga Sehat Jiwa (DSSJ) program  by community psychiatric nurses participated in this study. </w:t>
      </w:r>
    </w:p>
    <w:p w:rsidR="005B14A5" w:rsidRPr="00EA48F2" w:rsidRDefault="005B14A5" w:rsidP="00A678AD">
      <w:pPr>
        <w:spacing w:after="0" w:line="240" w:lineRule="auto"/>
        <w:jc w:val="both"/>
        <w:outlineLvl w:val="2"/>
        <w:rPr>
          <w:rFonts w:ascii="Times New Roman" w:eastAsia="Times New Roman" w:hAnsi="Times New Roman"/>
          <w:b/>
          <w:bCs/>
          <w:sz w:val="24"/>
          <w:szCs w:val="24"/>
        </w:rPr>
      </w:pPr>
    </w:p>
    <w:p w:rsidR="005B14A5" w:rsidRPr="00EA48F2" w:rsidRDefault="005B14A5" w:rsidP="00A678AD">
      <w:pPr>
        <w:spacing w:after="0" w:line="240" w:lineRule="auto"/>
        <w:jc w:val="both"/>
        <w:outlineLvl w:val="2"/>
        <w:rPr>
          <w:rFonts w:ascii="Times New Roman" w:eastAsia="Times New Roman" w:hAnsi="Times New Roman"/>
          <w:bCs/>
          <w:sz w:val="24"/>
          <w:szCs w:val="24"/>
        </w:rPr>
      </w:pPr>
      <w:r w:rsidRPr="00EA48F2">
        <w:rPr>
          <w:rFonts w:ascii="Times New Roman" w:eastAsia="Times New Roman" w:hAnsi="Times New Roman"/>
          <w:bCs/>
          <w:sz w:val="24"/>
          <w:szCs w:val="24"/>
        </w:rPr>
        <w:t>This study approval was obtained from the Ethics Committee of Poltekkes Kemenkes Semarang. The mental health cadres signed informed consent prior to the study. Informed consent was obtained from all individual participants included in the study. It was agreed that this research would be carried out according to Declaration of Helsinki.</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 xml:space="preserve">We developed an instrument to measure the domestic violence screening among mental health cadres that consisted of detection and give support from Domestic Violence Questionnaire (Indu, et al, 2011; Patmisari, 2014, Fransiska, 2012). After  the questionnaire was pre-tested by expert validity, there were 16 items to assess the ability of detecting and 11 items to assess the ability of </w:t>
      </w:r>
      <w:r w:rsidRPr="00EA48F2">
        <w:rPr>
          <w:b w:val="0"/>
          <w:sz w:val="24"/>
          <w:szCs w:val="24"/>
        </w:rPr>
        <w:lastRenderedPageBreak/>
        <w:t>giving support. Each item was scored from 1 to 4 (1: once/twice, 2: 3–5 times, 3: 6–10 times, and 4: 11 times or more). The instrument in this study has been found to have high internal consistency (alpha = .96). One weeks after the baseline, that is, after one complete program, a re-assessment was conducted. Within 12 weeks mental health cadres could complete the training.  The capability of mental health cadres were conducted pre- and post intervention to measure the influence of the empowerment and mentoring of mental health cadres on domestic violence screening. Response rate of the 22 mental health cadres participated for this study was high (100%).</w:t>
      </w:r>
    </w:p>
    <w:p w:rsidR="005B14A5" w:rsidRPr="00EA48F2" w:rsidRDefault="005B14A5" w:rsidP="00A678AD">
      <w:pPr>
        <w:spacing w:after="0" w:line="240" w:lineRule="auto"/>
        <w:jc w:val="both"/>
        <w:outlineLvl w:val="2"/>
        <w:rPr>
          <w:rFonts w:ascii="Times New Roman" w:eastAsia="Times New Roman" w:hAnsi="Times New Roman"/>
          <w:b/>
          <w:bCs/>
          <w:sz w:val="24"/>
          <w:szCs w:val="24"/>
        </w:rPr>
      </w:pPr>
    </w:p>
    <w:p w:rsidR="005B14A5" w:rsidRPr="00EA48F2" w:rsidRDefault="005B14A5" w:rsidP="00A678AD">
      <w:pPr>
        <w:spacing w:after="0" w:line="240" w:lineRule="auto"/>
        <w:jc w:val="center"/>
        <w:outlineLvl w:val="1"/>
        <w:rPr>
          <w:rFonts w:ascii="Times New Roman" w:eastAsia="Times New Roman" w:hAnsi="Times New Roman"/>
          <w:b/>
          <w:bCs/>
          <w:sz w:val="24"/>
          <w:szCs w:val="24"/>
        </w:rPr>
      </w:pPr>
      <w:r w:rsidRPr="00EA48F2">
        <w:rPr>
          <w:rFonts w:ascii="Times New Roman" w:eastAsia="Times New Roman" w:hAnsi="Times New Roman"/>
          <w:b/>
          <w:bCs/>
          <w:sz w:val="24"/>
          <w:szCs w:val="24"/>
        </w:rPr>
        <w:t>RESULTS AND DISCUSSION</w:t>
      </w:r>
    </w:p>
    <w:p w:rsidR="005B14A5" w:rsidRPr="00EA48F2" w:rsidRDefault="005B14A5" w:rsidP="00A678AD">
      <w:pPr>
        <w:spacing w:after="0" w:line="240" w:lineRule="auto"/>
        <w:jc w:val="both"/>
        <w:rPr>
          <w:rFonts w:ascii="Times New Roman" w:hAnsi="Times New Roman"/>
          <w:b/>
          <w:color w:val="000000" w:themeColor="text1"/>
          <w:sz w:val="24"/>
          <w:szCs w:val="24"/>
          <w:lang w:val="en-GB"/>
        </w:rPr>
      </w:pPr>
      <w:r w:rsidRPr="00EA48F2">
        <w:rPr>
          <w:rFonts w:ascii="Times New Roman" w:hAnsi="Times New Roman"/>
          <w:b/>
          <w:bCs/>
          <w:color w:val="000000" w:themeColor="text1"/>
          <w:sz w:val="24"/>
          <w:szCs w:val="24"/>
          <w:lang w:val="en-GB"/>
        </w:rPr>
        <w:t xml:space="preserve">Results </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Mental health cadres demographics</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The socio-demographic and background characteristics of participants were analyzed using univariate analysis. These participants consisted of 20 females (91%) and 2 males (8%) with a mean age of 38.7 years (SD, 0.5; range, 28 to 49 years). All participants were married (100%) and most of them were private employees (86%) and have education for more than nine years (64%). These and other characteristics are summarized in Table 1.</w:t>
      </w:r>
    </w:p>
    <w:p w:rsidR="00A678AD" w:rsidRPr="00EA48F2" w:rsidRDefault="00A678AD" w:rsidP="00A678AD">
      <w:pPr>
        <w:pStyle w:val="Heading1"/>
        <w:spacing w:before="0" w:beforeAutospacing="0" w:after="0" w:afterAutospacing="0"/>
        <w:jc w:val="both"/>
        <w:rPr>
          <w:b w:val="0"/>
          <w:sz w:val="24"/>
          <w:szCs w:val="24"/>
        </w:rPr>
      </w:pPr>
    </w:p>
    <w:p w:rsidR="005B14A5" w:rsidRPr="00EA48F2" w:rsidRDefault="005B14A5" w:rsidP="00A678AD">
      <w:pPr>
        <w:pStyle w:val="Heading1"/>
        <w:spacing w:before="0" w:beforeAutospacing="0" w:after="0" w:afterAutospacing="0"/>
        <w:jc w:val="both"/>
        <w:rPr>
          <w:b w:val="0"/>
          <w:sz w:val="24"/>
          <w:szCs w:val="24"/>
        </w:rPr>
      </w:pPr>
      <w:r w:rsidRPr="00EA48F2">
        <w:rPr>
          <w:sz w:val="24"/>
          <w:szCs w:val="24"/>
        </w:rPr>
        <w:t>TABLE 1.</w:t>
      </w:r>
      <w:r w:rsidRPr="00EA48F2">
        <w:rPr>
          <w:b w:val="0"/>
          <w:sz w:val="24"/>
          <w:szCs w:val="24"/>
        </w:rPr>
        <w:t xml:space="preserve"> Socio</w:t>
      </w:r>
      <w:bookmarkStart w:id="0" w:name="_GoBack"/>
      <w:bookmarkEnd w:id="0"/>
      <w:r w:rsidRPr="00EA48F2">
        <w:rPr>
          <w:b w:val="0"/>
          <w:sz w:val="24"/>
          <w:szCs w:val="24"/>
        </w:rPr>
        <w:t xml:space="preserve"> demographic variables at baseline</w:t>
      </w:r>
    </w:p>
    <w:tbl>
      <w:tblPr>
        <w:tblStyle w:val="TableGrid"/>
        <w:tblW w:w="0" w:type="auto"/>
        <w:tblBorders>
          <w:left w:val="none" w:sz="0" w:space="0" w:color="auto"/>
          <w:right w:val="none" w:sz="0" w:space="0" w:color="auto"/>
          <w:insideV w:val="none" w:sz="0" w:space="0" w:color="auto"/>
        </w:tblBorders>
        <w:tblLook w:val="04A0"/>
      </w:tblPr>
      <w:tblGrid>
        <w:gridCol w:w="2660"/>
        <w:gridCol w:w="2326"/>
        <w:gridCol w:w="2326"/>
      </w:tblGrid>
      <w:tr w:rsidR="005B14A5" w:rsidRPr="00EA48F2" w:rsidTr="001512B7">
        <w:tc>
          <w:tcPr>
            <w:tcW w:w="2660" w:type="dxa"/>
          </w:tcPr>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Variables</w:t>
            </w:r>
          </w:p>
        </w:tc>
        <w:tc>
          <w:tcPr>
            <w:tcW w:w="2326" w:type="dxa"/>
          </w:tcPr>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N</w:t>
            </w:r>
          </w:p>
        </w:tc>
        <w:tc>
          <w:tcPr>
            <w:tcW w:w="2326" w:type="dxa"/>
          </w:tcPr>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w:t>
            </w:r>
          </w:p>
        </w:tc>
      </w:tr>
      <w:tr w:rsidR="005B14A5" w:rsidRPr="00EA48F2" w:rsidTr="001512B7">
        <w:tc>
          <w:tcPr>
            <w:tcW w:w="2660" w:type="dxa"/>
          </w:tcPr>
          <w:p w:rsidR="005B14A5" w:rsidRPr="00EA48F2" w:rsidRDefault="005B14A5" w:rsidP="00A678AD">
            <w:pPr>
              <w:pStyle w:val="Heading1"/>
              <w:spacing w:before="0" w:beforeAutospacing="0" w:after="0" w:afterAutospacing="0"/>
              <w:jc w:val="both"/>
              <w:outlineLvl w:val="0"/>
              <w:rPr>
                <w:sz w:val="24"/>
                <w:szCs w:val="24"/>
              </w:rPr>
            </w:pPr>
            <w:r w:rsidRPr="00EA48F2">
              <w:rPr>
                <w:sz w:val="24"/>
                <w:szCs w:val="24"/>
              </w:rPr>
              <w:t>Age</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&lt; 35 years</w:t>
            </w:r>
          </w:p>
          <w:p w:rsidR="005B14A5" w:rsidRPr="00EA48F2" w:rsidRDefault="005B14A5" w:rsidP="00A678AD">
            <w:pPr>
              <w:pStyle w:val="Heading1"/>
              <w:spacing w:before="0" w:beforeAutospacing="0" w:after="0" w:afterAutospacing="0"/>
              <w:jc w:val="both"/>
              <w:outlineLvl w:val="0"/>
              <w:rPr>
                <w:sz w:val="24"/>
                <w:szCs w:val="24"/>
                <w:u w:val="single"/>
              </w:rPr>
            </w:pPr>
            <w:r w:rsidRPr="00EA48F2">
              <w:rPr>
                <w:b w:val="0"/>
                <w:sz w:val="24"/>
                <w:szCs w:val="24"/>
                <w:u w:val="single"/>
              </w:rPr>
              <w:t>&gt;</w:t>
            </w:r>
            <w:r w:rsidRPr="00EA48F2">
              <w:rPr>
                <w:b w:val="0"/>
                <w:sz w:val="24"/>
                <w:szCs w:val="24"/>
              </w:rPr>
              <w:t xml:space="preserve"> 35 years</w:t>
            </w:r>
          </w:p>
          <w:p w:rsidR="005B14A5" w:rsidRPr="00EA48F2" w:rsidRDefault="005B14A5" w:rsidP="00A678AD">
            <w:pPr>
              <w:pStyle w:val="Heading1"/>
              <w:spacing w:before="0" w:beforeAutospacing="0" w:after="0" w:afterAutospacing="0"/>
              <w:jc w:val="both"/>
              <w:outlineLvl w:val="0"/>
              <w:rPr>
                <w:sz w:val="24"/>
                <w:szCs w:val="24"/>
              </w:rPr>
            </w:pPr>
          </w:p>
          <w:p w:rsidR="005B14A5" w:rsidRPr="00EA48F2" w:rsidRDefault="005B14A5" w:rsidP="00A678AD">
            <w:pPr>
              <w:pStyle w:val="Heading1"/>
              <w:spacing w:before="0" w:beforeAutospacing="0" w:after="0" w:afterAutospacing="0"/>
              <w:jc w:val="both"/>
              <w:outlineLvl w:val="0"/>
              <w:rPr>
                <w:sz w:val="24"/>
                <w:szCs w:val="24"/>
              </w:rPr>
            </w:pPr>
            <w:r w:rsidRPr="00EA48F2">
              <w:rPr>
                <w:sz w:val="24"/>
                <w:szCs w:val="24"/>
              </w:rPr>
              <w:t>Sex</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Male</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female</w:t>
            </w:r>
          </w:p>
          <w:p w:rsidR="005B14A5" w:rsidRPr="00EA48F2" w:rsidRDefault="005B14A5" w:rsidP="00A678AD">
            <w:pPr>
              <w:pStyle w:val="Heading1"/>
              <w:spacing w:before="0" w:beforeAutospacing="0" w:after="0" w:afterAutospacing="0"/>
              <w:jc w:val="both"/>
              <w:outlineLvl w:val="0"/>
              <w:rPr>
                <w:b w:val="0"/>
                <w:sz w:val="24"/>
                <w:szCs w:val="24"/>
              </w:rPr>
            </w:pPr>
          </w:p>
          <w:p w:rsidR="005B14A5" w:rsidRPr="00EA48F2" w:rsidRDefault="005B14A5" w:rsidP="00A678AD">
            <w:pPr>
              <w:pStyle w:val="Heading1"/>
              <w:spacing w:before="0" w:beforeAutospacing="0" w:after="0" w:afterAutospacing="0"/>
              <w:jc w:val="both"/>
              <w:outlineLvl w:val="0"/>
              <w:rPr>
                <w:sz w:val="24"/>
                <w:szCs w:val="24"/>
              </w:rPr>
            </w:pPr>
            <w:r w:rsidRPr="00EA48F2">
              <w:rPr>
                <w:sz w:val="24"/>
                <w:szCs w:val="24"/>
              </w:rPr>
              <w:t>Education</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&lt; 9 years</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u w:val="single"/>
              </w:rPr>
              <w:t>&gt;</w:t>
            </w:r>
            <w:r w:rsidRPr="00EA48F2">
              <w:rPr>
                <w:b w:val="0"/>
                <w:sz w:val="24"/>
                <w:szCs w:val="24"/>
              </w:rPr>
              <w:t xml:space="preserve"> 9 years</w:t>
            </w:r>
          </w:p>
          <w:p w:rsidR="005B14A5" w:rsidRPr="00EA48F2" w:rsidRDefault="005B14A5" w:rsidP="00A678AD">
            <w:pPr>
              <w:pStyle w:val="Heading1"/>
              <w:spacing w:before="0" w:beforeAutospacing="0" w:after="0" w:afterAutospacing="0"/>
              <w:jc w:val="both"/>
              <w:outlineLvl w:val="0"/>
              <w:rPr>
                <w:sz w:val="24"/>
                <w:szCs w:val="24"/>
              </w:rPr>
            </w:pPr>
          </w:p>
          <w:p w:rsidR="005B14A5" w:rsidRPr="00EA48F2" w:rsidRDefault="005B14A5" w:rsidP="00A678AD">
            <w:pPr>
              <w:pStyle w:val="Heading1"/>
              <w:spacing w:before="0" w:beforeAutospacing="0" w:after="0" w:afterAutospacing="0"/>
              <w:jc w:val="both"/>
              <w:outlineLvl w:val="0"/>
              <w:rPr>
                <w:sz w:val="24"/>
                <w:szCs w:val="24"/>
              </w:rPr>
            </w:pPr>
            <w:r w:rsidRPr="00EA48F2">
              <w:rPr>
                <w:sz w:val="24"/>
                <w:szCs w:val="24"/>
              </w:rPr>
              <w:t>Marriage status</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Married</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Divorce</w:t>
            </w:r>
          </w:p>
          <w:p w:rsidR="005B14A5" w:rsidRPr="00EA48F2" w:rsidRDefault="005B14A5" w:rsidP="00A678AD">
            <w:pPr>
              <w:pStyle w:val="Heading1"/>
              <w:spacing w:before="0" w:beforeAutospacing="0" w:after="0" w:afterAutospacing="0"/>
              <w:jc w:val="both"/>
              <w:outlineLvl w:val="0"/>
              <w:rPr>
                <w:b w:val="0"/>
                <w:sz w:val="24"/>
                <w:szCs w:val="24"/>
              </w:rPr>
            </w:pPr>
          </w:p>
          <w:p w:rsidR="005B14A5" w:rsidRPr="00EA48F2" w:rsidRDefault="005B14A5" w:rsidP="00A678AD">
            <w:pPr>
              <w:pStyle w:val="Heading1"/>
              <w:spacing w:before="0" w:beforeAutospacing="0" w:after="0" w:afterAutospacing="0"/>
              <w:jc w:val="both"/>
              <w:outlineLvl w:val="0"/>
              <w:rPr>
                <w:b w:val="0"/>
                <w:sz w:val="24"/>
                <w:szCs w:val="24"/>
              </w:rPr>
            </w:pPr>
            <w:r w:rsidRPr="00EA48F2">
              <w:rPr>
                <w:sz w:val="24"/>
                <w:szCs w:val="24"/>
              </w:rPr>
              <w:t xml:space="preserve">Occupational status </w:t>
            </w:r>
            <w:r w:rsidRPr="00EA48F2">
              <w:rPr>
                <w:b w:val="0"/>
                <w:sz w:val="24"/>
                <w:szCs w:val="24"/>
              </w:rPr>
              <w:t>Government employee</w:t>
            </w:r>
          </w:p>
          <w:p w:rsidR="005B14A5" w:rsidRPr="00EA48F2" w:rsidRDefault="005B14A5" w:rsidP="00A678AD">
            <w:pPr>
              <w:pStyle w:val="Heading1"/>
              <w:spacing w:before="0" w:beforeAutospacing="0" w:after="0" w:afterAutospacing="0"/>
              <w:jc w:val="both"/>
              <w:outlineLvl w:val="0"/>
              <w:rPr>
                <w:b w:val="0"/>
                <w:sz w:val="24"/>
                <w:szCs w:val="24"/>
              </w:rPr>
            </w:pPr>
            <w:r w:rsidRPr="00EA48F2">
              <w:rPr>
                <w:b w:val="0"/>
                <w:sz w:val="24"/>
                <w:szCs w:val="24"/>
              </w:rPr>
              <w:t>Private employee</w:t>
            </w:r>
          </w:p>
        </w:tc>
        <w:tc>
          <w:tcPr>
            <w:tcW w:w="2326" w:type="dxa"/>
          </w:tcPr>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6</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16</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2</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20</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11</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14</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22</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0</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3</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19</w:t>
            </w:r>
          </w:p>
          <w:p w:rsidR="005B14A5" w:rsidRPr="00EA48F2" w:rsidRDefault="005B14A5" w:rsidP="00A678AD">
            <w:pPr>
              <w:pStyle w:val="Heading1"/>
              <w:spacing w:before="0" w:beforeAutospacing="0" w:after="0" w:afterAutospacing="0"/>
              <w:outlineLvl w:val="0"/>
              <w:rPr>
                <w:b w:val="0"/>
                <w:sz w:val="24"/>
                <w:szCs w:val="24"/>
              </w:rPr>
            </w:pPr>
          </w:p>
        </w:tc>
        <w:tc>
          <w:tcPr>
            <w:tcW w:w="2326" w:type="dxa"/>
          </w:tcPr>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27</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73</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91</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8</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36</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64</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100</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0</w:t>
            </w: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14</w:t>
            </w:r>
          </w:p>
          <w:p w:rsidR="005B14A5" w:rsidRPr="00EA48F2" w:rsidRDefault="005B14A5" w:rsidP="00A678AD">
            <w:pPr>
              <w:pStyle w:val="Heading1"/>
              <w:spacing w:before="0" w:beforeAutospacing="0" w:after="0" w:afterAutospacing="0"/>
              <w:jc w:val="center"/>
              <w:outlineLvl w:val="0"/>
              <w:rPr>
                <w:b w:val="0"/>
                <w:sz w:val="24"/>
                <w:szCs w:val="24"/>
              </w:rPr>
            </w:pPr>
            <w:r w:rsidRPr="00EA48F2">
              <w:rPr>
                <w:b w:val="0"/>
                <w:sz w:val="24"/>
                <w:szCs w:val="24"/>
              </w:rPr>
              <w:t>86</w:t>
            </w:r>
          </w:p>
          <w:p w:rsidR="005B14A5" w:rsidRPr="00EA48F2" w:rsidRDefault="005B14A5" w:rsidP="00A678AD">
            <w:pPr>
              <w:pStyle w:val="Heading1"/>
              <w:spacing w:before="0" w:beforeAutospacing="0" w:after="0" w:afterAutospacing="0"/>
              <w:jc w:val="center"/>
              <w:outlineLvl w:val="0"/>
              <w:rPr>
                <w:b w:val="0"/>
                <w:sz w:val="24"/>
                <w:szCs w:val="24"/>
              </w:rPr>
            </w:pPr>
          </w:p>
        </w:tc>
      </w:tr>
    </w:tbl>
    <w:p w:rsidR="005B14A5" w:rsidRPr="00EA48F2" w:rsidRDefault="005B14A5" w:rsidP="00A678AD">
      <w:pPr>
        <w:tabs>
          <w:tab w:val="center" w:pos="3888"/>
        </w:tabs>
        <w:autoSpaceDE w:val="0"/>
        <w:autoSpaceDN w:val="0"/>
        <w:adjustRightInd w:val="0"/>
        <w:spacing w:after="0" w:line="240" w:lineRule="auto"/>
        <w:jc w:val="center"/>
        <w:rPr>
          <w:rFonts w:ascii="Times New Roman" w:hAnsi="Times New Roman"/>
          <w:sz w:val="24"/>
          <w:szCs w:val="24"/>
          <w:u w:val="single"/>
        </w:rPr>
      </w:pPr>
    </w:p>
    <w:p w:rsidR="005B14A5" w:rsidRPr="00EA48F2" w:rsidRDefault="005B14A5" w:rsidP="00A678AD">
      <w:pPr>
        <w:spacing w:after="0" w:line="240" w:lineRule="auto"/>
        <w:jc w:val="both"/>
        <w:rPr>
          <w:rFonts w:ascii="Times New Roman" w:hAnsi="Times New Roman"/>
          <w:sz w:val="24"/>
          <w:szCs w:val="24"/>
          <w:lang w:val="en-GB"/>
        </w:rPr>
      </w:pPr>
      <w:r w:rsidRPr="00EA48F2">
        <w:rPr>
          <w:rFonts w:ascii="Times New Roman" w:hAnsi="Times New Roman"/>
          <w:sz w:val="24"/>
          <w:szCs w:val="24"/>
          <w:lang w:val="en-GB"/>
        </w:rPr>
        <w:t>Domestic violence screening</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 xml:space="preserve">Data were analysed using SPSS for Windows (SPSS Inc., Chicago, IL, USA). In table 2, our findings show that the pre-post difference on domestic violence screening was significant (pairwise t-tests; all p&lt; .05) The pre-test score has considerably increased. Domestic violence </w:t>
      </w:r>
      <w:r w:rsidRPr="00EA48F2">
        <w:rPr>
          <w:b w:val="0"/>
          <w:sz w:val="24"/>
          <w:szCs w:val="24"/>
        </w:rPr>
        <w:lastRenderedPageBreak/>
        <w:t>screening with capability of detection subscale responded changed (change: M= 23). The  improvement also shown in capability of giving support (change: M= 9) (see figure 1).</w:t>
      </w:r>
    </w:p>
    <w:p w:rsidR="00A678AD" w:rsidRPr="00EA48F2" w:rsidRDefault="00A678AD" w:rsidP="00A678AD">
      <w:pPr>
        <w:pStyle w:val="Heading1"/>
        <w:spacing w:before="0" w:beforeAutospacing="0" w:after="0" w:afterAutospacing="0"/>
        <w:jc w:val="both"/>
        <w:rPr>
          <w:b w:val="0"/>
          <w:sz w:val="24"/>
          <w:szCs w:val="24"/>
        </w:rPr>
      </w:pPr>
    </w:p>
    <w:p w:rsidR="005B14A5" w:rsidRPr="00EA48F2" w:rsidRDefault="005B14A5" w:rsidP="00A678AD">
      <w:pPr>
        <w:pStyle w:val="Heading1"/>
        <w:spacing w:before="0" w:beforeAutospacing="0" w:after="0" w:afterAutospacing="0"/>
        <w:jc w:val="both"/>
        <w:rPr>
          <w:b w:val="0"/>
          <w:sz w:val="24"/>
          <w:szCs w:val="24"/>
        </w:rPr>
      </w:pPr>
      <w:r w:rsidRPr="00EA48F2">
        <w:rPr>
          <w:sz w:val="24"/>
          <w:szCs w:val="24"/>
        </w:rPr>
        <w:t xml:space="preserve">TABLE </w:t>
      </w:r>
      <w:r w:rsidRPr="00EA48F2">
        <w:rPr>
          <w:b w:val="0"/>
          <w:sz w:val="24"/>
          <w:szCs w:val="24"/>
        </w:rPr>
        <w:t>2. Domestic violence screening score</w:t>
      </w:r>
    </w:p>
    <w:tbl>
      <w:tblPr>
        <w:tblW w:w="7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32"/>
        <w:gridCol w:w="709"/>
        <w:gridCol w:w="992"/>
        <w:gridCol w:w="709"/>
        <w:gridCol w:w="1134"/>
      </w:tblGrid>
      <w:tr w:rsidR="005B14A5" w:rsidRPr="00EA48F2" w:rsidTr="001512B7">
        <w:tc>
          <w:tcPr>
            <w:tcW w:w="3510" w:type="dxa"/>
            <w:vMerge w:val="restart"/>
            <w:tcBorders>
              <w:top w:val="single" w:sz="4" w:space="0" w:color="auto"/>
              <w:left w:val="nil"/>
              <w:right w:val="nil"/>
            </w:tcBorders>
            <w:hideMark/>
          </w:tcPr>
          <w:p w:rsidR="005B14A5" w:rsidRPr="00EA48F2" w:rsidRDefault="005B14A5" w:rsidP="00A678AD">
            <w:pPr>
              <w:pStyle w:val="Heading1"/>
              <w:spacing w:before="0" w:beforeAutospacing="0" w:after="0" w:afterAutospacing="0"/>
              <w:jc w:val="both"/>
              <w:rPr>
                <w:b w:val="0"/>
                <w:sz w:val="24"/>
                <w:szCs w:val="24"/>
              </w:rPr>
            </w:pPr>
          </w:p>
        </w:tc>
        <w:tc>
          <w:tcPr>
            <w:tcW w:w="1641" w:type="dxa"/>
            <w:gridSpan w:val="2"/>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center"/>
              <w:rPr>
                <w:b w:val="0"/>
                <w:sz w:val="24"/>
                <w:szCs w:val="24"/>
              </w:rPr>
            </w:pPr>
            <w:r w:rsidRPr="00EA48F2">
              <w:rPr>
                <w:b w:val="0"/>
                <w:sz w:val="24"/>
                <w:szCs w:val="24"/>
              </w:rPr>
              <w:t>Pre</w:t>
            </w:r>
          </w:p>
        </w:tc>
        <w:tc>
          <w:tcPr>
            <w:tcW w:w="1701" w:type="dxa"/>
            <w:gridSpan w:val="2"/>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center"/>
              <w:rPr>
                <w:b w:val="0"/>
                <w:sz w:val="24"/>
                <w:szCs w:val="24"/>
              </w:rPr>
            </w:pPr>
            <w:r w:rsidRPr="00EA48F2">
              <w:rPr>
                <w:b w:val="0"/>
                <w:sz w:val="24"/>
                <w:szCs w:val="24"/>
              </w:rPr>
              <w:t>Post</w:t>
            </w:r>
          </w:p>
        </w:tc>
        <w:tc>
          <w:tcPr>
            <w:tcW w:w="1134" w:type="dxa"/>
            <w:vMerge w:val="restart"/>
            <w:tcBorders>
              <w:top w:val="single" w:sz="4" w:space="0" w:color="auto"/>
              <w:left w:val="nil"/>
              <w:right w:val="nil"/>
            </w:tcBorders>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P value</w:t>
            </w:r>
          </w:p>
        </w:tc>
      </w:tr>
      <w:tr w:rsidR="005B14A5" w:rsidRPr="00EA48F2" w:rsidTr="001512B7">
        <w:tc>
          <w:tcPr>
            <w:tcW w:w="3510" w:type="dxa"/>
            <w:vMerge/>
            <w:tcBorders>
              <w:left w:val="nil"/>
              <w:bottom w:val="single" w:sz="4" w:space="0" w:color="auto"/>
              <w:right w:val="nil"/>
            </w:tcBorders>
            <w:hideMark/>
          </w:tcPr>
          <w:p w:rsidR="005B14A5" w:rsidRPr="00EA48F2" w:rsidRDefault="005B14A5" w:rsidP="00A678AD">
            <w:pPr>
              <w:pStyle w:val="Heading1"/>
              <w:spacing w:before="0" w:beforeAutospacing="0" w:after="0" w:afterAutospacing="0"/>
              <w:jc w:val="both"/>
              <w:rPr>
                <w:b w:val="0"/>
                <w:sz w:val="24"/>
                <w:szCs w:val="24"/>
              </w:rPr>
            </w:pPr>
          </w:p>
        </w:tc>
        <w:tc>
          <w:tcPr>
            <w:tcW w:w="932" w:type="dxa"/>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Mean</w:t>
            </w:r>
          </w:p>
        </w:tc>
        <w:tc>
          <w:tcPr>
            <w:tcW w:w="709" w:type="dxa"/>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SD</w:t>
            </w:r>
          </w:p>
        </w:tc>
        <w:tc>
          <w:tcPr>
            <w:tcW w:w="992" w:type="dxa"/>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Mean</w:t>
            </w:r>
          </w:p>
        </w:tc>
        <w:tc>
          <w:tcPr>
            <w:tcW w:w="709" w:type="dxa"/>
            <w:tcBorders>
              <w:top w:val="single" w:sz="4" w:space="0" w:color="auto"/>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SD</w:t>
            </w:r>
          </w:p>
        </w:tc>
        <w:tc>
          <w:tcPr>
            <w:tcW w:w="1134" w:type="dxa"/>
            <w:vMerge/>
            <w:tcBorders>
              <w:left w:val="nil"/>
              <w:bottom w:val="single" w:sz="4" w:space="0" w:color="auto"/>
              <w:right w:val="nil"/>
            </w:tcBorders>
          </w:tcPr>
          <w:p w:rsidR="005B14A5" w:rsidRPr="00EA48F2" w:rsidRDefault="005B14A5" w:rsidP="00A678AD">
            <w:pPr>
              <w:pStyle w:val="Heading1"/>
              <w:spacing w:before="0" w:beforeAutospacing="0" w:after="0" w:afterAutospacing="0"/>
              <w:jc w:val="right"/>
              <w:rPr>
                <w:b w:val="0"/>
                <w:sz w:val="24"/>
                <w:szCs w:val="24"/>
              </w:rPr>
            </w:pPr>
          </w:p>
        </w:tc>
      </w:tr>
      <w:tr w:rsidR="005B14A5" w:rsidRPr="00EA48F2" w:rsidTr="001512B7">
        <w:tc>
          <w:tcPr>
            <w:tcW w:w="3510"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Domestic violence screening</w:t>
            </w:r>
          </w:p>
          <w:p w:rsidR="005B14A5" w:rsidRPr="00EA48F2" w:rsidRDefault="005B14A5" w:rsidP="00A678AD">
            <w:pPr>
              <w:pStyle w:val="Heading1"/>
              <w:numPr>
                <w:ilvl w:val="0"/>
                <w:numId w:val="2"/>
              </w:numPr>
              <w:spacing w:before="0" w:beforeAutospacing="0" w:after="0" w:afterAutospacing="0"/>
              <w:ind w:left="360"/>
              <w:jc w:val="both"/>
              <w:rPr>
                <w:b w:val="0"/>
                <w:sz w:val="24"/>
                <w:szCs w:val="24"/>
              </w:rPr>
            </w:pPr>
            <w:r w:rsidRPr="00EA48F2">
              <w:rPr>
                <w:b w:val="0"/>
                <w:sz w:val="24"/>
                <w:szCs w:val="24"/>
              </w:rPr>
              <w:t>Capability in detection</w:t>
            </w:r>
          </w:p>
          <w:p w:rsidR="005B14A5" w:rsidRPr="00EA48F2" w:rsidRDefault="005B14A5" w:rsidP="00A678AD">
            <w:pPr>
              <w:pStyle w:val="Heading1"/>
              <w:spacing w:before="0" w:beforeAutospacing="0" w:after="0" w:afterAutospacing="0"/>
              <w:jc w:val="both"/>
              <w:rPr>
                <w:b w:val="0"/>
                <w:sz w:val="24"/>
                <w:szCs w:val="24"/>
              </w:rPr>
            </w:pPr>
          </w:p>
        </w:tc>
        <w:tc>
          <w:tcPr>
            <w:tcW w:w="932"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right"/>
              <w:rPr>
                <w:b w:val="0"/>
                <w:sz w:val="24"/>
                <w:szCs w:val="24"/>
              </w:rPr>
            </w:pPr>
          </w:p>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50</w:t>
            </w:r>
          </w:p>
        </w:tc>
        <w:tc>
          <w:tcPr>
            <w:tcW w:w="709"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right"/>
              <w:rPr>
                <w:b w:val="0"/>
                <w:sz w:val="24"/>
                <w:szCs w:val="24"/>
              </w:rPr>
            </w:pPr>
          </w:p>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6.05</w:t>
            </w:r>
          </w:p>
        </w:tc>
        <w:tc>
          <w:tcPr>
            <w:tcW w:w="992"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right"/>
              <w:rPr>
                <w:b w:val="0"/>
                <w:sz w:val="24"/>
                <w:szCs w:val="24"/>
              </w:rPr>
            </w:pPr>
          </w:p>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73</w:t>
            </w:r>
          </w:p>
        </w:tc>
        <w:tc>
          <w:tcPr>
            <w:tcW w:w="709"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right"/>
              <w:rPr>
                <w:b w:val="0"/>
                <w:sz w:val="24"/>
                <w:szCs w:val="24"/>
              </w:rPr>
            </w:pPr>
          </w:p>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7.02</w:t>
            </w:r>
          </w:p>
        </w:tc>
        <w:tc>
          <w:tcPr>
            <w:tcW w:w="1134" w:type="dxa"/>
            <w:tcBorders>
              <w:top w:val="single" w:sz="4" w:space="0" w:color="auto"/>
              <w:left w:val="nil"/>
              <w:bottom w:val="nil"/>
              <w:right w:val="nil"/>
            </w:tcBorders>
            <w:hideMark/>
          </w:tcPr>
          <w:p w:rsidR="005B14A5" w:rsidRPr="00EA48F2" w:rsidRDefault="005B14A5" w:rsidP="00A678AD">
            <w:pPr>
              <w:pStyle w:val="Heading1"/>
              <w:spacing w:before="0" w:beforeAutospacing="0" w:after="0" w:afterAutospacing="0"/>
              <w:jc w:val="right"/>
              <w:rPr>
                <w:b w:val="0"/>
                <w:sz w:val="24"/>
                <w:szCs w:val="24"/>
              </w:rPr>
            </w:pPr>
          </w:p>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.001</w:t>
            </w:r>
          </w:p>
        </w:tc>
      </w:tr>
      <w:tr w:rsidR="005B14A5" w:rsidRPr="00EA48F2" w:rsidTr="001512B7">
        <w:tc>
          <w:tcPr>
            <w:tcW w:w="3510" w:type="dxa"/>
            <w:tcBorders>
              <w:top w:val="nil"/>
              <w:left w:val="nil"/>
              <w:bottom w:val="single" w:sz="4" w:space="0" w:color="auto"/>
              <w:right w:val="nil"/>
            </w:tcBorders>
            <w:hideMark/>
          </w:tcPr>
          <w:p w:rsidR="005B14A5" w:rsidRPr="00EA48F2" w:rsidRDefault="005B14A5" w:rsidP="00A678AD">
            <w:pPr>
              <w:pStyle w:val="Heading1"/>
              <w:numPr>
                <w:ilvl w:val="0"/>
                <w:numId w:val="2"/>
              </w:numPr>
              <w:spacing w:before="0" w:beforeAutospacing="0" w:after="0" w:afterAutospacing="0"/>
              <w:ind w:left="360"/>
              <w:jc w:val="both"/>
              <w:rPr>
                <w:b w:val="0"/>
                <w:sz w:val="24"/>
                <w:szCs w:val="24"/>
              </w:rPr>
            </w:pPr>
            <w:r w:rsidRPr="00EA48F2">
              <w:rPr>
                <w:b w:val="0"/>
                <w:sz w:val="24"/>
                <w:szCs w:val="24"/>
              </w:rPr>
              <w:t>Capability in give support</w:t>
            </w:r>
          </w:p>
        </w:tc>
        <w:tc>
          <w:tcPr>
            <w:tcW w:w="932" w:type="dxa"/>
            <w:tcBorders>
              <w:top w:val="nil"/>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71</w:t>
            </w:r>
          </w:p>
        </w:tc>
        <w:tc>
          <w:tcPr>
            <w:tcW w:w="709" w:type="dxa"/>
            <w:tcBorders>
              <w:top w:val="nil"/>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3.34</w:t>
            </w:r>
          </w:p>
        </w:tc>
        <w:tc>
          <w:tcPr>
            <w:tcW w:w="992" w:type="dxa"/>
            <w:tcBorders>
              <w:top w:val="nil"/>
              <w:left w:val="nil"/>
              <w:bottom w:val="single" w:sz="4" w:space="0" w:color="auto"/>
              <w:right w:val="nil"/>
            </w:tcBorders>
            <w:hideMark/>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80</w:t>
            </w:r>
          </w:p>
        </w:tc>
        <w:tc>
          <w:tcPr>
            <w:tcW w:w="709" w:type="dxa"/>
            <w:tcBorders>
              <w:top w:val="nil"/>
              <w:left w:val="nil"/>
              <w:bottom w:val="single" w:sz="4" w:space="0" w:color="auto"/>
              <w:right w:val="nil"/>
            </w:tcBorders>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3.45</w:t>
            </w:r>
          </w:p>
        </w:tc>
        <w:tc>
          <w:tcPr>
            <w:tcW w:w="1134" w:type="dxa"/>
            <w:tcBorders>
              <w:top w:val="nil"/>
              <w:left w:val="nil"/>
              <w:bottom w:val="single" w:sz="4" w:space="0" w:color="auto"/>
              <w:right w:val="nil"/>
            </w:tcBorders>
          </w:tcPr>
          <w:p w:rsidR="005B14A5" w:rsidRPr="00EA48F2" w:rsidRDefault="005B14A5" w:rsidP="00A678AD">
            <w:pPr>
              <w:pStyle w:val="Heading1"/>
              <w:spacing w:before="0" w:beforeAutospacing="0" w:after="0" w:afterAutospacing="0"/>
              <w:jc w:val="right"/>
              <w:rPr>
                <w:b w:val="0"/>
                <w:sz w:val="24"/>
                <w:szCs w:val="24"/>
              </w:rPr>
            </w:pPr>
            <w:r w:rsidRPr="00EA48F2">
              <w:rPr>
                <w:b w:val="0"/>
                <w:sz w:val="24"/>
                <w:szCs w:val="24"/>
              </w:rPr>
              <w:t>.001</w:t>
            </w:r>
          </w:p>
        </w:tc>
      </w:tr>
    </w:tbl>
    <w:p w:rsidR="005B14A5" w:rsidRPr="00EA48F2" w:rsidRDefault="005B14A5" w:rsidP="00A678AD">
      <w:pPr>
        <w:spacing w:after="0" w:line="240" w:lineRule="auto"/>
        <w:jc w:val="both"/>
        <w:rPr>
          <w:rFonts w:ascii="Times New Roman" w:eastAsia="Times New Roman" w:hAnsi="Times New Roman"/>
          <w:b/>
          <w:bCs/>
          <w:sz w:val="24"/>
          <w:szCs w:val="24"/>
        </w:rPr>
      </w:pPr>
      <w:r w:rsidRPr="00EA48F2">
        <w:rPr>
          <w:rFonts w:ascii="Times New Roman" w:eastAsia="Times New Roman" w:hAnsi="Times New Roman"/>
          <w:b/>
          <w:bCs/>
          <w:noProof/>
          <w:sz w:val="24"/>
          <w:szCs w:val="24"/>
        </w:rPr>
        <w:drawing>
          <wp:inline distT="0" distB="0" distL="0" distR="0">
            <wp:extent cx="4133850" cy="24765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14A5" w:rsidRPr="00EA48F2" w:rsidRDefault="005B14A5" w:rsidP="00A678AD">
      <w:pPr>
        <w:spacing w:after="0" w:line="240" w:lineRule="auto"/>
        <w:jc w:val="both"/>
        <w:rPr>
          <w:rFonts w:ascii="Times New Roman" w:eastAsia="Times New Roman" w:hAnsi="Times New Roman"/>
          <w:b/>
          <w:bCs/>
          <w:sz w:val="24"/>
          <w:szCs w:val="24"/>
        </w:rPr>
      </w:pPr>
      <w:r w:rsidRPr="00EA48F2">
        <w:rPr>
          <w:rFonts w:ascii="Times New Roman" w:eastAsia="Times New Roman" w:hAnsi="Times New Roman"/>
          <w:b/>
          <w:bCs/>
          <w:sz w:val="24"/>
          <w:szCs w:val="24"/>
        </w:rPr>
        <w:t>Figure 1. Change score in detection and giving support</w:t>
      </w:r>
    </w:p>
    <w:p w:rsidR="005B14A5" w:rsidRPr="00EA48F2" w:rsidRDefault="005B14A5" w:rsidP="00A678AD">
      <w:pPr>
        <w:spacing w:after="0" w:line="240" w:lineRule="auto"/>
        <w:jc w:val="both"/>
        <w:rPr>
          <w:rFonts w:ascii="Times New Roman" w:eastAsia="Times New Roman" w:hAnsi="Times New Roman"/>
          <w:b/>
          <w:bCs/>
          <w:sz w:val="24"/>
          <w:szCs w:val="24"/>
        </w:rPr>
      </w:pPr>
    </w:p>
    <w:p w:rsidR="005B14A5" w:rsidRPr="00EA48F2" w:rsidRDefault="005B14A5" w:rsidP="00A678AD">
      <w:pPr>
        <w:spacing w:after="0" w:line="240" w:lineRule="auto"/>
        <w:jc w:val="both"/>
        <w:rPr>
          <w:rFonts w:ascii="Times New Roman" w:eastAsia="Times New Roman" w:hAnsi="Times New Roman"/>
          <w:b/>
          <w:bCs/>
          <w:sz w:val="24"/>
          <w:szCs w:val="24"/>
        </w:rPr>
      </w:pPr>
      <w:r w:rsidRPr="00EA48F2">
        <w:rPr>
          <w:rFonts w:ascii="Times New Roman" w:eastAsia="Times New Roman" w:hAnsi="Times New Roman"/>
          <w:b/>
          <w:bCs/>
          <w:sz w:val="24"/>
          <w:szCs w:val="24"/>
        </w:rPr>
        <w:t>Discussion</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In the participants demographic showed that most of the mental health cadres were women (n=22). Women reported significantly more interpersonal problems with the immediate family than men .The results showed that the mental health cadres’ capability in detection increasing significantly. The improvement capability was associated with the implementation of empowerment and mentoring program. Modul of domestic violence help mental health cadres in program implementation. Community psychiatric nurses encourages mental health to thoroughly document their activities in community. It is supported by Godenzi &amp; De Puy (2001) mentioned that with the two main components in early violence prevention are spreading information about the extent, forms, and effects of violence and mental health cadres attempt to detect domestic violence. Each mental health cadres educate the women and men in local meeting with domestic violence prevention guide.</w:t>
      </w:r>
    </w:p>
    <w:p w:rsidR="005B14A5" w:rsidRPr="00EA48F2" w:rsidRDefault="005B14A5" w:rsidP="00A678AD">
      <w:pPr>
        <w:pStyle w:val="Heading1"/>
        <w:spacing w:before="0" w:beforeAutospacing="0" w:after="0" w:afterAutospacing="0"/>
        <w:jc w:val="both"/>
        <w:rPr>
          <w:b w:val="0"/>
          <w:sz w:val="24"/>
          <w:szCs w:val="24"/>
        </w:rPr>
      </w:pP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The barrier in help seeking according to Hien and Ruglass (2009) were personal and family safety, economic dependence, psychological factor, socio-cultural factor, and legal factor. Knowing barrier is very important for mental health cadres in giving support to the victim to report the incident. Because if the victim feel helplessness, incompetent and withdraw could into a state of passivity (</w:t>
      </w:r>
      <w:hyperlink r:id="rId15" w:anchor="R5" w:history="1">
        <w:r w:rsidRPr="00EA48F2">
          <w:rPr>
            <w:b w:val="0"/>
            <w:sz w:val="24"/>
            <w:szCs w:val="24"/>
          </w:rPr>
          <w:t>Barnett, 2001</w:t>
        </w:r>
      </w:hyperlink>
      <w:r w:rsidRPr="00EA48F2">
        <w:rPr>
          <w:b w:val="0"/>
          <w:sz w:val="24"/>
          <w:szCs w:val="24"/>
        </w:rPr>
        <w:t xml:space="preserve">).   Carlson et al (2004) found that lack of social support increase the risk to expose with domestic violence and also mentioned that social support is the </w:t>
      </w:r>
      <w:r w:rsidRPr="00EA48F2">
        <w:rPr>
          <w:b w:val="0"/>
          <w:sz w:val="24"/>
          <w:szCs w:val="24"/>
        </w:rPr>
        <w:lastRenderedPageBreak/>
        <w:t>r</w:t>
      </w:r>
      <w:r w:rsidRPr="00EA48F2">
        <w:rPr>
          <w:rFonts w:eastAsiaTheme="minorHAnsi"/>
          <w:b w:val="0"/>
          <w:sz w:val="24"/>
          <w:szCs w:val="24"/>
        </w:rPr>
        <w:t xml:space="preserve">esource for improving women survivors mental health. </w:t>
      </w:r>
      <w:r w:rsidRPr="00EA48F2">
        <w:rPr>
          <w:b w:val="0"/>
          <w:sz w:val="24"/>
          <w:szCs w:val="24"/>
        </w:rPr>
        <w:t xml:space="preserve">Domestic violence prevention should preferably utilize the community.  Heise (1998) use the term </w:t>
      </w:r>
      <w:r w:rsidRPr="00EA48F2">
        <w:rPr>
          <w:b w:val="0"/>
          <w:i/>
          <w:sz w:val="24"/>
          <w:szCs w:val="24"/>
        </w:rPr>
        <w:t>ecological framework</w:t>
      </w:r>
      <w:r w:rsidRPr="00EA48F2">
        <w:rPr>
          <w:b w:val="0"/>
          <w:sz w:val="24"/>
          <w:szCs w:val="24"/>
        </w:rPr>
        <w:t xml:space="preserve"> to reach long effect of prevention program (Harvey et al, 2007; Heise, 2011).</w:t>
      </w:r>
    </w:p>
    <w:p w:rsidR="005B14A5" w:rsidRPr="00EA48F2" w:rsidRDefault="005B14A5" w:rsidP="00A678AD">
      <w:pPr>
        <w:pStyle w:val="Heading1"/>
        <w:spacing w:before="0" w:beforeAutospacing="0" w:after="0" w:afterAutospacing="0"/>
        <w:jc w:val="both"/>
        <w:rPr>
          <w:b w:val="0"/>
          <w:sz w:val="24"/>
          <w:szCs w:val="24"/>
        </w:rPr>
      </w:pP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Limitation</w:t>
      </w:r>
    </w:p>
    <w:p w:rsidR="005B14A5" w:rsidRPr="00EA48F2" w:rsidRDefault="005B14A5" w:rsidP="00A678AD">
      <w:pPr>
        <w:pStyle w:val="Heading1"/>
        <w:spacing w:before="0" w:beforeAutospacing="0" w:after="0" w:afterAutospacing="0"/>
        <w:jc w:val="both"/>
        <w:rPr>
          <w:b w:val="0"/>
          <w:sz w:val="24"/>
          <w:szCs w:val="24"/>
        </w:rPr>
      </w:pPr>
      <w:r w:rsidRPr="00EA48F2">
        <w:rPr>
          <w:b w:val="0"/>
          <w:sz w:val="24"/>
          <w:szCs w:val="24"/>
        </w:rPr>
        <w:t>This study has several limitations. First, the results may not be generalizable to all rural community in Indonesian. For future studies, sample could have given to larger sizes that would generalized the data to other populations. A second limitation of the study was conducted only one group, so we recommend that the research is conducted using control group.</w:t>
      </w:r>
    </w:p>
    <w:p w:rsidR="005B14A5" w:rsidRPr="00EA48F2" w:rsidRDefault="005B14A5" w:rsidP="00A678AD">
      <w:pPr>
        <w:pStyle w:val="Heading1"/>
        <w:spacing w:before="0" w:beforeAutospacing="0" w:after="0" w:afterAutospacing="0"/>
        <w:jc w:val="both"/>
        <w:rPr>
          <w:b w:val="0"/>
          <w:sz w:val="24"/>
          <w:szCs w:val="24"/>
        </w:rPr>
      </w:pPr>
    </w:p>
    <w:p w:rsidR="005B14A5" w:rsidRPr="00EA48F2" w:rsidRDefault="005B14A5" w:rsidP="00A678AD">
      <w:pPr>
        <w:pStyle w:val="Heading1"/>
        <w:spacing w:before="0" w:beforeAutospacing="0" w:after="0" w:afterAutospacing="0"/>
        <w:jc w:val="center"/>
        <w:rPr>
          <w:sz w:val="24"/>
          <w:szCs w:val="24"/>
        </w:rPr>
      </w:pPr>
      <w:r w:rsidRPr="00EA48F2">
        <w:rPr>
          <w:sz w:val="24"/>
          <w:szCs w:val="24"/>
        </w:rPr>
        <w:t>CONCLUSION</w:t>
      </w:r>
    </w:p>
    <w:p w:rsidR="005B14A5" w:rsidRPr="00EA48F2" w:rsidRDefault="005B14A5" w:rsidP="00A678AD">
      <w:pPr>
        <w:spacing w:after="0" w:line="240" w:lineRule="auto"/>
        <w:jc w:val="both"/>
        <w:rPr>
          <w:rFonts w:ascii="Times New Roman" w:eastAsia="Times New Roman" w:hAnsi="Times New Roman"/>
          <w:bCs/>
          <w:sz w:val="24"/>
          <w:szCs w:val="24"/>
        </w:rPr>
      </w:pPr>
      <w:r w:rsidRPr="00EA48F2">
        <w:rPr>
          <w:rFonts w:ascii="Times New Roman" w:eastAsia="Times New Roman" w:hAnsi="Times New Roman"/>
          <w:bCs/>
          <w:sz w:val="24"/>
          <w:szCs w:val="24"/>
        </w:rPr>
        <w:t>The empowerment and mentoring of mental health cadres on screening domestic violence could strengthen support and raising domestic violence awareness. This intervention should become a part of community health program in community. A longitudinal study can be carried out to prevent domestic violence.</w:t>
      </w:r>
    </w:p>
    <w:p w:rsidR="005B14A5" w:rsidRPr="00EA48F2" w:rsidRDefault="005B14A5" w:rsidP="00A678AD">
      <w:pPr>
        <w:spacing w:after="0" w:line="240" w:lineRule="auto"/>
        <w:jc w:val="both"/>
        <w:rPr>
          <w:rFonts w:ascii="Times New Roman" w:eastAsia="Times New Roman" w:hAnsi="Times New Roman"/>
          <w:sz w:val="24"/>
          <w:szCs w:val="24"/>
        </w:rPr>
      </w:pPr>
    </w:p>
    <w:p w:rsidR="005B14A5" w:rsidRPr="00EA48F2" w:rsidRDefault="005B14A5" w:rsidP="00A678AD">
      <w:pPr>
        <w:spacing w:after="0" w:line="240" w:lineRule="auto"/>
        <w:jc w:val="both"/>
        <w:rPr>
          <w:rFonts w:ascii="Times New Roman" w:eastAsia="Times New Roman" w:hAnsi="Times New Roman"/>
          <w:sz w:val="24"/>
          <w:szCs w:val="24"/>
        </w:rPr>
      </w:pPr>
    </w:p>
    <w:p w:rsidR="005B14A5" w:rsidRPr="00EA48F2" w:rsidRDefault="005B14A5" w:rsidP="00A678AD">
      <w:pPr>
        <w:spacing w:after="0" w:line="240" w:lineRule="auto"/>
        <w:jc w:val="both"/>
        <w:rPr>
          <w:rFonts w:ascii="Times New Roman" w:eastAsia="Times New Roman" w:hAnsi="Times New Roman"/>
          <w:b/>
          <w:sz w:val="24"/>
          <w:szCs w:val="24"/>
        </w:rPr>
      </w:pPr>
      <w:r w:rsidRPr="00EA48F2">
        <w:rPr>
          <w:rFonts w:ascii="Times New Roman" w:eastAsia="Times New Roman" w:hAnsi="Times New Roman"/>
          <w:b/>
          <w:sz w:val="24"/>
          <w:szCs w:val="24"/>
        </w:rPr>
        <w:t>ACKNOWLEDGEMENTS</w:t>
      </w:r>
    </w:p>
    <w:p w:rsidR="005B14A5" w:rsidRPr="00EA48F2" w:rsidRDefault="005B14A5" w:rsidP="00A678AD">
      <w:pPr>
        <w:spacing w:after="0" w:line="240" w:lineRule="auto"/>
        <w:jc w:val="both"/>
        <w:rPr>
          <w:rFonts w:ascii="Times New Roman" w:hAnsi="Times New Roman"/>
          <w:color w:val="000000"/>
          <w:sz w:val="24"/>
          <w:szCs w:val="24"/>
          <w:lang w:val="en-GB"/>
        </w:rPr>
      </w:pPr>
      <w:r w:rsidRPr="00EA48F2">
        <w:rPr>
          <w:rFonts w:ascii="Times New Roman" w:hAnsi="Times New Roman"/>
          <w:color w:val="000000"/>
          <w:sz w:val="24"/>
          <w:szCs w:val="24"/>
          <w:lang w:val="en-GB"/>
        </w:rPr>
        <w:t xml:space="preserve">We are thankful to mental health cadres in Kalegen Village, Bandongan, Central Java, for their participation in this study. </w:t>
      </w:r>
    </w:p>
    <w:p w:rsidR="005B14A5" w:rsidRPr="00EA48F2" w:rsidRDefault="005B14A5" w:rsidP="00A678AD">
      <w:pPr>
        <w:spacing w:after="0" w:line="240" w:lineRule="auto"/>
        <w:jc w:val="both"/>
        <w:rPr>
          <w:rFonts w:ascii="Times New Roman" w:hAnsi="Times New Roman"/>
          <w:b/>
          <w:sz w:val="24"/>
          <w:szCs w:val="24"/>
        </w:rPr>
      </w:pPr>
    </w:p>
    <w:p w:rsidR="005B14A5" w:rsidRPr="00EA48F2" w:rsidRDefault="005B14A5" w:rsidP="00A678AD">
      <w:pPr>
        <w:spacing w:after="0" w:line="240" w:lineRule="auto"/>
        <w:jc w:val="both"/>
        <w:rPr>
          <w:rFonts w:ascii="Times New Roman" w:hAnsi="Times New Roman"/>
          <w:b/>
          <w:sz w:val="24"/>
          <w:szCs w:val="24"/>
        </w:rPr>
      </w:pPr>
      <w:r w:rsidRPr="00EA48F2">
        <w:rPr>
          <w:rFonts w:ascii="Times New Roman" w:hAnsi="Times New Roman"/>
          <w:b/>
          <w:sz w:val="24"/>
          <w:szCs w:val="24"/>
        </w:rPr>
        <w:t>REFERENCES</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Barnett OW. (2001). Why battered women do not leave, part 2: External inhibiting factors — social support and internal inhibiting factors. </w:t>
      </w:r>
      <w:r w:rsidRPr="00EA48F2">
        <w:rPr>
          <w:b w:val="0"/>
          <w:i/>
          <w:color w:val="000000"/>
          <w:sz w:val="24"/>
          <w:szCs w:val="24"/>
        </w:rPr>
        <w:t xml:space="preserve">Trauma, Violence, and Abuse, </w:t>
      </w:r>
      <w:r w:rsidRPr="00EA48F2">
        <w:rPr>
          <w:b w:val="0"/>
          <w:color w:val="000000"/>
          <w:sz w:val="24"/>
          <w:szCs w:val="24"/>
        </w:rPr>
        <w:t> 2, 3–35.</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Carlson, B. E., McNutt, L., Choi, D.Y., Rose, I.M. (2002) Intimate partner abuse and mental health: The role of social support and other protective factors. Violence Against Women, 8, 720-745.</w:t>
      </w:r>
    </w:p>
    <w:p w:rsidR="005B14A5" w:rsidRPr="00EA48F2" w:rsidRDefault="00FE0DF7" w:rsidP="00A678AD">
      <w:pPr>
        <w:pStyle w:val="Heading1"/>
        <w:numPr>
          <w:ilvl w:val="0"/>
          <w:numId w:val="1"/>
        </w:numPr>
        <w:spacing w:before="0" w:beforeAutospacing="0" w:after="0" w:afterAutospacing="0"/>
        <w:ind w:left="360"/>
        <w:jc w:val="both"/>
        <w:rPr>
          <w:b w:val="0"/>
          <w:color w:val="000000"/>
          <w:sz w:val="24"/>
          <w:szCs w:val="24"/>
        </w:rPr>
      </w:pPr>
      <w:hyperlink r:id="rId16" w:history="1">
        <w:r w:rsidR="005B14A5" w:rsidRPr="00EA48F2">
          <w:rPr>
            <w:b w:val="0"/>
            <w:color w:val="000000"/>
            <w:sz w:val="24"/>
            <w:szCs w:val="24"/>
          </w:rPr>
          <w:t>Denise Hien</w:t>
        </w:r>
      </w:hyperlink>
      <w:r w:rsidR="005B14A5" w:rsidRPr="00EA48F2">
        <w:rPr>
          <w:b w:val="0"/>
          <w:color w:val="000000"/>
          <w:sz w:val="24"/>
          <w:szCs w:val="24"/>
        </w:rPr>
        <w:t xml:space="preserve">, D., </w:t>
      </w:r>
      <w:hyperlink r:id="rId17" w:history="1">
        <w:r w:rsidR="005B14A5" w:rsidRPr="00EA48F2">
          <w:rPr>
            <w:b w:val="0"/>
            <w:color w:val="000000"/>
            <w:sz w:val="24"/>
            <w:szCs w:val="24"/>
          </w:rPr>
          <w:t>Ruglass</w:t>
        </w:r>
      </w:hyperlink>
      <w:r w:rsidR="005B14A5" w:rsidRPr="00EA48F2">
        <w:rPr>
          <w:b w:val="0"/>
          <w:color w:val="000000"/>
          <w:sz w:val="24"/>
          <w:szCs w:val="24"/>
        </w:rPr>
        <w:t xml:space="preserve">, L. (2009). Interpersonal partner violence and women in the United States: An overview of prevalence rates, psychiatric correlates and consequences and barriers to help seeking. </w:t>
      </w:r>
      <w:hyperlink r:id="rId18" w:tgtFrame="pmc_ext" w:history="1">
        <w:r w:rsidR="005B14A5" w:rsidRPr="00EA48F2">
          <w:rPr>
            <w:b w:val="0"/>
            <w:i/>
            <w:color w:val="000000"/>
            <w:sz w:val="24"/>
            <w:szCs w:val="24"/>
          </w:rPr>
          <w:t>Int J Law Psychiatry</w:t>
        </w:r>
        <w:r w:rsidR="005B14A5" w:rsidRPr="00EA48F2">
          <w:rPr>
            <w:b w:val="0"/>
            <w:color w:val="000000"/>
            <w:sz w:val="24"/>
            <w:szCs w:val="24"/>
          </w:rPr>
          <w:t>, 32(1), 48–55.</w:t>
        </w:r>
      </w:hyperlink>
      <w:r w:rsidR="005B14A5" w:rsidRPr="00EA48F2">
        <w:rPr>
          <w:b w:val="0"/>
          <w:color w:val="000000"/>
          <w:sz w:val="24"/>
          <w:szCs w:val="24"/>
        </w:rPr>
        <w:t xml:space="preserve">  doi:  </w:t>
      </w:r>
      <w:hyperlink r:id="rId19" w:tgtFrame="pmc_ext" w:history="1">
        <w:r w:rsidR="005B14A5" w:rsidRPr="00EA48F2">
          <w:rPr>
            <w:b w:val="0"/>
            <w:color w:val="000000"/>
            <w:sz w:val="24"/>
            <w:szCs w:val="24"/>
          </w:rPr>
          <w:t>10.1016/j.ijlp.2008.11.003</w:t>
        </w:r>
      </w:hyperlink>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Fransiska, Y. (2012). Gambaran pengetahuan dan sikap perempuan dewasa tentang kekerasan dalam rumah tangga (KDRT) di RW 10 Kelurahan Sukamaju Baru, Kecamatan Tapos, Kota Depok. S1 Skripsi. FIK UI.</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Godenzi, A., De Puy, J. (2001) Overcoming boundaries: A cross-cultural inventory of primary prevention programs against wife abuse and child abuse. </w:t>
      </w:r>
      <w:r w:rsidRPr="00EA48F2">
        <w:rPr>
          <w:b w:val="0"/>
          <w:i/>
          <w:color w:val="000000"/>
          <w:sz w:val="24"/>
          <w:szCs w:val="24"/>
        </w:rPr>
        <w:t>Journal of Primary Prevention</w:t>
      </w:r>
      <w:r w:rsidRPr="00EA48F2">
        <w:rPr>
          <w:b w:val="0"/>
          <w:color w:val="000000"/>
          <w:sz w:val="24"/>
          <w:szCs w:val="24"/>
        </w:rPr>
        <w:t>, 21, 455-475</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Hayati, E.N. (2013). Domestic violence against women in rural Indonesia. Searching for multilevel prevention. Umeå University Medical Dissertations. New Series No 1617 ISSN: 0346-6612 ISBN:978-91-7459-772-1</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Harvey, A., Garcia-Moreno, C., Butchart, A. (2007) Primary prevention of intimate partner violence and sexual violence: Background paper for WHO expert meeting May 2-3, 2007, Geneva, WHO.</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Heise, L. L. (1998) Violence against women: An integrated, ecological framework. Violence Against Women, 4, 262-290.</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lastRenderedPageBreak/>
        <w:t>Heise, L. L. What Works to Prevent Partner Violence: An Evidence Overview, STRIVE Research Consortium, London School of Hygiene and Tropical Medicine, London, UK. 2011.</w:t>
      </w:r>
    </w:p>
    <w:p w:rsidR="005B14A5" w:rsidRPr="00EA48F2" w:rsidRDefault="00FE0DF7" w:rsidP="00A678AD">
      <w:pPr>
        <w:pStyle w:val="Heading1"/>
        <w:numPr>
          <w:ilvl w:val="0"/>
          <w:numId w:val="1"/>
        </w:numPr>
        <w:spacing w:before="0" w:beforeAutospacing="0" w:after="0" w:afterAutospacing="0"/>
        <w:ind w:left="360"/>
        <w:jc w:val="both"/>
        <w:rPr>
          <w:b w:val="0"/>
          <w:color w:val="000000"/>
          <w:sz w:val="24"/>
          <w:szCs w:val="24"/>
        </w:rPr>
      </w:pPr>
      <w:hyperlink r:id="rId20" w:history="1">
        <w:r w:rsidR="005B14A5" w:rsidRPr="00EA48F2">
          <w:rPr>
            <w:b w:val="0"/>
            <w:color w:val="000000"/>
            <w:sz w:val="24"/>
            <w:szCs w:val="24"/>
          </w:rPr>
          <w:t>Indu</w:t>
        </w:r>
      </w:hyperlink>
      <w:r w:rsidR="005B14A5" w:rsidRPr="00EA48F2">
        <w:rPr>
          <w:b w:val="0"/>
          <w:color w:val="000000"/>
          <w:sz w:val="24"/>
          <w:szCs w:val="24"/>
        </w:rPr>
        <w:t>, P. V.,  </w:t>
      </w:r>
      <w:hyperlink r:id="rId21" w:history="1">
        <w:r w:rsidR="005B14A5" w:rsidRPr="00EA48F2">
          <w:rPr>
            <w:b w:val="0"/>
            <w:color w:val="000000"/>
            <w:sz w:val="24"/>
            <w:szCs w:val="24"/>
          </w:rPr>
          <w:t>Remadevi</w:t>
        </w:r>
      </w:hyperlink>
      <w:r w:rsidR="005B14A5" w:rsidRPr="00EA48F2">
        <w:rPr>
          <w:b w:val="0"/>
          <w:color w:val="000000"/>
          <w:sz w:val="24"/>
          <w:szCs w:val="24"/>
        </w:rPr>
        <w:t xml:space="preserve">, S., </w:t>
      </w:r>
      <w:hyperlink r:id="rId22" w:history="1">
        <w:r w:rsidR="005B14A5" w:rsidRPr="00EA48F2">
          <w:rPr>
            <w:b w:val="0"/>
            <w:color w:val="000000"/>
            <w:sz w:val="24"/>
            <w:szCs w:val="24"/>
          </w:rPr>
          <w:t>Vidhukumar</w:t>
        </w:r>
      </w:hyperlink>
      <w:r w:rsidR="005B14A5" w:rsidRPr="00EA48F2">
        <w:rPr>
          <w:b w:val="0"/>
          <w:color w:val="000000"/>
          <w:sz w:val="24"/>
          <w:szCs w:val="24"/>
        </w:rPr>
        <w:t>, K.,  </w:t>
      </w:r>
      <w:hyperlink r:id="rId23" w:history="1">
        <w:r w:rsidR="005B14A5" w:rsidRPr="00EA48F2">
          <w:rPr>
            <w:b w:val="0"/>
            <w:color w:val="000000"/>
            <w:sz w:val="24"/>
            <w:szCs w:val="24"/>
          </w:rPr>
          <w:t>T. V. Anilkumar</w:t>
        </w:r>
      </w:hyperlink>
      <w:r w:rsidR="005B14A5" w:rsidRPr="00EA48F2">
        <w:rPr>
          <w:b w:val="0"/>
          <w:color w:val="000000"/>
          <w:sz w:val="24"/>
          <w:szCs w:val="24"/>
        </w:rPr>
        <w:t>, T. V., and </w:t>
      </w:r>
      <w:hyperlink r:id="rId24" w:history="1">
        <w:r w:rsidR="005B14A5" w:rsidRPr="00EA48F2">
          <w:rPr>
            <w:b w:val="0"/>
            <w:color w:val="000000"/>
            <w:sz w:val="24"/>
            <w:szCs w:val="24"/>
          </w:rPr>
          <w:t>Subha</w:t>
        </w:r>
      </w:hyperlink>
      <w:r w:rsidR="005B14A5" w:rsidRPr="00EA48F2">
        <w:rPr>
          <w:b w:val="0"/>
          <w:color w:val="000000"/>
          <w:sz w:val="24"/>
          <w:szCs w:val="24"/>
        </w:rPr>
        <w:t xml:space="preserve">, N. (2011). Development and validation of the Domestic Violence Questionnaire in married women aged 18–55 years. </w:t>
      </w:r>
      <w:hyperlink r:id="rId25" w:history="1">
        <w:r w:rsidR="005B14A5" w:rsidRPr="00EA48F2">
          <w:rPr>
            <w:b w:val="0"/>
            <w:i/>
            <w:color w:val="000000"/>
            <w:sz w:val="24"/>
            <w:szCs w:val="24"/>
          </w:rPr>
          <w:t>Indian J Psychiatry</w:t>
        </w:r>
      </w:hyperlink>
      <w:r w:rsidR="005B14A5" w:rsidRPr="00EA48F2">
        <w:rPr>
          <w:b w:val="0"/>
          <w:color w:val="000000"/>
          <w:sz w:val="24"/>
          <w:szCs w:val="24"/>
        </w:rPr>
        <w:t>. 53(3), 218–223. doi:  </w:t>
      </w:r>
      <w:hyperlink r:id="rId26" w:tgtFrame="pmc_ext" w:history="1">
        <w:r w:rsidR="005B14A5" w:rsidRPr="00EA48F2">
          <w:rPr>
            <w:b w:val="0"/>
            <w:color w:val="000000"/>
            <w:sz w:val="24"/>
            <w:szCs w:val="24"/>
          </w:rPr>
          <w:t>10.4103/0019-5545.86811</w:t>
        </w:r>
      </w:hyperlink>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Keliat, B.A., Akemat, Daulima, N.H.C, dan Nurhaeni, H. (2011). Keperawatan kesehatan jiwa komunitas: CMHN (Basic Course). Jakarta: EGC.</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Lovestad, S., Krantz, G. (2012). Men’s and women’s exposure and perpetration of partner violence: an epidemiological study from Sweden. </w:t>
      </w:r>
      <w:r w:rsidRPr="00EA48F2">
        <w:rPr>
          <w:b w:val="0"/>
          <w:i/>
          <w:color w:val="000000"/>
          <w:sz w:val="24"/>
          <w:szCs w:val="24"/>
        </w:rPr>
        <w:t>BMC Public Health</w:t>
      </w:r>
      <w:r w:rsidRPr="00EA48F2">
        <w:rPr>
          <w:b w:val="0"/>
          <w:color w:val="000000"/>
          <w:sz w:val="24"/>
          <w:szCs w:val="24"/>
        </w:rPr>
        <w:t>. 12, 945.</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Nybergh, L., Taft, C., Enander, V., Krantz, G. (2013). Self-reported exposure to intimate partner violence among women and men in Sweden: results from a population based survey. </w:t>
      </w:r>
      <w:r w:rsidRPr="00EA48F2">
        <w:rPr>
          <w:b w:val="0"/>
          <w:i/>
          <w:color w:val="000000"/>
          <w:sz w:val="24"/>
          <w:szCs w:val="24"/>
        </w:rPr>
        <w:t>BMC Public Health</w:t>
      </w:r>
      <w:r w:rsidRPr="00EA48F2">
        <w:rPr>
          <w:b w:val="0"/>
          <w:color w:val="000000"/>
          <w:sz w:val="24"/>
          <w:szCs w:val="24"/>
        </w:rPr>
        <w:t>. 13, 845.</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Patmisari. Persepsi warga desa Panggungharjo Sewon Bantul tentang kekerasan dalam rumah tangga. (2014). S1 thesis. UNY. From:  </w:t>
      </w:r>
      <w:hyperlink r:id="rId27" w:anchor="group_P" w:history="1">
        <w:r w:rsidRPr="00EA48F2">
          <w:rPr>
            <w:b w:val="0"/>
            <w:color w:val="000000"/>
            <w:sz w:val="24"/>
            <w:szCs w:val="24"/>
          </w:rPr>
          <w:t>http://eprints.uny.ac.id/view/divisions/fis=5Fpkn/2014.html#group_P</w:t>
        </w:r>
      </w:hyperlink>
      <w:r w:rsidRPr="00EA48F2">
        <w:rPr>
          <w:b w:val="0"/>
          <w:color w:val="000000"/>
          <w:sz w:val="24"/>
          <w:szCs w:val="24"/>
        </w:rPr>
        <w:t>. Accessed February 13th, 2017</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Rennison CM, Welchans S.(2000).  Intimate partner violence (NCJ No. 178247) U.S. Department of Justice; Washington, DC. </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Tjaden P, Thoennes N. (2000). Full report of the prevalence, incidence, and consequences of violence against women: Findings from the National Violence Against Women Survey (NCJ183781) U.S. Department of Justice, National Institute of Justice; Washington, DC.</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 xml:space="preserve">Utami, D. R. W. W. </w:t>
      </w:r>
      <w:r w:rsidRPr="00EA48F2">
        <w:rPr>
          <w:b w:val="0"/>
          <w:color w:val="000000"/>
          <w:sz w:val="24"/>
          <w:szCs w:val="24"/>
          <w:lang w:val="id-ID"/>
        </w:rPr>
        <w:t>Violence Against Women Survey</w:t>
      </w:r>
      <w:r w:rsidRPr="00EA48F2">
        <w:rPr>
          <w:b w:val="0"/>
          <w:color w:val="000000"/>
          <w:sz w:val="24"/>
          <w:szCs w:val="24"/>
          <w:lang w:val="id-ID"/>
        </w:rPr>
        <w:br/>
        <w:t>In Indonesia</w:t>
      </w:r>
      <w:r w:rsidRPr="00EA48F2">
        <w:rPr>
          <w:b w:val="0"/>
          <w:color w:val="000000"/>
          <w:sz w:val="24"/>
          <w:szCs w:val="24"/>
        </w:rPr>
        <w:t xml:space="preserve">. </w:t>
      </w:r>
      <w:r w:rsidRPr="00EA48F2">
        <w:rPr>
          <w:b w:val="0"/>
          <w:color w:val="000000"/>
          <w:sz w:val="24"/>
          <w:szCs w:val="24"/>
          <w:lang w:val="id-ID"/>
        </w:rPr>
        <w:t>Workshop on Improving the Integration of Gender Perspective into</w:t>
      </w:r>
      <w:r w:rsidRPr="00EA48F2">
        <w:rPr>
          <w:b w:val="0"/>
          <w:color w:val="000000"/>
          <w:sz w:val="24"/>
          <w:szCs w:val="24"/>
        </w:rPr>
        <w:t xml:space="preserve"> </w:t>
      </w:r>
      <w:r w:rsidRPr="00EA48F2">
        <w:rPr>
          <w:b w:val="0"/>
          <w:color w:val="000000"/>
          <w:sz w:val="24"/>
          <w:szCs w:val="24"/>
          <w:lang w:val="id-ID"/>
        </w:rPr>
        <w:t>Official Statistics, Chiba, Japan, 16-19 April 2013</w:t>
      </w:r>
      <w:r w:rsidRPr="00EA48F2">
        <w:rPr>
          <w:b w:val="0"/>
          <w:color w:val="000000"/>
          <w:sz w:val="24"/>
          <w:szCs w:val="24"/>
        </w:rPr>
        <w:t>.</w:t>
      </w:r>
    </w:p>
    <w:p w:rsidR="005B14A5" w:rsidRPr="00EA48F2" w:rsidRDefault="005B14A5" w:rsidP="00A678AD">
      <w:pPr>
        <w:pStyle w:val="Heading1"/>
        <w:numPr>
          <w:ilvl w:val="0"/>
          <w:numId w:val="1"/>
        </w:numPr>
        <w:spacing w:before="0" w:beforeAutospacing="0" w:after="0" w:afterAutospacing="0"/>
        <w:ind w:left="360"/>
        <w:jc w:val="both"/>
        <w:rPr>
          <w:b w:val="0"/>
          <w:color w:val="000000"/>
          <w:sz w:val="24"/>
          <w:szCs w:val="24"/>
        </w:rPr>
      </w:pPr>
      <w:r w:rsidRPr="00EA48F2">
        <w:rPr>
          <w:b w:val="0"/>
          <w:color w:val="000000"/>
          <w:sz w:val="24"/>
          <w:szCs w:val="24"/>
        </w:rPr>
        <w:t>WHO. (2013). Global and regional estimates of violence against women: Prevalence and health effects of intimate partner violence and non-partner sexual violence. Geneva,WHO.</w:t>
      </w:r>
    </w:p>
    <w:p w:rsidR="005B14A5" w:rsidRPr="00EA48F2" w:rsidRDefault="005B14A5" w:rsidP="00A678AD">
      <w:pPr>
        <w:spacing w:after="0" w:line="240" w:lineRule="auto"/>
        <w:rPr>
          <w:rFonts w:ascii="Times New Roman" w:hAnsi="Times New Roman"/>
          <w:sz w:val="24"/>
          <w:szCs w:val="24"/>
        </w:rPr>
      </w:pPr>
    </w:p>
    <w:p w:rsidR="00923679" w:rsidRPr="00EA48F2" w:rsidRDefault="00923679" w:rsidP="00A678AD">
      <w:pPr>
        <w:spacing w:line="240" w:lineRule="auto"/>
        <w:rPr>
          <w:rFonts w:ascii="Times New Roman" w:hAnsi="Times New Roman"/>
          <w:sz w:val="24"/>
          <w:szCs w:val="24"/>
        </w:rPr>
      </w:pPr>
    </w:p>
    <w:sectPr w:rsidR="00923679" w:rsidRPr="00EA48F2" w:rsidSect="00A93CBA">
      <w:footerReference w:type="default" r:id="rId28"/>
      <w:pgSz w:w="12240" w:h="15840" w:code="1"/>
      <w:pgMar w:top="1440" w:right="1440" w:bottom="169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DE" w:rsidRDefault="005747DE" w:rsidP="00BC534A">
      <w:pPr>
        <w:spacing w:after="0" w:line="240" w:lineRule="auto"/>
      </w:pPr>
      <w:r>
        <w:separator/>
      </w:r>
    </w:p>
  </w:endnote>
  <w:endnote w:type="continuationSeparator" w:id="1">
    <w:p w:rsidR="005747DE" w:rsidRDefault="005747DE" w:rsidP="00BC5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57"/>
      <w:docPartObj>
        <w:docPartGallery w:val="Page Numbers (Bottom of Page)"/>
        <w:docPartUnique/>
      </w:docPartObj>
    </w:sdtPr>
    <w:sdtContent>
      <w:p w:rsidR="00A51EEA" w:rsidRDefault="00FE0DF7">
        <w:pPr>
          <w:pStyle w:val="Footer"/>
          <w:jc w:val="right"/>
        </w:pPr>
        <w:r>
          <w:fldChar w:fldCharType="begin"/>
        </w:r>
        <w:r w:rsidR="009334E2">
          <w:instrText xml:space="preserve"> PAGE   \* MERGEFORMAT </w:instrText>
        </w:r>
        <w:r>
          <w:fldChar w:fldCharType="separate"/>
        </w:r>
        <w:r w:rsidR="00EA48F2">
          <w:rPr>
            <w:noProof/>
          </w:rPr>
          <w:t>6</w:t>
        </w:r>
        <w:r>
          <w:fldChar w:fldCharType="end"/>
        </w:r>
      </w:p>
    </w:sdtContent>
  </w:sdt>
  <w:p w:rsidR="00A51EEA" w:rsidRDefault="005747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DE" w:rsidRDefault="005747DE" w:rsidP="00BC534A">
      <w:pPr>
        <w:spacing w:after="0" w:line="240" w:lineRule="auto"/>
      </w:pPr>
      <w:r>
        <w:separator/>
      </w:r>
    </w:p>
  </w:footnote>
  <w:footnote w:type="continuationSeparator" w:id="1">
    <w:p w:rsidR="005747DE" w:rsidRDefault="005747DE" w:rsidP="00BC5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11C7C"/>
    <w:multiLevelType w:val="hybridMultilevel"/>
    <w:tmpl w:val="08AE52B4"/>
    <w:lvl w:ilvl="0" w:tplc="9CD2BB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48267C"/>
    <w:multiLevelType w:val="hybridMultilevel"/>
    <w:tmpl w:val="4494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B14A5"/>
    <w:rsid w:val="00120E0C"/>
    <w:rsid w:val="00145C15"/>
    <w:rsid w:val="001F5EFD"/>
    <w:rsid w:val="00230F70"/>
    <w:rsid w:val="002A4853"/>
    <w:rsid w:val="003E3542"/>
    <w:rsid w:val="00455A3D"/>
    <w:rsid w:val="004E4B05"/>
    <w:rsid w:val="005309BD"/>
    <w:rsid w:val="005747DE"/>
    <w:rsid w:val="005B14A5"/>
    <w:rsid w:val="006A7FAA"/>
    <w:rsid w:val="00923679"/>
    <w:rsid w:val="00924B07"/>
    <w:rsid w:val="009334E2"/>
    <w:rsid w:val="00A678AD"/>
    <w:rsid w:val="00BC1DA9"/>
    <w:rsid w:val="00BC534A"/>
    <w:rsid w:val="00C30266"/>
    <w:rsid w:val="00CF122C"/>
    <w:rsid w:val="00D8158F"/>
    <w:rsid w:val="00E04017"/>
    <w:rsid w:val="00E86BFF"/>
    <w:rsid w:val="00EA48F2"/>
    <w:rsid w:val="00F30030"/>
    <w:rsid w:val="00FE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A5"/>
    <w:rPr>
      <w:rFonts w:ascii="Calibri" w:eastAsia="Calibri" w:hAnsi="Calibri" w:cs="Times New Roman"/>
    </w:rPr>
  </w:style>
  <w:style w:type="paragraph" w:styleId="Heading1">
    <w:name w:val="heading 1"/>
    <w:basedOn w:val="Normal"/>
    <w:link w:val="Heading1Char"/>
    <w:uiPriority w:val="9"/>
    <w:qFormat/>
    <w:rsid w:val="005B14A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A5"/>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5B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A5"/>
    <w:rPr>
      <w:rFonts w:ascii="Calibri" w:eastAsia="Calibri" w:hAnsi="Calibri" w:cs="Times New Roman"/>
    </w:rPr>
  </w:style>
  <w:style w:type="table" w:styleId="TableGrid">
    <w:name w:val="Table Grid"/>
    <w:basedOn w:val="TableNormal"/>
    <w:uiPriority w:val="59"/>
    <w:rsid w:val="005B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4A5"/>
    <w:pPr>
      <w:ind w:left="720"/>
      <w:contextualSpacing/>
    </w:pPr>
  </w:style>
  <w:style w:type="character" w:styleId="Hyperlink">
    <w:name w:val="Hyperlink"/>
    <w:basedOn w:val="DefaultParagraphFont"/>
    <w:unhideWhenUsed/>
    <w:rsid w:val="005B14A5"/>
    <w:rPr>
      <w:color w:val="0000FF"/>
      <w:u w:val="single"/>
    </w:rPr>
  </w:style>
  <w:style w:type="paragraph" w:customStyle="1" w:styleId="PaperTitle">
    <w:name w:val="Paper Title"/>
    <w:basedOn w:val="Normal"/>
    <w:next w:val="AuthorName"/>
    <w:rsid w:val="009334E2"/>
    <w:pPr>
      <w:spacing w:before="1200" w:after="0" w:line="240" w:lineRule="auto"/>
      <w:jc w:val="center"/>
    </w:pPr>
    <w:rPr>
      <w:rFonts w:ascii="Times New Roman" w:eastAsia="Times New Roman" w:hAnsi="Times New Roman"/>
      <w:b/>
      <w:sz w:val="36"/>
      <w:szCs w:val="20"/>
    </w:rPr>
  </w:style>
  <w:style w:type="paragraph" w:customStyle="1" w:styleId="AuthorName">
    <w:name w:val="Author Name"/>
    <w:basedOn w:val="Normal"/>
    <w:next w:val="AuthorAffiliation"/>
    <w:rsid w:val="009334E2"/>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Normal"/>
    <w:rsid w:val="009334E2"/>
    <w:pPr>
      <w:spacing w:after="0" w:line="240" w:lineRule="auto"/>
      <w:jc w:val="center"/>
    </w:pPr>
    <w:rPr>
      <w:rFonts w:ascii="Times New Roman" w:eastAsia="Times New Roman" w:hAnsi="Times New Roman"/>
      <w:i/>
      <w:sz w:val="20"/>
      <w:szCs w:val="20"/>
    </w:rPr>
  </w:style>
  <w:style w:type="paragraph" w:customStyle="1" w:styleId="Abstract">
    <w:name w:val="Abstract"/>
    <w:basedOn w:val="Normal"/>
    <w:next w:val="Heading1"/>
    <w:rsid w:val="009334E2"/>
    <w:pPr>
      <w:spacing w:before="360" w:after="360" w:line="240" w:lineRule="auto"/>
      <w:ind w:left="289" w:right="289"/>
      <w:jc w:val="both"/>
    </w:pPr>
    <w:rPr>
      <w:rFonts w:ascii="Times New Roman" w:eastAsia="Times New Roman" w:hAnsi="Times New Roman"/>
      <w:sz w:val="18"/>
      <w:szCs w:val="20"/>
    </w:rPr>
  </w:style>
  <w:style w:type="paragraph" w:customStyle="1" w:styleId="AuthorEmail">
    <w:name w:val="Author Email"/>
    <w:basedOn w:val="Normal"/>
    <w:qFormat/>
    <w:rsid w:val="009334E2"/>
    <w:pPr>
      <w:spacing w:after="0" w:line="240" w:lineRule="auto"/>
      <w:jc w:val="center"/>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933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E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itriredjeki@ymail.com" TargetMode="External"/><Relationship Id="rId13" Type="http://schemas.openxmlformats.org/officeDocument/2006/relationships/hyperlink" Target="https://www.ncbi.nlm.nih.gov/pmc/articles/PMC3468326/" TargetMode="External"/><Relationship Id="rId18" Type="http://schemas.openxmlformats.org/officeDocument/2006/relationships/hyperlink" Target="https://www.ncbi.nlm.nih.gov/entrez/eutils/elink.fcgi?dbfrom=pubmed&amp;retmode=ref&amp;cmd=prlinks&amp;id=19101036" TargetMode="External"/><Relationship Id="rId26" Type="http://schemas.openxmlformats.org/officeDocument/2006/relationships/hyperlink" Target="https://dx.doi.org/10.4103%2F0019-5545.86811" TargetMode="External"/><Relationship Id="rId3" Type="http://schemas.openxmlformats.org/officeDocument/2006/relationships/styles" Target="styles.xml"/><Relationship Id="rId21" Type="http://schemas.openxmlformats.org/officeDocument/2006/relationships/hyperlink" Target="https://www.ncbi.nlm.nih.gov/pubmed/?term=Remadevi%20S%5BAuthor%5D&amp;cauthor=true&amp;cauthor_uid=22135439" TargetMode="External"/><Relationship Id="rId7" Type="http://schemas.openxmlformats.org/officeDocument/2006/relationships/endnotes" Target="endnotes.xml"/><Relationship Id="rId12" Type="http://schemas.openxmlformats.org/officeDocument/2006/relationships/hyperlink" Target="https://www.ncbi.nlm.nih.gov/pmc/articles/PMC3468326/" TargetMode="External"/><Relationship Id="rId17" Type="http://schemas.openxmlformats.org/officeDocument/2006/relationships/hyperlink" Target="https://www.ncbi.nlm.nih.gov/pubmed/?term=Ruglass%20L%5BAuthor%5D&amp;cauthor=true&amp;cauthor_uid=19101036" TargetMode="External"/><Relationship Id="rId25" Type="http://schemas.openxmlformats.org/officeDocument/2006/relationships/hyperlink" Target="https://www.ncbi.nlm.nih.gov/pmc/articles/PMC3221177/" TargetMode="External"/><Relationship Id="rId2" Type="http://schemas.openxmlformats.org/officeDocument/2006/relationships/numbering" Target="numbering.xml"/><Relationship Id="rId16" Type="http://schemas.openxmlformats.org/officeDocument/2006/relationships/hyperlink" Target="https://www.ncbi.nlm.nih.gov/pubmed/?term=Hien%20D%5BAuthor%5D&amp;cauthor=true&amp;cauthor_uid=19101036" TargetMode="External"/><Relationship Id="rId20" Type="http://schemas.openxmlformats.org/officeDocument/2006/relationships/hyperlink" Target="https://www.ncbi.nlm.nih.gov/pubmed/?term=Indu%20PV%5BAuthor%5D&amp;cauthor=true&amp;cauthor_uid=221354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Ruglass%20L%5BAuthor%5D&amp;cauthor=true&amp;cauthor_uid=19101036" TargetMode="External"/><Relationship Id="rId24" Type="http://schemas.openxmlformats.org/officeDocument/2006/relationships/hyperlink" Target="https://www.ncbi.nlm.nih.gov/pubmed/?term=Subha%20N%5BAuthor%5D&amp;cauthor=true&amp;cauthor_uid=22135439" TargetMode="External"/><Relationship Id="rId5" Type="http://schemas.openxmlformats.org/officeDocument/2006/relationships/webSettings" Target="webSettings.xml"/><Relationship Id="rId15" Type="http://schemas.openxmlformats.org/officeDocument/2006/relationships/hyperlink" Target="https://www.ncbi.nlm.nih.gov/pmc/articles/PMC3468326/" TargetMode="External"/><Relationship Id="rId23" Type="http://schemas.openxmlformats.org/officeDocument/2006/relationships/hyperlink" Target="https://www.ncbi.nlm.nih.gov/pubmed/?term=Anilkumar%20TV%5BAuthor%5D&amp;cauthor=true&amp;cauthor_uid=22135439" TargetMode="External"/><Relationship Id="rId28" Type="http://schemas.openxmlformats.org/officeDocument/2006/relationships/footer" Target="footer1.xml"/><Relationship Id="rId10" Type="http://schemas.openxmlformats.org/officeDocument/2006/relationships/hyperlink" Target="mailto:adiisworo@yahoo.com" TargetMode="External"/><Relationship Id="rId19" Type="http://schemas.openxmlformats.org/officeDocument/2006/relationships/hyperlink" Target="https://dx.doi.org/10.1016%2Fj.ijlp.2008.11.003" TargetMode="External"/><Relationship Id="rId4" Type="http://schemas.openxmlformats.org/officeDocument/2006/relationships/settings" Target="settings.xml"/><Relationship Id="rId9" Type="http://schemas.openxmlformats.org/officeDocument/2006/relationships/hyperlink" Target="mailto:sunarmiko@gmail.com" TargetMode="External"/><Relationship Id="rId14" Type="http://schemas.openxmlformats.org/officeDocument/2006/relationships/chart" Target="charts/chart1.xml"/><Relationship Id="rId22" Type="http://schemas.openxmlformats.org/officeDocument/2006/relationships/hyperlink" Target="https://www.ncbi.nlm.nih.gov/pubmed/?term=Vidhukumar%20K%5BAuthor%5D&amp;cauthor=true&amp;cauthor_uid=22135439" TargetMode="External"/><Relationship Id="rId27" Type="http://schemas.openxmlformats.org/officeDocument/2006/relationships/hyperlink" Target="http://eprints.uny.ac.id/view/divisions/fis=5Fpkn/2014.htm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dan%20pengabdian%20masyarakat\Pengabdian%20masyarakat\kumpulan%20PENGABMAS%20ERNA\ERNA%202017\data%20in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'analisa data'!$I$57</c:f>
              <c:strCache>
                <c:ptCount val="1"/>
                <c:pt idx="0">
                  <c:v>Detection</c:v>
                </c:pt>
              </c:strCache>
            </c:strRef>
          </c:tx>
          <c:spPr>
            <a:ln>
              <a:solidFill>
                <a:schemeClr val="bg1">
                  <a:lumMod val="65000"/>
                </a:schemeClr>
              </a:solidFill>
            </a:ln>
          </c:spPr>
          <c:marker>
            <c:symbol val="none"/>
          </c:marker>
          <c:cat>
            <c:strRef>
              <c:f>'analisa data'!$J$56:$K$56</c:f>
              <c:strCache>
                <c:ptCount val="2"/>
                <c:pt idx="0">
                  <c:v>pre</c:v>
                </c:pt>
                <c:pt idx="1">
                  <c:v>post</c:v>
                </c:pt>
              </c:strCache>
            </c:strRef>
          </c:cat>
          <c:val>
            <c:numRef>
              <c:f>'analisa data'!$J$57:$K$57</c:f>
              <c:numCache>
                <c:formatCode>General</c:formatCode>
                <c:ptCount val="2"/>
                <c:pt idx="0">
                  <c:v>50</c:v>
                </c:pt>
                <c:pt idx="1">
                  <c:v>73</c:v>
                </c:pt>
              </c:numCache>
            </c:numRef>
          </c:val>
        </c:ser>
        <c:ser>
          <c:idx val="1"/>
          <c:order val="1"/>
          <c:tx>
            <c:strRef>
              <c:f>'analisa data'!$I$58</c:f>
              <c:strCache>
                <c:ptCount val="1"/>
                <c:pt idx="0">
                  <c:v>Giving support</c:v>
                </c:pt>
              </c:strCache>
            </c:strRef>
          </c:tx>
          <c:spPr>
            <a:ln>
              <a:solidFill>
                <a:schemeClr val="tx1"/>
              </a:solidFill>
            </a:ln>
          </c:spPr>
          <c:marker>
            <c:symbol val="none"/>
          </c:marker>
          <c:cat>
            <c:strRef>
              <c:f>'analisa data'!$J$56:$K$56</c:f>
              <c:strCache>
                <c:ptCount val="2"/>
                <c:pt idx="0">
                  <c:v>pre</c:v>
                </c:pt>
                <c:pt idx="1">
                  <c:v>post</c:v>
                </c:pt>
              </c:strCache>
            </c:strRef>
          </c:cat>
          <c:val>
            <c:numRef>
              <c:f>'analisa data'!$J$58:$K$58</c:f>
              <c:numCache>
                <c:formatCode>General</c:formatCode>
                <c:ptCount val="2"/>
                <c:pt idx="0">
                  <c:v>71</c:v>
                </c:pt>
                <c:pt idx="1">
                  <c:v>80</c:v>
                </c:pt>
              </c:numCache>
            </c:numRef>
          </c:val>
        </c:ser>
        <c:marker val="1"/>
        <c:axId val="71371776"/>
        <c:axId val="71426816"/>
      </c:lineChart>
      <c:catAx>
        <c:axId val="71371776"/>
        <c:scaling>
          <c:orientation val="minMax"/>
        </c:scaling>
        <c:axPos val="b"/>
        <c:tickLblPos val="nextTo"/>
        <c:crossAx val="71426816"/>
        <c:crosses val="autoZero"/>
        <c:auto val="1"/>
        <c:lblAlgn val="ctr"/>
        <c:lblOffset val="100"/>
      </c:catAx>
      <c:valAx>
        <c:axId val="71426816"/>
        <c:scaling>
          <c:orientation val="minMax"/>
        </c:scaling>
        <c:axPos val="l"/>
        <c:majorGridlines>
          <c:spPr>
            <a:ln>
              <a:solidFill>
                <a:schemeClr val="bg1"/>
              </a:solidFill>
            </a:ln>
          </c:spPr>
        </c:majorGridlines>
        <c:numFmt formatCode="General" sourceLinked="1"/>
        <c:tickLblPos val="nextTo"/>
        <c:crossAx val="71371776"/>
        <c:crosses val="autoZero"/>
        <c:crossBetween val="between"/>
      </c:valAx>
      <c:spPr>
        <a:noFill/>
        <a:ln>
          <a:noFill/>
        </a:ln>
      </c:spPr>
    </c:plotArea>
    <c:legend>
      <c:legendPos val="r"/>
      <c:layout>
        <c:manualLayout>
          <c:xMode val="edge"/>
          <c:yMode val="edge"/>
          <c:x val="0.40916046784474852"/>
          <c:y val="0.69541368867353204"/>
          <c:w val="0.30497163660993987"/>
          <c:h val="0.11615223097112921"/>
        </c:manualLayout>
      </c:layout>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AAE1-F513-4424-9C57-129CFAFC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2415</Words>
  <Characters>13766</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2018-01-02T04:41:00Z</dcterms:created>
  <dcterms:modified xsi:type="dcterms:W3CDTF">2018-01-02T14:53:00Z</dcterms:modified>
</cp:coreProperties>
</file>