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EF892" w14:textId="637F9386" w:rsidR="00E242DA" w:rsidRPr="000F58FB" w:rsidRDefault="00646994" w:rsidP="00345BED">
      <w:pPr>
        <w:pStyle w:val="Title"/>
        <w:tabs>
          <w:tab w:val="left" w:pos="9072"/>
        </w:tabs>
        <w:spacing w:line="264" w:lineRule="auto"/>
        <w:ind w:left="0" w:right="2"/>
        <w:rPr>
          <w:rFonts w:asciiTheme="majorHAnsi" w:hAnsiTheme="majorHAnsi"/>
          <w:noProof/>
          <w:color w:val="0070C0"/>
          <w:sz w:val="36"/>
          <w:szCs w:val="36"/>
          <w:lang w:val="id-ID"/>
        </w:rPr>
      </w:pPr>
      <w:r w:rsidRPr="000F58FB">
        <w:rPr>
          <w:rFonts w:asciiTheme="majorHAnsi" w:hAnsiTheme="majorHAnsi"/>
          <w:noProof/>
          <w:color w:val="0070C0"/>
          <w:sz w:val="36"/>
          <w:szCs w:val="36"/>
        </w:rPr>
        <w:t>Factors that make it easier to overcome obstacles in developing curricula in vocational institutions</w:t>
      </w:r>
    </w:p>
    <w:p w14:paraId="4912D893" w14:textId="77777777" w:rsidR="00E242DA" w:rsidRPr="00BD0FCB" w:rsidRDefault="00E242DA" w:rsidP="00345BED">
      <w:pPr>
        <w:pStyle w:val="BodyText"/>
        <w:spacing w:before="2" w:line="264" w:lineRule="auto"/>
        <w:ind w:left="0"/>
        <w:jc w:val="left"/>
        <w:rPr>
          <w:rFonts w:asciiTheme="majorHAnsi" w:hAnsiTheme="majorHAnsi"/>
          <w:b/>
          <w:sz w:val="23"/>
        </w:rPr>
      </w:pPr>
    </w:p>
    <w:p w14:paraId="730B4994" w14:textId="120250B5" w:rsidR="00E242DA" w:rsidRPr="000F58FB" w:rsidRDefault="00263544" w:rsidP="00345BED">
      <w:pPr>
        <w:pStyle w:val="BodyText"/>
        <w:spacing w:before="1" w:line="264" w:lineRule="auto"/>
        <w:ind w:left="0"/>
        <w:jc w:val="left"/>
        <w:rPr>
          <w:rFonts w:asciiTheme="majorHAnsi" w:hAnsiTheme="majorHAnsi"/>
          <w:color w:val="0070C0"/>
          <w:sz w:val="24"/>
          <w:szCs w:val="24"/>
        </w:rPr>
      </w:pPr>
      <w:r w:rsidRPr="000F58FB">
        <w:rPr>
          <w:rFonts w:asciiTheme="majorHAnsi" w:hAnsiTheme="majorHAnsi"/>
          <w:b/>
          <w:bCs/>
          <w:color w:val="0070C0"/>
          <w:w w:val="95"/>
          <w:sz w:val="24"/>
          <w:szCs w:val="24"/>
          <w:vertAlign w:val="superscript"/>
          <w:lang w:val="en"/>
        </w:rPr>
        <w:t>1</w:t>
      </w:r>
      <w:r w:rsidRPr="000F58FB">
        <w:rPr>
          <w:rFonts w:asciiTheme="majorHAnsi" w:hAnsiTheme="majorHAnsi"/>
          <w:b/>
          <w:bCs/>
          <w:color w:val="0070C0"/>
          <w:w w:val="95"/>
          <w:sz w:val="24"/>
          <w:szCs w:val="24"/>
          <w:lang w:val="en"/>
        </w:rPr>
        <w:t xml:space="preserve">Mochamad </w:t>
      </w:r>
      <w:proofErr w:type="spellStart"/>
      <w:r w:rsidRPr="000F58FB">
        <w:rPr>
          <w:rFonts w:asciiTheme="majorHAnsi" w:hAnsiTheme="majorHAnsi"/>
          <w:b/>
          <w:bCs/>
          <w:color w:val="0070C0"/>
          <w:w w:val="95"/>
          <w:sz w:val="24"/>
          <w:szCs w:val="24"/>
          <w:lang w:val="en"/>
        </w:rPr>
        <w:t>Sobari</w:t>
      </w:r>
      <w:proofErr w:type="spellEnd"/>
      <w:r w:rsidRPr="000F58FB">
        <w:rPr>
          <w:rFonts w:asciiTheme="majorHAnsi" w:hAnsiTheme="majorHAnsi"/>
          <w:b/>
          <w:bCs/>
          <w:color w:val="0070C0"/>
          <w:w w:val="95"/>
          <w:sz w:val="24"/>
          <w:szCs w:val="24"/>
          <w:lang w:val="en"/>
        </w:rPr>
        <w:t xml:space="preserve">, </w:t>
      </w:r>
      <w:r w:rsidR="00E83234" w:rsidRPr="000F58FB">
        <w:rPr>
          <w:rFonts w:asciiTheme="majorHAnsi" w:hAnsiTheme="majorHAnsi"/>
          <w:b/>
          <w:bCs/>
          <w:color w:val="0070C0"/>
          <w:w w:val="95"/>
          <w:sz w:val="24"/>
          <w:szCs w:val="24"/>
          <w:vertAlign w:val="superscript"/>
          <w:lang w:val="en"/>
        </w:rPr>
        <w:t>2</w:t>
      </w:r>
      <w:r w:rsidR="00E83234" w:rsidRPr="000F58FB">
        <w:rPr>
          <w:rFonts w:asciiTheme="majorHAnsi" w:hAnsiTheme="majorHAnsi"/>
          <w:b/>
          <w:bCs/>
          <w:color w:val="0070C0"/>
          <w:w w:val="95"/>
          <w:sz w:val="24"/>
          <w:szCs w:val="24"/>
          <w:lang w:val="en"/>
        </w:rPr>
        <w:t xml:space="preserve">Rusman </w:t>
      </w:r>
      <w:proofErr w:type="spellStart"/>
      <w:r w:rsidRPr="000F58FB">
        <w:rPr>
          <w:rFonts w:asciiTheme="majorHAnsi" w:hAnsiTheme="majorHAnsi"/>
          <w:b/>
          <w:bCs/>
          <w:color w:val="0070C0"/>
          <w:w w:val="95"/>
          <w:sz w:val="24"/>
          <w:szCs w:val="24"/>
          <w:lang w:val="en"/>
        </w:rPr>
        <w:t>Rusman</w:t>
      </w:r>
      <w:proofErr w:type="spellEnd"/>
      <w:r w:rsidR="00D43FAC" w:rsidRPr="000F58FB">
        <w:rPr>
          <w:rFonts w:asciiTheme="majorHAnsi" w:hAnsiTheme="majorHAnsi"/>
          <w:b/>
          <w:bCs/>
          <w:color w:val="0070C0"/>
          <w:w w:val="95"/>
          <w:sz w:val="24"/>
          <w:szCs w:val="24"/>
          <w:lang w:val="en"/>
        </w:rPr>
        <w:t>, Yusuf Olayinka Shogbesan</w:t>
      </w:r>
      <w:r w:rsidR="00D43FAC" w:rsidRPr="000F58FB">
        <w:rPr>
          <w:rFonts w:asciiTheme="majorHAnsi" w:hAnsiTheme="majorHAnsi"/>
          <w:b/>
          <w:bCs/>
          <w:color w:val="0070C0"/>
          <w:w w:val="95"/>
          <w:sz w:val="24"/>
          <w:szCs w:val="24"/>
          <w:vertAlign w:val="superscript"/>
          <w:lang w:val="en"/>
        </w:rPr>
        <w:t>3</w:t>
      </w:r>
    </w:p>
    <w:p w14:paraId="1312AC3A" w14:textId="77777777" w:rsidR="00E242DA" w:rsidRPr="00BD0FCB" w:rsidRDefault="00E242DA" w:rsidP="00345BED">
      <w:pPr>
        <w:pStyle w:val="BodyText"/>
        <w:spacing w:before="7" w:line="264" w:lineRule="auto"/>
        <w:ind w:left="0"/>
        <w:jc w:val="left"/>
        <w:rPr>
          <w:rFonts w:asciiTheme="majorHAnsi" w:hAnsiTheme="majorHAnsi"/>
          <w:sz w:val="24"/>
          <w:szCs w:val="24"/>
        </w:rPr>
      </w:pPr>
    </w:p>
    <w:p w14:paraId="4E65F17B" w14:textId="535B6373" w:rsidR="00E242DA" w:rsidRPr="00BD0FCB" w:rsidRDefault="00E16812" w:rsidP="00345BED">
      <w:pPr>
        <w:pStyle w:val="BodyText"/>
        <w:spacing w:line="264" w:lineRule="auto"/>
        <w:ind w:left="0"/>
        <w:jc w:val="left"/>
        <w:rPr>
          <w:rFonts w:asciiTheme="majorHAnsi" w:hAnsiTheme="majorHAnsi" w:cs="Times New Roman"/>
          <w:color w:val="000000"/>
          <w:sz w:val="24"/>
          <w:szCs w:val="24"/>
        </w:rPr>
      </w:pPr>
      <w:r w:rsidRPr="00BD0FCB">
        <w:rPr>
          <w:rFonts w:asciiTheme="majorHAnsi" w:hAnsiTheme="majorHAnsi" w:cs="Times New Roman"/>
          <w:color w:val="000000"/>
          <w:sz w:val="24"/>
          <w:szCs w:val="24"/>
          <w:vertAlign w:val="superscript"/>
        </w:rPr>
        <w:t>1,2</w:t>
      </w:r>
      <w:r w:rsidRPr="00BD0FCB">
        <w:rPr>
          <w:rFonts w:asciiTheme="majorHAnsi" w:hAnsiTheme="majorHAnsi" w:cs="Times New Roman"/>
          <w:color w:val="000000"/>
          <w:sz w:val="24"/>
          <w:szCs w:val="24"/>
        </w:rPr>
        <w:t xml:space="preserve"> Faculty of Education, </w:t>
      </w:r>
      <w:r w:rsidR="00F050BD">
        <w:rPr>
          <w:rFonts w:asciiTheme="majorHAnsi" w:hAnsiTheme="majorHAnsi" w:cs="Times New Roman"/>
          <w:color w:val="000000"/>
          <w:sz w:val="24"/>
          <w:szCs w:val="24"/>
        </w:rPr>
        <w:t>Universitas Pendidikan Indonesia</w:t>
      </w:r>
      <w:r w:rsidR="001D7466">
        <w:rPr>
          <w:rFonts w:asciiTheme="majorHAnsi" w:hAnsiTheme="majorHAnsi" w:cs="Times New Roman"/>
          <w:color w:val="000000"/>
          <w:sz w:val="24"/>
          <w:szCs w:val="24"/>
        </w:rPr>
        <w:t>, Indonesia</w:t>
      </w:r>
    </w:p>
    <w:p w14:paraId="337189D2" w14:textId="63F9D03F" w:rsidR="00D43FAC" w:rsidRPr="00BD0FCB" w:rsidRDefault="00D43FAC" w:rsidP="00345BED">
      <w:pPr>
        <w:pStyle w:val="BodyText"/>
        <w:spacing w:line="264" w:lineRule="auto"/>
        <w:ind w:left="0"/>
        <w:jc w:val="left"/>
        <w:rPr>
          <w:rFonts w:asciiTheme="majorHAnsi" w:hAnsiTheme="majorHAnsi" w:cs="Times New Roman"/>
          <w:color w:val="000000"/>
          <w:sz w:val="24"/>
          <w:szCs w:val="24"/>
        </w:rPr>
      </w:pPr>
      <w:r w:rsidRPr="00BD0FCB">
        <w:rPr>
          <w:rFonts w:asciiTheme="majorHAnsi" w:hAnsiTheme="majorHAnsi" w:cs="Times New Roman"/>
          <w:color w:val="000000"/>
          <w:sz w:val="24"/>
          <w:szCs w:val="24"/>
          <w:vertAlign w:val="superscript"/>
        </w:rPr>
        <w:t>3</w:t>
      </w:r>
      <w:r w:rsidR="001D7466">
        <w:rPr>
          <w:rFonts w:asciiTheme="majorHAnsi" w:hAnsiTheme="majorHAnsi" w:cs="Times New Roman"/>
          <w:color w:val="000000"/>
          <w:sz w:val="24"/>
          <w:szCs w:val="24"/>
          <w:vertAlign w:val="superscript"/>
        </w:rPr>
        <w:t xml:space="preserve"> </w:t>
      </w:r>
      <w:r w:rsidRPr="00BD0FCB">
        <w:rPr>
          <w:rFonts w:asciiTheme="majorHAnsi" w:hAnsiTheme="majorHAnsi" w:cs="Times New Roman"/>
          <w:color w:val="000000"/>
          <w:sz w:val="24"/>
          <w:szCs w:val="24"/>
        </w:rPr>
        <w:t>Osun State University Osogbo, Nigeria</w:t>
      </w:r>
    </w:p>
    <w:p w14:paraId="37EDCF4E" w14:textId="77777777" w:rsidR="00E16812" w:rsidRPr="00BD0FCB" w:rsidRDefault="00E16812" w:rsidP="00345BED">
      <w:pPr>
        <w:pStyle w:val="BodyText"/>
        <w:spacing w:line="264" w:lineRule="auto"/>
        <w:ind w:left="0"/>
        <w:jc w:val="left"/>
        <w:rPr>
          <w:rFonts w:asciiTheme="majorHAnsi" w:hAnsiTheme="majorHAnsi"/>
          <w:color w:val="231F20"/>
          <w:sz w:val="24"/>
          <w:szCs w:val="24"/>
        </w:rPr>
      </w:pPr>
    </w:p>
    <w:p w14:paraId="3936B216" w14:textId="77777777" w:rsidR="00E16812" w:rsidRPr="00BD0FCB" w:rsidRDefault="00E16812" w:rsidP="00345BED">
      <w:pPr>
        <w:pStyle w:val="BodyText"/>
        <w:spacing w:line="264" w:lineRule="auto"/>
        <w:ind w:left="0"/>
        <w:jc w:val="left"/>
        <w:rPr>
          <w:rStyle w:val="Hyperlink"/>
          <w:rFonts w:asciiTheme="majorHAnsi" w:hAnsiTheme="majorHAnsi" w:cs="Times New Roman"/>
          <w:color w:val="auto"/>
          <w:sz w:val="22"/>
          <w:szCs w:val="22"/>
          <w:u w:val="none"/>
        </w:rPr>
      </w:pPr>
      <w:r w:rsidRPr="001D7466">
        <w:rPr>
          <w:rFonts w:asciiTheme="majorHAnsi" w:hAnsiTheme="majorHAnsi" w:cs="Times New Roman"/>
          <w:color w:val="1F497D" w:themeColor="text2"/>
          <w:sz w:val="22"/>
          <w:szCs w:val="22"/>
        </w:rPr>
        <w:t>Corresponding author, email</w:t>
      </w:r>
      <w:r w:rsidRPr="00BD0FCB">
        <w:rPr>
          <w:rFonts w:asciiTheme="majorHAnsi" w:hAnsiTheme="majorHAnsi" w:cs="Times New Roman"/>
          <w:color w:val="000000"/>
          <w:sz w:val="22"/>
          <w:szCs w:val="22"/>
        </w:rPr>
        <w:t xml:space="preserve">: </w:t>
      </w:r>
      <w:hyperlink r:id="rId8" w:history="1">
        <w:r w:rsidR="00E81709" w:rsidRPr="00BD0FCB">
          <w:rPr>
            <w:rStyle w:val="Hyperlink"/>
            <w:rFonts w:asciiTheme="majorHAnsi" w:hAnsiTheme="majorHAnsi" w:cs="Times New Roman"/>
            <w:sz w:val="22"/>
            <w:szCs w:val="22"/>
          </w:rPr>
          <w:t>sobari.bari626@upi.edu</w:t>
        </w:r>
      </w:hyperlink>
      <w:r w:rsidR="00E81709" w:rsidRPr="00BD0FCB">
        <w:rPr>
          <w:rStyle w:val="Hyperlink"/>
          <w:rFonts w:asciiTheme="majorHAnsi" w:hAnsiTheme="majorHAnsi" w:cs="Times New Roman"/>
          <w:color w:val="auto"/>
          <w:sz w:val="22"/>
          <w:szCs w:val="22"/>
          <w:u w:val="none"/>
        </w:rPr>
        <w:t xml:space="preserve"> </w:t>
      </w:r>
    </w:p>
    <w:p w14:paraId="6E83724B" w14:textId="77777777" w:rsidR="00B242E3" w:rsidRPr="00BD0FCB" w:rsidRDefault="00B242E3" w:rsidP="00B242E3">
      <w:pPr>
        <w:pStyle w:val="BodyText"/>
        <w:pBdr>
          <w:bottom w:val="single" w:sz="12" w:space="1" w:color="auto"/>
        </w:pBdr>
        <w:spacing w:line="264" w:lineRule="auto"/>
        <w:ind w:left="0"/>
        <w:jc w:val="center"/>
        <w:rPr>
          <w:rFonts w:asciiTheme="majorHAnsi" w:hAnsiTheme="majorHAnsi"/>
          <w:b/>
          <w:bCs/>
          <w:lang w:val="id-ID"/>
        </w:rPr>
      </w:pPr>
    </w:p>
    <w:p w14:paraId="015DF9B5" w14:textId="50F11C72" w:rsidR="00B242E3" w:rsidRPr="000F58FB" w:rsidRDefault="00B242E3" w:rsidP="00BD0FCB">
      <w:pPr>
        <w:pStyle w:val="BodyText"/>
        <w:spacing w:line="264" w:lineRule="auto"/>
        <w:ind w:left="0"/>
        <w:jc w:val="center"/>
        <w:rPr>
          <w:rFonts w:asciiTheme="majorHAnsi" w:hAnsiTheme="majorHAnsi"/>
          <w:color w:val="0070C0"/>
          <w:lang w:val="id-ID"/>
        </w:rPr>
      </w:pPr>
      <w:r w:rsidRPr="000F58FB">
        <w:rPr>
          <w:rFonts w:asciiTheme="majorHAnsi" w:hAnsiTheme="majorHAnsi"/>
          <w:b/>
          <w:bCs/>
          <w:color w:val="0070C0"/>
          <w:lang w:val="id-ID"/>
        </w:rPr>
        <w:t>Article info:</w:t>
      </w:r>
    </w:p>
    <w:p w14:paraId="2F21872D" w14:textId="22C29035" w:rsidR="00BF0159" w:rsidRPr="00BF0159" w:rsidRDefault="00B242E3" w:rsidP="00BD0FCB">
      <w:pPr>
        <w:pStyle w:val="BodyText"/>
        <w:pBdr>
          <w:bottom w:val="single" w:sz="12" w:space="1" w:color="auto"/>
        </w:pBdr>
        <w:spacing w:line="264" w:lineRule="auto"/>
        <w:ind w:left="0"/>
        <w:jc w:val="center"/>
        <w:rPr>
          <w:rFonts w:asciiTheme="majorHAnsi" w:hAnsiTheme="majorHAnsi"/>
          <w:lang w:val="id-ID"/>
        </w:rPr>
      </w:pPr>
      <w:r w:rsidRPr="00BF0159">
        <w:rPr>
          <w:rFonts w:asciiTheme="majorHAnsi" w:hAnsiTheme="majorHAnsi"/>
          <w:lang w:val="id-ID"/>
        </w:rPr>
        <w:t xml:space="preserve">Submitted: </w:t>
      </w:r>
      <w:r w:rsidR="00BF0159" w:rsidRPr="00BF0159">
        <w:rPr>
          <w:rFonts w:asciiTheme="majorHAnsi" w:hAnsiTheme="majorHAnsi"/>
          <w:lang w:val="id-ID"/>
        </w:rPr>
        <w:t>January 24, 2024</w:t>
      </w:r>
      <w:r w:rsidRPr="00BF0159">
        <w:rPr>
          <w:rFonts w:asciiTheme="majorHAnsi" w:hAnsiTheme="majorHAnsi"/>
          <w:lang w:val="id-ID"/>
        </w:rPr>
        <w:t xml:space="preserve">. Revised: </w:t>
      </w:r>
      <w:r w:rsidR="00BF0159" w:rsidRPr="00BF0159">
        <w:rPr>
          <w:rFonts w:asciiTheme="majorHAnsi" w:hAnsiTheme="majorHAnsi"/>
          <w:lang w:val="id-ID"/>
        </w:rPr>
        <w:t xml:space="preserve">Pebruary 20, 2024. Accepted: March </w:t>
      </w:r>
      <w:r w:rsidRPr="00BF0159">
        <w:rPr>
          <w:rFonts w:asciiTheme="majorHAnsi" w:hAnsiTheme="majorHAnsi"/>
          <w:lang w:val="id-ID"/>
        </w:rPr>
        <w:t>11, 202</w:t>
      </w:r>
      <w:r w:rsidR="00E93511">
        <w:rPr>
          <w:rFonts w:asciiTheme="majorHAnsi" w:hAnsiTheme="majorHAnsi"/>
          <w:lang w:val="id-ID"/>
        </w:rPr>
        <w:t>4</w:t>
      </w:r>
      <w:r w:rsidRPr="00BF0159">
        <w:rPr>
          <w:rFonts w:asciiTheme="majorHAnsi" w:hAnsiTheme="majorHAnsi"/>
          <w:lang w:val="id-ID"/>
        </w:rPr>
        <w:t xml:space="preserve">. </w:t>
      </w:r>
    </w:p>
    <w:p w14:paraId="6E8F72E8" w14:textId="2DFF40ED" w:rsidR="00345BED" w:rsidRPr="00BF0159" w:rsidRDefault="00B242E3" w:rsidP="00BD0FCB">
      <w:pPr>
        <w:pStyle w:val="BodyText"/>
        <w:pBdr>
          <w:bottom w:val="single" w:sz="12" w:space="1" w:color="auto"/>
        </w:pBdr>
        <w:spacing w:line="264" w:lineRule="auto"/>
        <w:ind w:left="0"/>
        <w:jc w:val="center"/>
        <w:rPr>
          <w:rFonts w:asciiTheme="majorHAnsi" w:hAnsiTheme="majorHAnsi"/>
          <w:lang w:val="id-ID"/>
        </w:rPr>
      </w:pPr>
      <w:r w:rsidRPr="00BF0159">
        <w:rPr>
          <w:rFonts w:asciiTheme="majorHAnsi" w:hAnsiTheme="majorHAnsi"/>
          <w:lang w:val="id-ID"/>
        </w:rPr>
        <w:t xml:space="preserve">Publish: </w:t>
      </w:r>
      <w:r w:rsidR="00BF0159" w:rsidRPr="00BF0159">
        <w:rPr>
          <w:rFonts w:asciiTheme="majorHAnsi" w:hAnsiTheme="majorHAnsi"/>
          <w:lang w:val="id-ID"/>
        </w:rPr>
        <w:t xml:space="preserve">April </w:t>
      </w:r>
      <w:r w:rsidR="00E93511">
        <w:rPr>
          <w:rFonts w:asciiTheme="majorHAnsi" w:hAnsiTheme="majorHAnsi"/>
          <w:lang w:val="id-ID"/>
        </w:rPr>
        <w:t>15</w:t>
      </w:r>
      <w:r w:rsidRPr="00BF0159">
        <w:rPr>
          <w:rFonts w:asciiTheme="majorHAnsi" w:hAnsiTheme="majorHAnsi"/>
          <w:lang w:val="id-ID"/>
        </w:rPr>
        <w:t>, 202</w:t>
      </w:r>
      <w:r w:rsidR="00E93511">
        <w:rPr>
          <w:rFonts w:asciiTheme="majorHAnsi" w:hAnsiTheme="majorHAnsi"/>
          <w:lang w:val="id-ID"/>
        </w:rPr>
        <w:t>4</w:t>
      </w:r>
      <w:r w:rsidRPr="00BF0159">
        <w:rPr>
          <w:rFonts w:asciiTheme="majorHAnsi" w:hAnsiTheme="majorHAnsi"/>
          <w:lang w:val="id-ID"/>
        </w:rPr>
        <w:t>.</w:t>
      </w:r>
    </w:p>
    <w:p w14:paraId="114E3D4C" w14:textId="77777777" w:rsidR="00B242E3" w:rsidRPr="00BD0FCB" w:rsidRDefault="00B242E3" w:rsidP="00B242E3">
      <w:pPr>
        <w:pStyle w:val="BodyText"/>
        <w:spacing w:line="264" w:lineRule="auto"/>
        <w:ind w:left="0"/>
        <w:jc w:val="center"/>
        <w:rPr>
          <w:rFonts w:asciiTheme="majorHAnsi" w:hAnsiTheme="majorHAnsi"/>
          <w:lang w:val="id-ID"/>
        </w:rPr>
      </w:pPr>
    </w:p>
    <w:p w14:paraId="1A7379A2" w14:textId="43C4976A" w:rsidR="00345BED" w:rsidRPr="000F58FB" w:rsidRDefault="00345BED" w:rsidP="00BD0FCB">
      <w:pPr>
        <w:pStyle w:val="BodyText"/>
        <w:spacing w:line="264" w:lineRule="auto"/>
        <w:ind w:left="0"/>
        <w:jc w:val="center"/>
        <w:rPr>
          <w:rFonts w:asciiTheme="majorHAnsi" w:hAnsiTheme="majorHAnsi"/>
          <w:b/>
          <w:bCs/>
          <w:color w:val="0070C0"/>
          <w:sz w:val="24"/>
          <w:szCs w:val="24"/>
        </w:rPr>
      </w:pPr>
      <w:r w:rsidRPr="000F58FB">
        <w:rPr>
          <w:rFonts w:asciiTheme="majorHAnsi" w:hAnsiTheme="majorHAnsi"/>
          <w:b/>
          <w:bCs/>
          <w:color w:val="0070C0"/>
          <w:sz w:val="24"/>
          <w:szCs w:val="24"/>
        </w:rPr>
        <w:t>Abstract</w:t>
      </w:r>
    </w:p>
    <w:p w14:paraId="683A6C8B" w14:textId="5B0E014F" w:rsidR="00345BED" w:rsidRPr="00BD0FCB" w:rsidRDefault="00345BED" w:rsidP="00345BED">
      <w:pPr>
        <w:pStyle w:val="BodyText"/>
        <w:spacing w:line="264" w:lineRule="auto"/>
        <w:ind w:left="0"/>
        <w:rPr>
          <w:rFonts w:asciiTheme="majorHAnsi" w:hAnsiTheme="majorHAnsi" w:cs="Times New Roman"/>
          <w:color w:val="000000"/>
        </w:rPr>
      </w:pPr>
      <w:r w:rsidRPr="00BD0FCB">
        <w:rPr>
          <w:rFonts w:asciiTheme="majorHAnsi" w:hAnsiTheme="majorHAnsi"/>
          <w:lang w:val="id-ID"/>
        </w:rPr>
        <w:t xml:space="preserve">The curriculum must keep up with the times to meet the evolving needs of society. Responsive curriculum development poses challenging problems for curriculum designers in vocational education and other higher professions, although as such there is little study on this topic. This research focuses on how the process of developing a responsive curriculum for vocational education, and other higher professions based on the results of a literature review methods with data sources consisting of a collection of </w:t>
      </w:r>
      <w:r w:rsidRPr="00BD0FCB">
        <w:rPr>
          <w:rFonts w:asciiTheme="majorHAnsi" w:hAnsiTheme="majorHAnsi"/>
        </w:rPr>
        <w:t xml:space="preserve">twenty-six </w:t>
      </w:r>
      <w:r w:rsidRPr="00BD0FCB">
        <w:rPr>
          <w:rFonts w:asciiTheme="majorHAnsi" w:hAnsiTheme="majorHAnsi"/>
          <w:lang w:val="id-ID"/>
        </w:rPr>
        <w:t xml:space="preserve">articles that are putated </w:t>
      </w:r>
      <w:r w:rsidRPr="00BD0FCB">
        <w:rPr>
          <w:rFonts w:asciiTheme="majorHAnsi" w:hAnsiTheme="majorHAnsi"/>
        </w:rPr>
        <w:t xml:space="preserve">with </w:t>
      </w:r>
      <w:r w:rsidRPr="00BD0FCB">
        <w:rPr>
          <w:rFonts w:asciiTheme="majorHAnsi" w:hAnsiTheme="majorHAnsi"/>
          <w:lang w:val="id-ID"/>
        </w:rPr>
        <w:t xml:space="preserve">process of gathering and arranging information or data from multiple sources is referred to as data collection identifying six supporting components of the responsive curriculum development process: (1) Vision of Education and Learning,  (2) Continuous and iterative curriculum development process, (3) Collaboration, (4) </w:t>
      </w:r>
      <w:bookmarkStart w:id="0" w:name="_Hlk164716604"/>
      <w:r w:rsidRPr="00BD0FCB">
        <w:rPr>
          <w:rFonts w:asciiTheme="majorHAnsi" w:hAnsiTheme="majorHAnsi"/>
          <w:lang w:val="id-ID"/>
        </w:rPr>
        <w:t>involving all contributors</w:t>
      </w:r>
      <w:bookmarkEnd w:id="0"/>
      <w:r w:rsidRPr="00BD0FCB">
        <w:rPr>
          <w:rFonts w:asciiTheme="majorHAnsi" w:hAnsiTheme="majorHAnsi"/>
          <w:lang w:val="id-ID"/>
        </w:rPr>
        <w:t>, (5) The presence of favorable environmental factors and circumstances, and (6) Representatives of the institution. The importance of paying equal attention to each of these aspects is the main focus. By integrating these components, curriculum creators can design adaptable programs that are efficacious across the whole learning process. This strategy necessitates a shift in mentality and heightened exertion from all tiers of educational establishments, but ultimately results in a curriculum that is more comprehensive and adaptable.</w:t>
      </w:r>
    </w:p>
    <w:p w14:paraId="025ACC2A" w14:textId="0CDBA00D" w:rsidR="00E16812" w:rsidRPr="00BD0FCB" w:rsidRDefault="00345BED" w:rsidP="00345BED">
      <w:pPr>
        <w:pStyle w:val="TableParagraph"/>
        <w:tabs>
          <w:tab w:val="left" w:pos="2383"/>
        </w:tabs>
        <w:spacing w:before="43" w:line="264" w:lineRule="auto"/>
        <w:ind w:left="1276" w:right="71" w:hanging="1276"/>
        <w:jc w:val="both"/>
        <w:rPr>
          <w:rFonts w:asciiTheme="majorHAnsi" w:hAnsiTheme="majorHAnsi"/>
          <w:sz w:val="20"/>
          <w:szCs w:val="20"/>
          <w:lang w:val="id-ID"/>
        </w:rPr>
      </w:pPr>
      <w:r w:rsidRPr="000F58FB">
        <w:rPr>
          <w:rFonts w:asciiTheme="majorHAnsi" w:hAnsiTheme="majorHAnsi"/>
          <w:b/>
          <w:bCs/>
          <w:color w:val="0070C0"/>
          <w:sz w:val="20"/>
          <w:szCs w:val="20"/>
        </w:rPr>
        <w:t xml:space="preserve">Keywords: </w:t>
      </w:r>
      <w:r w:rsidR="000F58FB" w:rsidRPr="00BD0FCB">
        <w:rPr>
          <w:rFonts w:asciiTheme="majorHAnsi" w:hAnsiTheme="majorHAnsi"/>
          <w:sz w:val="20"/>
          <w:szCs w:val="20"/>
          <w:lang w:val="id-ID"/>
        </w:rPr>
        <w:t>o</w:t>
      </w:r>
      <w:r w:rsidRPr="00BD0FCB">
        <w:rPr>
          <w:rFonts w:asciiTheme="majorHAnsi" w:hAnsiTheme="majorHAnsi"/>
          <w:sz w:val="20"/>
          <w:szCs w:val="20"/>
          <w:lang w:val="id-ID"/>
        </w:rPr>
        <w:t xml:space="preserve">ther </w:t>
      </w:r>
      <w:r w:rsidR="000F58FB" w:rsidRPr="00BD0FCB">
        <w:rPr>
          <w:rFonts w:asciiTheme="majorHAnsi" w:hAnsiTheme="majorHAnsi"/>
          <w:sz w:val="20"/>
          <w:szCs w:val="20"/>
          <w:lang w:val="id-ID"/>
        </w:rPr>
        <w:t>professional education; responsive curriculum development; vocational education</w:t>
      </w:r>
    </w:p>
    <w:p w14:paraId="3FEA02B2" w14:textId="77777777" w:rsidR="00E242DA" w:rsidRPr="00BD0FCB" w:rsidRDefault="00E242DA" w:rsidP="00345BED">
      <w:pPr>
        <w:pBdr>
          <w:bottom w:val="single" w:sz="12" w:space="1" w:color="auto"/>
        </w:pBdr>
        <w:spacing w:line="264" w:lineRule="auto"/>
        <w:jc w:val="both"/>
        <w:rPr>
          <w:rFonts w:asciiTheme="majorHAnsi" w:hAnsiTheme="majorHAnsi"/>
          <w:b/>
          <w:bCs/>
          <w:color w:val="231F20"/>
          <w:sz w:val="20"/>
          <w:szCs w:val="20"/>
        </w:rPr>
      </w:pPr>
    </w:p>
    <w:p w14:paraId="1C7CFCE3" w14:textId="77777777" w:rsidR="00B242E3" w:rsidRPr="000F58FB" w:rsidRDefault="00646994" w:rsidP="00BF0159">
      <w:pPr>
        <w:jc w:val="center"/>
        <w:rPr>
          <w:rFonts w:asciiTheme="majorHAnsi" w:hAnsiTheme="majorHAnsi"/>
          <w:color w:val="0070C0"/>
          <w:sz w:val="20"/>
          <w:szCs w:val="20"/>
          <w:lang w:val="id-ID"/>
        </w:rPr>
      </w:pPr>
      <w:r w:rsidRPr="000F58FB">
        <w:rPr>
          <w:rFonts w:asciiTheme="majorHAnsi" w:hAnsiTheme="majorHAnsi"/>
          <w:b/>
          <w:bCs/>
          <w:color w:val="0070C0"/>
          <w:sz w:val="20"/>
          <w:szCs w:val="20"/>
          <w:lang w:val="id-ID"/>
        </w:rPr>
        <w:t>Recommended citation:</w:t>
      </w:r>
      <w:r w:rsidRPr="000F58FB">
        <w:rPr>
          <w:rFonts w:asciiTheme="majorHAnsi" w:hAnsiTheme="majorHAnsi"/>
          <w:color w:val="0070C0"/>
          <w:sz w:val="20"/>
          <w:szCs w:val="20"/>
          <w:lang w:val="id-ID"/>
        </w:rPr>
        <w:t xml:space="preserve"> </w:t>
      </w:r>
    </w:p>
    <w:p w14:paraId="17704D28" w14:textId="2C2E08E4" w:rsidR="00646994" w:rsidRPr="00D208CA" w:rsidRDefault="000F4708" w:rsidP="00BF0159">
      <w:pPr>
        <w:jc w:val="center"/>
        <w:rPr>
          <w:rFonts w:asciiTheme="majorHAnsi" w:hAnsiTheme="majorHAnsi"/>
          <w:color w:val="FF0000"/>
          <w:sz w:val="20"/>
          <w:szCs w:val="20"/>
          <w:highlight w:val="red"/>
          <w:lang w:val="id-ID"/>
        </w:rPr>
      </w:pPr>
      <w:bookmarkStart w:id="1" w:name="_Hlk165425942"/>
      <w:r w:rsidRPr="00D208CA">
        <w:rPr>
          <w:rFonts w:asciiTheme="majorHAnsi" w:hAnsiTheme="majorHAnsi"/>
          <w:color w:val="FF0000"/>
          <w:sz w:val="20"/>
          <w:szCs w:val="20"/>
          <w:highlight w:val="red"/>
          <w:lang w:val="id-ID"/>
        </w:rPr>
        <w:t>Sobari</w:t>
      </w:r>
      <w:r w:rsidR="00646994" w:rsidRPr="00D208CA">
        <w:rPr>
          <w:rFonts w:asciiTheme="majorHAnsi" w:hAnsiTheme="majorHAnsi"/>
          <w:color w:val="FF0000"/>
          <w:sz w:val="20"/>
          <w:szCs w:val="20"/>
          <w:highlight w:val="red"/>
          <w:lang w:val="id-ID"/>
        </w:rPr>
        <w:t xml:space="preserve">, </w:t>
      </w:r>
      <w:r w:rsidRPr="00D208CA">
        <w:rPr>
          <w:rFonts w:asciiTheme="majorHAnsi" w:hAnsiTheme="majorHAnsi"/>
          <w:color w:val="FF0000"/>
          <w:sz w:val="20"/>
          <w:szCs w:val="20"/>
          <w:highlight w:val="red"/>
          <w:lang w:val="id-ID"/>
        </w:rPr>
        <w:t>M</w:t>
      </w:r>
      <w:r w:rsidR="00646994" w:rsidRPr="00D208CA">
        <w:rPr>
          <w:rFonts w:asciiTheme="majorHAnsi" w:hAnsiTheme="majorHAnsi"/>
          <w:color w:val="FF0000"/>
          <w:sz w:val="20"/>
          <w:szCs w:val="20"/>
          <w:highlight w:val="red"/>
          <w:lang w:val="id-ID"/>
        </w:rPr>
        <w:t xml:space="preserve">., </w:t>
      </w:r>
      <w:r w:rsidRPr="00D208CA">
        <w:rPr>
          <w:rFonts w:asciiTheme="majorHAnsi" w:hAnsiTheme="majorHAnsi"/>
          <w:color w:val="FF0000"/>
          <w:sz w:val="20"/>
          <w:szCs w:val="20"/>
          <w:highlight w:val="red"/>
          <w:lang w:val="id-ID"/>
        </w:rPr>
        <w:t>Rusman</w:t>
      </w:r>
      <w:r w:rsidR="00646994" w:rsidRPr="00D208CA">
        <w:rPr>
          <w:rFonts w:asciiTheme="majorHAnsi" w:hAnsiTheme="majorHAnsi"/>
          <w:color w:val="FF0000"/>
          <w:sz w:val="20"/>
          <w:szCs w:val="20"/>
          <w:highlight w:val="red"/>
          <w:lang w:val="id-ID"/>
        </w:rPr>
        <w:t xml:space="preserve">, </w:t>
      </w:r>
      <w:r w:rsidRPr="00D208CA">
        <w:rPr>
          <w:rFonts w:asciiTheme="majorHAnsi" w:hAnsiTheme="majorHAnsi"/>
          <w:color w:val="FF0000"/>
          <w:sz w:val="20"/>
          <w:szCs w:val="20"/>
          <w:highlight w:val="red"/>
          <w:lang w:val="id-ID"/>
        </w:rPr>
        <w:t>R</w:t>
      </w:r>
      <w:r w:rsidR="00646994" w:rsidRPr="00D208CA">
        <w:rPr>
          <w:rFonts w:asciiTheme="majorHAnsi" w:hAnsiTheme="majorHAnsi"/>
          <w:color w:val="FF0000"/>
          <w:sz w:val="20"/>
          <w:szCs w:val="20"/>
          <w:highlight w:val="red"/>
          <w:lang w:val="id-ID"/>
        </w:rPr>
        <w:t xml:space="preserve">., &amp; </w:t>
      </w:r>
      <w:r w:rsidRPr="00D208CA">
        <w:rPr>
          <w:rFonts w:asciiTheme="majorHAnsi" w:hAnsiTheme="majorHAnsi"/>
          <w:color w:val="FF0000"/>
          <w:sz w:val="20"/>
          <w:szCs w:val="20"/>
          <w:highlight w:val="red"/>
          <w:lang w:val="id-ID"/>
        </w:rPr>
        <w:t xml:space="preserve">Shogbesan, Y.O. </w:t>
      </w:r>
      <w:r w:rsidR="00646994" w:rsidRPr="00D208CA">
        <w:rPr>
          <w:rFonts w:asciiTheme="majorHAnsi" w:hAnsiTheme="majorHAnsi"/>
          <w:color w:val="FF0000"/>
          <w:sz w:val="20"/>
          <w:szCs w:val="20"/>
          <w:highlight w:val="red"/>
          <w:lang w:val="id-ID"/>
        </w:rPr>
        <w:t>(202</w:t>
      </w:r>
      <w:r w:rsidR="00104CDB" w:rsidRPr="00D208CA">
        <w:rPr>
          <w:rFonts w:asciiTheme="majorHAnsi" w:hAnsiTheme="majorHAnsi"/>
          <w:color w:val="FF0000"/>
          <w:sz w:val="20"/>
          <w:szCs w:val="20"/>
          <w:highlight w:val="red"/>
          <w:lang w:val="id-ID"/>
        </w:rPr>
        <w:t>4</w:t>
      </w:r>
      <w:r w:rsidR="00646994" w:rsidRPr="00D208CA">
        <w:rPr>
          <w:rFonts w:asciiTheme="majorHAnsi" w:hAnsiTheme="majorHAnsi"/>
          <w:color w:val="FF0000"/>
          <w:sz w:val="20"/>
          <w:szCs w:val="20"/>
          <w:highlight w:val="red"/>
          <w:lang w:val="id-ID"/>
        </w:rPr>
        <w:t xml:space="preserve">). </w:t>
      </w:r>
      <w:r w:rsidRPr="00D208CA">
        <w:rPr>
          <w:rFonts w:asciiTheme="majorHAnsi" w:hAnsiTheme="majorHAnsi"/>
          <w:color w:val="FF0000"/>
          <w:sz w:val="20"/>
          <w:szCs w:val="20"/>
          <w:highlight w:val="red"/>
          <w:lang w:val="id-ID"/>
        </w:rPr>
        <w:t xml:space="preserve">Factors that make it easier to overcome obstacles in developing curricula in vocational institutions. </w:t>
      </w:r>
      <w:r w:rsidRPr="00D208CA">
        <w:rPr>
          <w:rFonts w:asciiTheme="majorHAnsi" w:hAnsiTheme="majorHAnsi"/>
          <w:i/>
          <w:iCs/>
          <w:color w:val="FF0000"/>
          <w:sz w:val="20"/>
          <w:szCs w:val="20"/>
          <w:highlight w:val="red"/>
          <w:lang w:val="id-ID"/>
        </w:rPr>
        <w:t>Lembaran Ilmu Kependidikan. 53</w:t>
      </w:r>
      <w:r w:rsidRPr="00D208CA">
        <w:rPr>
          <w:rFonts w:asciiTheme="majorHAnsi" w:hAnsiTheme="majorHAnsi"/>
          <w:color w:val="FF0000"/>
          <w:sz w:val="20"/>
          <w:szCs w:val="20"/>
          <w:highlight w:val="red"/>
          <w:lang w:val="id-ID"/>
        </w:rPr>
        <w:t>(1). 1-10.</w:t>
      </w:r>
    </w:p>
    <w:p w14:paraId="27F5F11A" w14:textId="38992802" w:rsidR="00B242E3" w:rsidRPr="00D208CA" w:rsidRDefault="00000000" w:rsidP="00BF0159">
      <w:pPr>
        <w:pStyle w:val="BodyText"/>
        <w:pBdr>
          <w:bottom w:val="single" w:sz="12" w:space="1" w:color="auto"/>
        </w:pBdr>
        <w:ind w:left="0"/>
        <w:jc w:val="center"/>
        <w:rPr>
          <w:rFonts w:asciiTheme="majorHAnsi" w:hAnsiTheme="majorHAnsi"/>
          <w:b/>
          <w:bCs/>
          <w:color w:val="FF0000"/>
          <w:lang w:val="id-ID"/>
        </w:rPr>
      </w:pPr>
      <w:hyperlink r:id="rId9" w:history="1">
        <w:r w:rsidR="00BF0159" w:rsidRPr="00D208CA">
          <w:rPr>
            <w:rStyle w:val="Hyperlink"/>
            <w:rFonts w:asciiTheme="majorHAnsi" w:hAnsiTheme="majorHAnsi"/>
            <w:color w:val="FF0000"/>
            <w:highlight w:val="red"/>
            <w:lang w:val="id-ID"/>
          </w:rPr>
          <w:t>https://doi.org/10.15294/lik.v53i1.2652</w:t>
        </w:r>
      </w:hyperlink>
    </w:p>
    <w:bookmarkEnd w:id="1"/>
    <w:p w14:paraId="7806D53E" w14:textId="77777777" w:rsidR="00B242E3" w:rsidRPr="00BF0159" w:rsidRDefault="00B242E3" w:rsidP="00345BED">
      <w:pPr>
        <w:pStyle w:val="Heading1"/>
        <w:spacing w:before="97" w:line="264" w:lineRule="auto"/>
        <w:rPr>
          <w:rFonts w:asciiTheme="majorHAnsi" w:hAnsiTheme="majorHAnsi"/>
          <w:color w:val="231F20"/>
          <w:sz w:val="22"/>
          <w:szCs w:val="22"/>
          <w:lang w:val="id-ID"/>
        </w:rPr>
      </w:pPr>
    </w:p>
    <w:p w14:paraId="46A985A1" w14:textId="2311AC2C" w:rsidR="00E242DA" w:rsidRPr="000F58FB" w:rsidRDefault="004E1452" w:rsidP="001D7466">
      <w:pPr>
        <w:pStyle w:val="Heading1"/>
        <w:spacing w:before="97" w:line="264" w:lineRule="auto"/>
        <w:ind w:left="0"/>
        <w:rPr>
          <w:rFonts w:asciiTheme="majorHAnsi" w:hAnsiTheme="majorHAnsi"/>
          <w:color w:val="0070C0"/>
          <w:sz w:val="22"/>
          <w:szCs w:val="22"/>
        </w:rPr>
      </w:pPr>
      <w:r w:rsidRPr="000F58FB">
        <w:rPr>
          <w:rFonts w:asciiTheme="majorHAnsi" w:hAnsiTheme="majorHAnsi"/>
          <w:color w:val="0070C0"/>
          <w:sz w:val="22"/>
          <w:szCs w:val="22"/>
        </w:rPr>
        <w:t>INTRODUCTION</w:t>
      </w:r>
    </w:p>
    <w:p w14:paraId="58742968" w14:textId="77777777" w:rsidR="00BD0FCB" w:rsidRPr="00BD0FCB" w:rsidRDefault="00BD0FCB" w:rsidP="00345BED">
      <w:pPr>
        <w:pStyle w:val="BodyText"/>
        <w:spacing w:line="264" w:lineRule="auto"/>
        <w:ind w:left="142" w:right="227" w:firstLine="425"/>
        <w:rPr>
          <w:rFonts w:asciiTheme="majorHAnsi" w:hAnsiTheme="majorHAnsi" w:cs="Times New Roman"/>
          <w:sz w:val="22"/>
          <w:szCs w:val="22"/>
          <w:lang w:val="en"/>
        </w:rPr>
      </w:pPr>
    </w:p>
    <w:p w14:paraId="534A778A" w14:textId="06F51032" w:rsidR="004E1452" w:rsidRPr="00BD0FCB" w:rsidRDefault="005303D3" w:rsidP="00D208CA">
      <w:pPr>
        <w:pStyle w:val="BodyText"/>
        <w:spacing w:line="264"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It is imperative for curriculum designers to connect with the changing needs of society to provide the right training as per industry needs for future aspiring professionals (</w:t>
      </w:r>
      <w:proofErr w:type="spellStart"/>
      <w:r w:rsidRPr="00BD0FCB">
        <w:rPr>
          <w:rFonts w:asciiTheme="majorHAnsi" w:hAnsiTheme="majorHAnsi" w:cs="Times New Roman"/>
          <w:sz w:val="22"/>
          <w:szCs w:val="22"/>
          <w:lang w:val="en"/>
        </w:rPr>
        <w:t>Cedefop</w:t>
      </w:r>
      <w:proofErr w:type="spellEnd"/>
      <w:r w:rsidRPr="00BD0FCB">
        <w:rPr>
          <w:rFonts w:asciiTheme="majorHAnsi" w:hAnsiTheme="majorHAnsi" w:cs="Times New Roman"/>
          <w:sz w:val="22"/>
          <w:szCs w:val="22"/>
          <w:lang w:val="en"/>
        </w:rPr>
        <w:t xml:space="preserve"> 2022). Curricula in vocational education and other professions are developed based on occupational qualifications, shaped by an understanding of current skills, and influenced by broad national policies. Vocational qualifications fulfil a variety of important roles such as defining essential skills and knowledge for a particular industry, shaping vocational education </w:t>
      </w:r>
      <w:r w:rsidR="00BD0FCB" w:rsidRPr="00BD0FCB">
        <w:rPr>
          <w:rFonts w:asciiTheme="majorHAnsi" w:hAnsiTheme="majorHAnsi" w:cs="Times New Roman"/>
          <w:sz w:val="22"/>
          <w:szCs w:val="22"/>
          <w:lang w:val="en"/>
        </w:rPr>
        <w:t>programmers</w:t>
      </w:r>
      <w:r w:rsidRPr="00BD0FCB">
        <w:rPr>
          <w:rFonts w:asciiTheme="majorHAnsi" w:hAnsiTheme="majorHAnsi" w:cs="Times New Roman"/>
          <w:sz w:val="22"/>
          <w:szCs w:val="22"/>
          <w:lang w:val="en"/>
        </w:rPr>
        <w:t>, facilitating career transitions, supporting learners, and evaluating the quality of education offerings, (Young &amp; Hordern, 2022)</w:t>
      </w:r>
      <w:r w:rsidR="004E1452" w:rsidRPr="00BD0FCB">
        <w:rPr>
          <w:rFonts w:asciiTheme="majorHAnsi" w:hAnsiTheme="majorHAnsi" w:cs="Times New Roman"/>
          <w:sz w:val="22"/>
          <w:szCs w:val="22"/>
          <w:lang w:val="en"/>
        </w:rPr>
        <w:t>.</w:t>
      </w:r>
    </w:p>
    <w:p w14:paraId="3D665C2E" w14:textId="77777777" w:rsidR="00BD0FCB" w:rsidRPr="00BD0FCB" w:rsidRDefault="005303D3" w:rsidP="00D208CA">
      <w:pPr>
        <w:pStyle w:val="BodyText"/>
        <w:spacing w:line="264"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 xml:space="preserve">Entering 2016, the world is faced with the 'Industrial Revolution 4.0' to describe today's technological advances characterized by digitalization, automation, robotization, and </w:t>
      </w:r>
      <w:r w:rsidRPr="00BD0FCB">
        <w:rPr>
          <w:rFonts w:asciiTheme="majorHAnsi" w:hAnsiTheme="majorHAnsi" w:cs="Times New Roman"/>
          <w:sz w:val="22"/>
          <w:szCs w:val="22"/>
          <w:lang w:val="en"/>
        </w:rPr>
        <w:lastRenderedPageBreak/>
        <w:t>interconnection, all focused on increasing work productivity, effectiveness and efficiency, and competitiveness in manufacturing (</w:t>
      </w:r>
      <w:proofErr w:type="spellStart"/>
      <w:r w:rsidRPr="00BD0FCB">
        <w:rPr>
          <w:rFonts w:asciiTheme="majorHAnsi" w:hAnsiTheme="majorHAnsi" w:cs="Times New Roman"/>
          <w:sz w:val="22"/>
          <w:szCs w:val="22"/>
          <w:lang w:val="en"/>
        </w:rPr>
        <w:t>Loumpourdi</w:t>
      </w:r>
      <w:proofErr w:type="spellEnd"/>
      <w:r w:rsidRPr="00BD0FCB">
        <w:rPr>
          <w:rFonts w:asciiTheme="majorHAnsi" w:hAnsiTheme="majorHAnsi" w:cs="Times New Roman"/>
          <w:sz w:val="22"/>
          <w:szCs w:val="22"/>
          <w:lang w:val="en"/>
        </w:rPr>
        <w:t xml:space="preserve">, 2024). Avis, (2020) and McGrath, (2022) highlight the increasing recognition of modernization of the world economy that stimulates innovation and customer-focused dynamics only to maintain economic competitiveness. Furthermore, collaborative initiatives are underway to reach agreement on creating inclusive and sustainable societies, as evidenced by various works (Rusert &amp; Stein, 2023). </w:t>
      </w:r>
    </w:p>
    <w:p w14:paraId="6AD8C2AB" w14:textId="7AB99A6E" w:rsidR="004E1452" w:rsidRPr="00BD0FCB" w:rsidRDefault="005303D3" w:rsidP="00D208CA">
      <w:pPr>
        <w:pStyle w:val="BodyText"/>
        <w:spacing w:line="264"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Professional credentials are reluctant to adapt to social and labor market developments, despite significant modifications to be able to change one's lifestyle, find work, and interact in an already very complex scope (</w:t>
      </w:r>
      <w:proofErr w:type="spellStart"/>
      <w:r w:rsidRPr="00BD0FCB">
        <w:rPr>
          <w:rFonts w:asciiTheme="majorHAnsi" w:hAnsiTheme="majorHAnsi" w:cs="Times New Roman"/>
          <w:sz w:val="22"/>
          <w:szCs w:val="22"/>
          <w:lang w:val="en"/>
        </w:rPr>
        <w:t>Loumpourdi</w:t>
      </w:r>
      <w:proofErr w:type="spellEnd"/>
      <w:r w:rsidRPr="00BD0FCB">
        <w:rPr>
          <w:rFonts w:asciiTheme="majorHAnsi" w:hAnsiTheme="majorHAnsi" w:cs="Times New Roman"/>
          <w:sz w:val="22"/>
          <w:szCs w:val="22"/>
          <w:lang w:val="en"/>
        </w:rPr>
        <w:t>, 2024). Various studies show that those responsible for designing vocational education programs face difficulties in adapting to technological and societal changes that are expected to have a significant impact on how to work well (Avis, 2020). If vocational education does not adapt, there will likely be concerns felt by the world of work and the world of education about less relevant curricula, (Young &amp; Hordern, 2022). For example, problems related to capacity and quality may arise, such as graduates facing unemployment despite the increasing number of job openings, or employees without the necessary knowledge or skills.</w:t>
      </w:r>
    </w:p>
    <w:p w14:paraId="18B11CA6" w14:textId="77777777" w:rsidR="004E1452" w:rsidRPr="00BD0FCB" w:rsidRDefault="005303D3" w:rsidP="00D208CA">
      <w:pPr>
        <w:pStyle w:val="BodyText"/>
        <w:spacing w:line="264"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 xml:space="preserve">The results of international scientific debates have given rise to ideas regarding the future of vocational curricula, </w:t>
      </w:r>
      <w:proofErr w:type="gramStart"/>
      <w:r w:rsidRPr="00BD0FCB">
        <w:rPr>
          <w:rFonts w:asciiTheme="majorHAnsi" w:hAnsiTheme="majorHAnsi" w:cs="Times New Roman"/>
          <w:sz w:val="22"/>
          <w:szCs w:val="22"/>
          <w:lang w:val="en"/>
        </w:rPr>
        <w:t>taking into account</w:t>
      </w:r>
      <w:proofErr w:type="gramEnd"/>
      <w:r w:rsidRPr="00BD0FCB">
        <w:rPr>
          <w:rFonts w:asciiTheme="majorHAnsi" w:hAnsiTheme="majorHAnsi" w:cs="Times New Roman"/>
          <w:sz w:val="22"/>
          <w:szCs w:val="22"/>
          <w:lang w:val="en"/>
        </w:rPr>
        <w:t xml:space="preserve"> two potential systems: one focuses on the study of vocational schools that meet the needs of the surrounding community, and the other conducts internships with educational curriculum structures relevant to the work sector and organization (Young &amp; Hordern, 2022). The application of the dual system is recommended to make it easier for students to make the transition. This perspective has important consequences for designing vocational curricula (Young &amp; Hordern, 2022). To run both systems requires the involvement and guidance of an educator, curriculum designer, a professional, and a researcher who understands the educational environment and standards of the emerging world of work. VanLaningham, (2024) argues that these necessary changes in vocational frameworks allow educators to challenge dominant ways of thinking about vocation as well as thinking about what is "common" and what is "good."</w:t>
      </w:r>
    </w:p>
    <w:p w14:paraId="5DA4CFF7" w14:textId="4BEBA7F6" w:rsidR="004E1452" w:rsidRPr="00BD0FCB" w:rsidRDefault="005303D3" w:rsidP="0048689D">
      <w:pPr>
        <w:pStyle w:val="BodyText"/>
        <w:spacing w:line="264" w:lineRule="auto"/>
        <w:ind w:left="0" w:right="2" w:firstLine="425"/>
        <w:rPr>
          <w:rFonts w:asciiTheme="majorHAnsi" w:hAnsiTheme="majorHAnsi" w:cs="Times New Roman"/>
          <w:sz w:val="22"/>
          <w:szCs w:val="22"/>
          <w:lang w:val="en-AU"/>
        </w:rPr>
      </w:pPr>
      <w:proofErr w:type="spellStart"/>
      <w:r w:rsidRPr="00BD0FCB">
        <w:rPr>
          <w:rFonts w:asciiTheme="majorHAnsi" w:hAnsiTheme="majorHAnsi" w:cs="Times New Roman"/>
          <w:sz w:val="22"/>
          <w:szCs w:val="22"/>
          <w:lang w:val="en"/>
        </w:rPr>
        <w:t>Vreuls</w:t>
      </w:r>
      <w:proofErr w:type="spellEnd"/>
      <w:r w:rsidRPr="00BD0FCB">
        <w:rPr>
          <w:rFonts w:asciiTheme="majorHAnsi" w:hAnsiTheme="majorHAnsi" w:cs="Times New Roman"/>
          <w:sz w:val="22"/>
          <w:szCs w:val="22"/>
          <w:lang w:val="en"/>
        </w:rPr>
        <w:t xml:space="preserve"> et al. (2022) conducted an exploratory study, finding that individuals involved in vocational education curriculum development, education researchers, teachers, and employer representatives, often face challenges, but have successfully managed responsive curriculum development procedures. International organizations and donor agencies conceptualize this problem as a mismatch between skills supply and demand, (Soliman, 2023). Therefore, curriculum developers need help</w:t>
      </w:r>
      <w:r w:rsidR="00BD0FCB" w:rsidRPr="00BD0FCB">
        <w:rPr>
          <w:rFonts w:asciiTheme="majorHAnsi" w:hAnsiTheme="majorHAnsi" w:cs="Times New Roman"/>
          <w:sz w:val="22"/>
          <w:szCs w:val="22"/>
          <w:lang w:val="en"/>
        </w:rPr>
        <w:t>.</w:t>
      </w:r>
      <w:r w:rsidRPr="00BD0FCB">
        <w:rPr>
          <w:rFonts w:asciiTheme="majorHAnsi" w:hAnsiTheme="majorHAnsi" w:cs="Times New Roman"/>
          <w:sz w:val="22"/>
          <w:szCs w:val="22"/>
          <w:lang w:val="en"/>
        </w:rPr>
        <w:t xml:space="preserve"> </w:t>
      </w:r>
      <w:proofErr w:type="spellStart"/>
      <w:r w:rsidRPr="00BD0FCB">
        <w:rPr>
          <w:rFonts w:asciiTheme="majorHAnsi" w:hAnsiTheme="majorHAnsi" w:cs="Times New Roman"/>
          <w:sz w:val="22"/>
          <w:szCs w:val="22"/>
          <w:lang w:val="en"/>
        </w:rPr>
        <w:t>Vreuls</w:t>
      </w:r>
      <w:proofErr w:type="spellEnd"/>
      <w:r w:rsidRPr="00BD0FCB">
        <w:rPr>
          <w:rFonts w:asciiTheme="majorHAnsi" w:hAnsiTheme="majorHAnsi" w:cs="Times New Roman"/>
          <w:sz w:val="22"/>
          <w:szCs w:val="22"/>
          <w:lang w:val="en"/>
        </w:rPr>
        <w:t xml:space="preserve"> et al. (2022) said that a significant problem in the implementation of vocational education is the slow progress of curriculum development, which is hampered by the carrying capacity of ongoing changes. The responsive curriculum is designed to cater to the evolving requirements of students, effectively bridging the divide between general knowledge and theories, and the dynamic and ever-changing realities of everyday life and the professional sphere.</w:t>
      </w:r>
    </w:p>
    <w:p w14:paraId="16CB1166" w14:textId="77777777" w:rsidR="004E1452" w:rsidRPr="00BD0FCB" w:rsidRDefault="004E1452" w:rsidP="00345BED">
      <w:pPr>
        <w:pStyle w:val="BodyText"/>
        <w:spacing w:line="264" w:lineRule="auto"/>
        <w:ind w:left="142" w:right="227" w:firstLine="425"/>
        <w:rPr>
          <w:rFonts w:asciiTheme="majorHAnsi" w:hAnsiTheme="majorHAnsi" w:cs="Times New Roman"/>
          <w:sz w:val="22"/>
          <w:szCs w:val="22"/>
          <w:lang w:val="en-AU"/>
        </w:rPr>
      </w:pPr>
    </w:p>
    <w:p w14:paraId="0767214B" w14:textId="77777777" w:rsidR="004E1452" w:rsidRPr="000F58FB" w:rsidRDefault="004E1452" w:rsidP="0048689D">
      <w:pPr>
        <w:pStyle w:val="BodyText"/>
        <w:spacing w:line="264" w:lineRule="auto"/>
        <w:ind w:left="0" w:right="227"/>
        <w:rPr>
          <w:rFonts w:asciiTheme="majorHAnsi" w:hAnsiTheme="majorHAnsi" w:cs="Times New Roman"/>
          <w:color w:val="0070C0"/>
          <w:sz w:val="22"/>
          <w:szCs w:val="22"/>
          <w:lang w:val="en"/>
        </w:rPr>
      </w:pPr>
      <w:r w:rsidRPr="000F58FB">
        <w:rPr>
          <w:rFonts w:asciiTheme="majorHAnsi" w:hAnsiTheme="majorHAnsi" w:cs="Times New Roman"/>
          <w:color w:val="0070C0"/>
          <w:sz w:val="22"/>
          <w:szCs w:val="22"/>
          <w:lang w:val="en"/>
        </w:rPr>
        <w:t> </w:t>
      </w:r>
      <w:r w:rsidRPr="000F58FB">
        <w:rPr>
          <w:rFonts w:asciiTheme="majorHAnsi" w:hAnsiTheme="majorHAnsi" w:cs="Times New Roman"/>
          <w:b/>
          <w:color w:val="0070C0"/>
          <w:sz w:val="22"/>
          <w:szCs w:val="22"/>
          <w:lang w:val="en"/>
        </w:rPr>
        <w:t>METHODS</w:t>
      </w:r>
    </w:p>
    <w:p w14:paraId="1A74E64E" w14:textId="77777777" w:rsidR="004E1452" w:rsidRPr="00BD0FCB" w:rsidRDefault="004E1452" w:rsidP="00345BED">
      <w:pPr>
        <w:pStyle w:val="BodyText"/>
        <w:spacing w:line="264" w:lineRule="auto"/>
        <w:ind w:left="142" w:right="227" w:firstLine="425"/>
        <w:rPr>
          <w:rFonts w:asciiTheme="majorHAnsi" w:hAnsiTheme="majorHAnsi" w:cs="Times New Roman"/>
          <w:sz w:val="22"/>
          <w:szCs w:val="22"/>
          <w:lang w:val="en-AU"/>
        </w:rPr>
      </w:pPr>
    </w:p>
    <w:p w14:paraId="17A1B5C4" w14:textId="77777777" w:rsidR="008474C6" w:rsidRPr="00BD0FCB" w:rsidRDefault="008474C6" w:rsidP="00D208CA">
      <w:pPr>
        <w:pStyle w:val="BodyText"/>
        <w:spacing w:line="264" w:lineRule="auto"/>
        <w:ind w:left="0" w:right="2" w:firstLine="567"/>
        <w:rPr>
          <w:rFonts w:asciiTheme="majorHAnsi" w:hAnsiTheme="majorHAnsi" w:cs="Times New Roman"/>
          <w:sz w:val="22"/>
          <w:szCs w:val="22"/>
          <w:lang w:val="en-AU"/>
        </w:rPr>
      </w:pPr>
      <w:r w:rsidRPr="00BD0FCB">
        <w:rPr>
          <w:rFonts w:asciiTheme="majorHAnsi" w:hAnsiTheme="majorHAnsi" w:cs="Times New Roman"/>
          <w:sz w:val="22"/>
          <w:szCs w:val="22"/>
          <w:lang w:val="en-AU"/>
        </w:rPr>
        <w:t xml:space="preserve">Writing articles utilizing books and journals as data sources is known as the literature review method, and it is used in this article as well. A literature review, sometimes referred to as literature research, is a descriptive-analytical document that is organized logically and purposefully. </w:t>
      </w:r>
      <w:proofErr w:type="gramStart"/>
      <w:r w:rsidRPr="00BD0FCB">
        <w:rPr>
          <w:rFonts w:asciiTheme="majorHAnsi" w:hAnsiTheme="majorHAnsi" w:cs="Times New Roman"/>
          <w:sz w:val="22"/>
          <w:szCs w:val="22"/>
          <w:lang w:val="en-AU"/>
        </w:rPr>
        <w:t>In order to</w:t>
      </w:r>
      <w:proofErr w:type="gramEnd"/>
      <w:r w:rsidRPr="00BD0FCB">
        <w:rPr>
          <w:rFonts w:asciiTheme="majorHAnsi" w:hAnsiTheme="majorHAnsi" w:cs="Times New Roman"/>
          <w:sz w:val="22"/>
          <w:szCs w:val="22"/>
          <w:lang w:val="en-AU"/>
        </w:rPr>
        <w:t xml:space="preserve"> locate theoretical and pertinent scientific studies, the literature review will search for literature sources that are pertinent to the subject (Wilkinson &amp;; Doctor, 2023). </w:t>
      </w:r>
    </w:p>
    <w:p w14:paraId="31C6D926" w14:textId="77777777" w:rsidR="008474C6" w:rsidRPr="00BD0FCB" w:rsidRDefault="008474C6" w:rsidP="00D208CA">
      <w:pPr>
        <w:pStyle w:val="BodyText"/>
        <w:spacing w:line="271" w:lineRule="auto"/>
        <w:ind w:left="0" w:right="2" w:firstLine="567"/>
        <w:rPr>
          <w:rFonts w:asciiTheme="majorHAnsi" w:hAnsiTheme="majorHAnsi" w:cs="Times New Roman"/>
          <w:sz w:val="22"/>
          <w:szCs w:val="22"/>
          <w:lang w:val="en-AU"/>
        </w:rPr>
      </w:pPr>
      <w:r w:rsidRPr="00BD0FCB">
        <w:rPr>
          <w:rFonts w:asciiTheme="majorHAnsi" w:hAnsiTheme="majorHAnsi" w:cs="Times New Roman"/>
          <w:sz w:val="22"/>
          <w:szCs w:val="22"/>
          <w:lang w:val="en-AU"/>
        </w:rPr>
        <w:t xml:space="preserve">Since obtaining data is the primary goal of the information gathering phase of research, it is a crucial stage. The following data collection techniques are employed: The process of gathering </w:t>
      </w:r>
      <w:r w:rsidRPr="00BD0FCB">
        <w:rPr>
          <w:rFonts w:asciiTheme="majorHAnsi" w:hAnsiTheme="majorHAnsi" w:cs="Times New Roman"/>
          <w:sz w:val="22"/>
          <w:szCs w:val="22"/>
          <w:lang w:val="en-AU"/>
        </w:rPr>
        <w:lastRenderedPageBreak/>
        <w:t xml:space="preserve">and arranging information or data from multiple sources is referred to as data collection. This project aims to compile credible articles about curriculum development for vocational education. Data analysis is the methodical process of converting and arranging research data into a logical structure. After that, the data is </w:t>
      </w:r>
      <w:proofErr w:type="spellStart"/>
      <w:r w:rsidRPr="00BD0FCB">
        <w:rPr>
          <w:rFonts w:asciiTheme="majorHAnsi" w:hAnsiTheme="majorHAnsi" w:cs="Times New Roman"/>
          <w:sz w:val="22"/>
          <w:szCs w:val="22"/>
          <w:lang w:val="en-AU"/>
        </w:rPr>
        <w:t>analyzed</w:t>
      </w:r>
      <w:proofErr w:type="spellEnd"/>
      <w:r w:rsidRPr="00BD0FCB">
        <w:rPr>
          <w:rFonts w:asciiTheme="majorHAnsi" w:hAnsiTheme="majorHAnsi" w:cs="Times New Roman"/>
          <w:sz w:val="22"/>
          <w:szCs w:val="22"/>
          <w:lang w:val="en-AU"/>
        </w:rPr>
        <w:t xml:space="preserve"> to extract information, starting with a reliability-based selection of the data.</w:t>
      </w:r>
    </w:p>
    <w:p w14:paraId="34856271" w14:textId="1F2F818F" w:rsidR="008474C6" w:rsidRPr="00BD0FCB" w:rsidRDefault="008474C6" w:rsidP="00D208CA">
      <w:pPr>
        <w:pStyle w:val="BodyText"/>
        <w:spacing w:line="271" w:lineRule="auto"/>
        <w:ind w:left="0" w:right="2" w:firstLine="567"/>
        <w:rPr>
          <w:rFonts w:asciiTheme="majorHAnsi" w:hAnsiTheme="majorHAnsi" w:cs="Times New Roman"/>
          <w:sz w:val="22"/>
          <w:szCs w:val="22"/>
          <w:lang w:val="en-AU"/>
        </w:rPr>
      </w:pPr>
      <w:r w:rsidRPr="00BD0FCB">
        <w:rPr>
          <w:rFonts w:asciiTheme="majorHAnsi" w:hAnsiTheme="majorHAnsi" w:cs="Times New Roman"/>
          <w:sz w:val="22"/>
          <w:szCs w:val="22"/>
          <w:lang w:val="en-AU"/>
        </w:rPr>
        <w:t xml:space="preserve">The results of the research literature review can be used as a reference for formulating problems, developing appropriate theories, and determining the research methods that were carried out. This was achieved by </w:t>
      </w:r>
      <w:proofErr w:type="spellStart"/>
      <w:r w:rsidRPr="00BD0FCB">
        <w:rPr>
          <w:rFonts w:asciiTheme="majorHAnsi" w:hAnsiTheme="majorHAnsi" w:cs="Times New Roman"/>
          <w:sz w:val="22"/>
          <w:szCs w:val="22"/>
          <w:lang w:val="en-AU"/>
        </w:rPr>
        <w:t>analyzing</w:t>
      </w:r>
      <w:proofErr w:type="spellEnd"/>
      <w:r w:rsidRPr="00BD0FCB">
        <w:rPr>
          <w:rFonts w:asciiTheme="majorHAnsi" w:hAnsiTheme="majorHAnsi" w:cs="Times New Roman"/>
          <w:sz w:val="22"/>
          <w:szCs w:val="22"/>
          <w:lang w:val="en-AU"/>
        </w:rPr>
        <w:t xml:space="preserve"> the contents of </w:t>
      </w:r>
      <w:r w:rsidR="00DF67B9" w:rsidRPr="00BD0FCB">
        <w:rPr>
          <w:rFonts w:asciiTheme="majorHAnsi" w:hAnsiTheme="majorHAnsi" w:cs="Times New Roman"/>
          <w:sz w:val="22"/>
          <w:szCs w:val="22"/>
          <w:lang w:val="en-AU"/>
        </w:rPr>
        <w:t>twenty-six</w:t>
      </w:r>
      <w:r w:rsidRPr="00BD0FCB">
        <w:rPr>
          <w:rFonts w:asciiTheme="majorHAnsi" w:hAnsiTheme="majorHAnsi" w:cs="Times New Roman"/>
          <w:sz w:val="22"/>
          <w:szCs w:val="22"/>
          <w:lang w:val="en-AU"/>
        </w:rPr>
        <w:t xml:space="preserve"> reputable journals that focus on the field of vocational education curriculum development.</w:t>
      </w:r>
    </w:p>
    <w:p w14:paraId="09266425" w14:textId="2A976BA6" w:rsidR="004E1452" w:rsidRPr="00BD0FCB" w:rsidRDefault="004E1452" w:rsidP="000F58FB">
      <w:pPr>
        <w:pStyle w:val="BodyText"/>
        <w:spacing w:line="271" w:lineRule="auto"/>
        <w:ind w:left="0" w:right="227"/>
        <w:rPr>
          <w:rFonts w:asciiTheme="majorHAnsi" w:hAnsiTheme="majorHAnsi" w:cs="Times New Roman"/>
          <w:sz w:val="22"/>
          <w:szCs w:val="22"/>
          <w:lang w:val="en"/>
        </w:rPr>
      </w:pPr>
    </w:p>
    <w:p w14:paraId="20DC8834" w14:textId="77777777" w:rsidR="004E1452" w:rsidRPr="000F58FB" w:rsidRDefault="004E1452" w:rsidP="000F58FB">
      <w:pPr>
        <w:pStyle w:val="BodyText"/>
        <w:spacing w:line="271" w:lineRule="auto"/>
        <w:ind w:left="0" w:right="227"/>
        <w:rPr>
          <w:rFonts w:asciiTheme="majorHAnsi" w:hAnsiTheme="majorHAnsi" w:cs="Times New Roman"/>
          <w:color w:val="0070C0"/>
          <w:sz w:val="22"/>
          <w:szCs w:val="22"/>
          <w:lang w:val="en"/>
        </w:rPr>
      </w:pPr>
      <w:r w:rsidRPr="000F58FB">
        <w:rPr>
          <w:rFonts w:asciiTheme="majorHAnsi" w:hAnsiTheme="majorHAnsi" w:cs="Times New Roman"/>
          <w:b/>
          <w:color w:val="0070C0"/>
          <w:sz w:val="22"/>
          <w:szCs w:val="22"/>
          <w:lang w:val="en"/>
        </w:rPr>
        <w:t>RESULTS AND DISCUSSION</w:t>
      </w:r>
    </w:p>
    <w:p w14:paraId="47620589" w14:textId="77777777" w:rsidR="004E1452" w:rsidRPr="000F58FB" w:rsidRDefault="004E1452" w:rsidP="000F58FB">
      <w:pPr>
        <w:pStyle w:val="BodyText"/>
        <w:spacing w:line="271" w:lineRule="auto"/>
        <w:ind w:left="142" w:right="227" w:firstLine="425"/>
        <w:rPr>
          <w:rFonts w:asciiTheme="majorHAnsi" w:hAnsiTheme="majorHAnsi" w:cs="Times New Roman"/>
          <w:b/>
          <w:bCs/>
          <w:color w:val="0070C0"/>
          <w:sz w:val="22"/>
          <w:szCs w:val="22"/>
          <w:lang w:val="en"/>
        </w:rPr>
      </w:pPr>
    </w:p>
    <w:p w14:paraId="167B4006" w14:textId="77777777" w:rsidR="004E1452" w:rsidRPr="000F58FB" w:rsidRDefault="006A4401" w:rsidP="000F58FB">
      <w:pPr>
        <w:pStyle w:val="BodyText"/>
        <w:spacing w:line="271" w:lineRule="auto"/>
        <w:ind w:left="0" w:right="227"/>
        <w:rPr>
          <w:rFonts w:asciiTheme="majorHAnsi" w:hAnsiTheme="majorHAnsi" w:cs="Times New Roman"/>
          <w:b/>
          <w:bCs/>
          <w:color w:val="0070C0"/>
          <w:sz w:val="22"/>
          <w:szCs w:val="22"/>
          <w:lang w:val="en"/>
        </w:rPr>
      </w:pPr>
      <w:r w:rsidRPr="000F58FB">
        <w:rPr>
          <w:rFonts w:asciiTheme="majorHAnsi" w:hAnsiTheme="majorHAnsi" w:cs="Times New Roman"/>
          <w:b/>
          <w:bCs/>
          <w:color w:val="0070C0"/>
          <w:sz w:val="22"/>
          <w:szCs w:val="22"/>
          <w:lang w:val="en"/>
        </w:rPr>
        <w:t>Vision of Education and Learning</w:t>
      </w:r>
    </w:p>
    <w:p w14:paraId="5A8C7FC9" w14:textId="73734BDB" w:rsidR="004E1452" w:rsidRPr="00BD0FCB" w:rsidRDefault="006A4401"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 xml:space="preserve">According to </w:t>
      </w:r>
      <w:proofErr w:type="spellStart"/>
      <w:r w:rsidRPr="00BD0FCB">
        <w:rPr>
          <w:rFonts w:asciiTheme="majorHAnsi" w:hAnsiTheme="majorHAnsi" w:cs="Times New Roman"/>
          <w:sz w:val="22"/>
          <w:szCs w:val="22"/>
          <w:lang w:val="en"/>
        </w:rPr>
        <w:t>Vreuls</w:t>
      </w:r>
      <w:proofErr w:type="spellEnd"/>
      <w:r w:rsidRPr="00BD0FCB">
        <w:rPr>
          <w:rFonts w:asciiTheme="majorHAnsi" w:hAnsiTheme="majorHAnsi" w:cs="Times New Roman"/>
          <w:sz w:val="22"/>
          <w:szCs w:val="22"/>
          <w:lang w:val="en"/>
        </w:rPr>
        <w:t xml:space="preserve"> et al., (2022) one of the things that supports the process of developing a </w:t>
      </w:r>
      <w:r w:rsidRPr="0048689D">
        <w:rPr>
          <w:rFonts w:asciiTheme="majorHAnsi" w:hAnsiTheme="majorHAnsi" w:cs="Times New Roman"/>
          <w:sz w:val="22"/>
          <w:szCs w:val="22"/>
          <w:lang w:val="en-AU"/>
        </w:rPr>
        <w:t>responsive</w:t>
      </w:r>
      <w:r w:rsidRPr="00BD0FCB">
        <w:rPr>
          <w:rFonts w:asciiTheme="majorHAnsi" w:hAnsiTheme="majorHAnsi" w:cs="Times New Roman"/>
          <w:sz w:val="22"/>
          <w:szCs w:val="22"/>
          <w:lang w:val="en"/>
        </w:rPr>
        <w:t xml:space="preserve"> curriculum is the identification of the vision of education and learning. This factor has four important elements: vision, intended curriculum content, curriculum integrity, and curriculum systematics. Significantly, a strong correlation was identified between these variables and factors related to the ongoing and ongoing process of curriculum creation, as evidenced by their substantial proximity. Responsive curriculum development is significantly influenced by the existence of a shared curriculum vision, open and coherent materials, and a well-defined framework. An important aspect to responsiveness seems to be the formation of a collective vision centered around an open and adaptable curriculum.</w:t>
      </w:r>
      <w:r w:rsidR="0048689D">
        <w:rPr>
          <w:rFonts w:asciiTheme="majorHAnsi" w:hAnsiTheme="majorHAnsi" w:cs="Times New Roman"/>
          <w:sz w:val="22"/>
          <w:szCs w:val="22"/>
          <w:lang w:val="en"/>
        </w:rPr>
        <w:t xml:space="preserve"> </w:t>
      </w:r>
      <w:r w:rsidRPr="00BD0FCB">
        <w:rPr>
          <w:rFonts w:asciiTheme="majorHAnsi" w:hAnsiTheme="majorHAnsi" w:cs="Times New Roman"/>
          <w:sz w:val="22"/>
          <w:szCs w:val="22"/>
          <w:lang w:val="en"/>
        </w:rPr>
        <w:t xml:space="preserve">This </w:t>
      </w:r>
      <w:r w:rsidRPr="0048689D">
        <w:rPr>
          <w:rFonts w:asciiTheme="majorHAnsi" w:hAnsiTheme="majorHAnsi" w:cs="Times New Roman"/>
          <w:sz w:val="22"/>
          <w:szCs w:val="22"/>
          <w:lang w:val="en-AU"/>
        </w:rPr>
        <w:t>conclusion</w:t>
      </w:r>
      <w:r w:rsidRPr="00BD0FCB">
        <w:rPr>
          <w:rFonts w:asciiTheme="majorHAnsi" w:hAnsiTheme="majorHAnsi" w:cs="Times New Roman"/>
          <w:sz w:val="22"/>
          <w:szCs w:val="22"/>
          <w:lang w:val="en"/>
        </w:rPr>
        <w:t xml:space="preserve"> is supported by other statements that highlight the achievement of a collective vision for an adaptable and inclusive curriculum.</w:t>
      </w:r>
    </w:p>
    <w:p w14:paraId="5B0F2CF1" w14:textId="77777777" w:rsidR="006A4401" w:rsidRPr="00BD0FCB" w:rsidRDefault="006A4401" w:rsidP="000F58FB">
      <w:pPr>
        <w:pStyle w:val="BodyText"/>
        <w:spacing w:line="271" w:lineRule="auto"/>
        <w:ind w:right="227"/>
        <w:rPr>
          <w:rFonts w:asciiTheme="majorHAnsi" w:hAnsiTheme="majorHAnsi" w:cs="Times New Roman"/>
          <w:sz w:val="22"/>
          <w:szCs w:val="22"/>
          <w:lang w:val="en"/>
        </w:rPr>
      </w:pPr>
    </w:p>
    <w:p w14:paraId="703BFB1B" w14:textId="77777777" w:rsidR="004E1452" w:rsidRPr="000F58FB" w:rsidRDefault="006A4401" w:rsidP="000F58FB">
      <w:pPr>
        <w:pStyle w:val="BodyText"/>
        <w:spacing w:line="271" w:lineRule="auto"/>
        <w:ind w:left="0" w:right="227"/>
        <w:rPr>
          <w:rFonts w:asciiTheme="majorHAnsi" w:hAnsiTheme="majorHAnsi" w:cs="Times New Roman"/>
          <w:b/>
          <w:bCs/>
          <w:color w:val="0070C0"/>
          <w:sz w:val="22"/>
          <w:szCs w:val="22"/>
          <w:lang w:val="en"/>
        </w:rPr>
      </w:pPr>
      <w:r w:rsidRPr="000F58FB">
        <w:rPr>
          <w:rFonts w:asciiTheme="majorHAnsi" w:hAnsiTheme="majorHAnsi" w:cs="Times New Roman"/>
          <w:b/>
          <w:bCs/>
          <w:color w:val="0070C0"/>
          <w:sz w:val="22"/>
          <w:szCs w:val="22"/>
          <w:lang w:val="en"/>
        </w:rPr>
        <w:t>Continuous and iterative curriculum development process</w:t>
      </w:r>
    </w:p>
    <w:p w14:paraId="481D27AE" w14:textId="77777777" w:rsidR="004E1452" w:rsidRPr="00BD0FCB" w:rsidRDefault="006A4401"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 xml:space="preserve">The constant and iterative process of curriculum creation has also been identified as a contributing component. According to </w:t>
      </w:r>
      <w:proofErr w:type="spellStart"/>
      <w:r w:rsidRPr="00BD0FCB">
        <w:rPr>
          <w:rFonts w:asciiTheme="majorHAnsi" w:hAnsiTheme="majorHAnsi" w:cs="Times New Roman"/>
          <w:sz w:val="22"/>
          <w:szCs w:val="22"/>
          <w:lang w:val="en"/>
        </w:rPr>
        <w:t>Vreuls</w:t>
      </w:r>
      <w:proofErr w:type="spellEnd"/>
      <w:r w:rsidRPr="00BD0FCB">
        <w:rPr>
          <w:rFonts w:asciiTheme="majorHAnsi" w:hAnsiTheme="majorHAnsi" w:cs="Times New Roman"/>
          <w:sz w:val="22"/>
          <w:szCs w:val="22"/>
          <w:lang w:val="en"/>
        </w:rPr>
        <w:t xml:space="preserve"> et al., (2022) that factors influencing this component include appropriate regulatory models and alignment, as well as sustainable, iterative, and participatory development processes. The study shows that to be responsive, the curriculum creation process must have quality continuity, iteration, and participation, which is also </w:t>
      </w:r>
      <w:proofErr w:type="gramStart"/>
      <w:r w:rsidRPr="00BD0FCB">
        <w:rPr>
          <w:rFonts w:asciiTheme="majorHAnsi" w:hAnsiTheme="majorHAnsi" w:cs="Times New Roman"/>
          <w:sz w:val="22"/>
          <w:szCs w:val="22"/>
          <w:lang w:val="en"/>
        </w:rPr>
        <w:t>in order to</w:t>
      </w:r>
      <w:proofErr w:type="gramEnd"/>
      <w:r w:rsidRPr="00BD0FCB">
        <w:rPr>
          <w:rFonts w:asciiTheme="majorHAnsi" w:hAnsiTheme="majorHAnsi" w:cs="Times New Roman"/>
          <w:sz w:val="22"/>
          <w:szCs w:val="22"/>
          <w:lang w:val="en"/>
        </w:rPr>
        <w:t xml:space="preserve"> maintain a strong relationship with professional practice.</w:t>
      </w:r>
    </w:p>
    <w:p w14:paraId="21881534" w14:textId="77777777" w:rsidR="004E1452" w:rsidRPr="00BD0FCB" w:rsidRDefault="004E1452" w:rsidP="000F58FB">
      <w:pPr>
        <w:pStyle w:val="BodyText"/>
        <w:spacing w:line="271" w:lineRule="auto"/>
        <w:ind w:left="142" w:right="227" w:firstLine="425"/>
        <w:rPr>
          <w:rFonts w:asciiTheme="majorHAnsi" w:hAnsiTheme="majorHAnsi" w:cs="Times New Roman"/>
          <w:sz w:val="22"/>
          <w:szCs w:val="22"/>
          <w:lang w:val="en"/>
        </w:rPr>
      </w:pPr>
    </w:p>
    <w:p w14:paraId="7CA2414E" w14:textId="77777777" w:rsidR="004E1452" w:rsidRPr="000F58FB" w:rsidRDefault="006A4401" w:rsidP="000F58FB">
      <w:pPr>
        <w:pStyle w:val="BodyText"/>
        <w:spacing w:line="271" w:lineRule="auto"/>
        <w:ind w:left="0" w:right="227"/>
        <w:rPr>
          <w:rFonts w:asciiTheme="majorHAnsi" w:hAnsiTheme="majorHAnsi" w:cs="Times New Roman"/>
          <w:b/>
          <w:bCs/>
          <w:color w:val="0070C0"/>
          <w:sz w:val="22"/>
          <w:szCs w:val="22"/>
          <w:lang w:val="en"/>
        </w:rPr>
      </w:pPr>
      <w:r w:rsidRPr="000F58FB">
        <w:rPr>
          <w:rFonts w:asciiTheme="majorHAnsi" w:hAnsiTheme="majorHAnsi" w:cs="Times New Roman"/>
          <w:b/>
          <w:bCs/>
          <w:color w:val="0070C0"/>
          <w:sz w:val="22"/>
          <w:szCs w:val="22"/>
          <w:lang w:val="en"/>
        </w:rPr>
        <w:t>Collaboration</w:t>
      </w:r>
    </w:p>
    <w:p w14:paraId="77B0503C" w14:textId="77777777" w:rsidR="004E1452" w:rsidRPr="00BD0FCB" w:rsidRDefault="006A4401"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The presence of collaboration was found to be an additional contributing factor. Factors affecting this component include a shared sense of belonging, composition of members, member competence, communication between members, and representatives, (</w:t>
      </w:r>
      <w:proofErr w:type="spellStart"/>
      <w:r w:rsidRPr="00BD0FCB">
        <w:rPr>
          <w:rFonts w:asciiTheme="majorHAnsi" w:hAnsiTheme="majorHAnsi" w:cs="Times New Roman"/>
          <w:sz w:val="22"/>
          <w:szCs w:val="22"/>
          <w:lang w:val="en"/>
        </w:rPr>
        <w:t>Loumpourdi</w:t>
      </w:r>
      <w:proofErr w:type="spellEnd"/>
      <w:r w:rsidRPr="00BD0FCB">
        <w:rPr>
          <w:rFonts w:asciiTheme="majorHAnsi" w:hAnsiTheme="majorHAnsi" w:cs="Times New Roman"/>
          <w:sz w:val="22"/>
          <w:szCs w:val="22"/>
          <w:lang w:val="en"/>
        </w:rPr>
        <w:t>, 2024). This highlights the idea that delegating curriculum development to teams is a beneficial first step in promoting a customizable development curriculum.</w:t>
      </w:r>
    </w:p>
    <w:p w14:paraId="4202F439" w14:textId="77777777" w:rsidR="004E1452" w:rsidRPr="00BD0FCB" w:rsidRDefault="006A4401"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Experts stress the importance of 'hybrid professionals', who are teachers who have additional positions in the workplace, in relation to responsiveness, (Schroth, 2023). This can be seen in a variety of phrases, including the phrase 'Stay ahead!' It is essential to ensure the active involvement of all stakeholders in the future-oriented change of the curriculum. The hybrid professionals concerned contribute significantly to the maintenance of an updated curriculum through their proactive pursuit of possible changes and the generation of new ideas. In addition, they enhance the Representative dimension by actively promoting new concepts and pioneering their actualization and implementation.</w:t>
      </w:r>
    </w:p>
    <w:p w14:paraId="0660143D" w14:textId="77777777" w:rsidR="00546EC5" w:rsidRPr="00BD0FCB" w:rsidRDefault="00546EC5" w:rsidP="00345BED">
      <w:pPr>
        <w:pStyle w:val="BodyText"/>
        <w:spacing w:line="264" w:lineRule="auto"/>
        <w:ind w:right="227"/>
        <w:rPr>
          <w:rFonts w:asciiTheme="majorHAnsi" w:hAnsiTheme="majorHAnsi" w:cs="Times New Roman"/>
          <w:sz w:val="22"/>
          <w:szCs w:val="22"/>
          <w:lang w:val="en"/>
        </w:rPr>
      </w:pPr>
    </w:p>
    <w:p w14:paraId="2EF5205C" w14:textId="23C00AB4" w:rsidR="004E1452" w:rsidRPr="000F58FB" w:rsidRDefault="00764C1E" w:rsidP="0048689D">
      <w:pPr>
        <w:pStyle w:val="BodyText"/>
        <w:spacing w:line="264" w:lineRule="auto"/>
        <w:ind w:left="0" w:right="227"/>
        <w:rPr>
          <w:rFonts w:asciiTheme="majorHAnsi" w:hAnsiTheme="majorHAnsi" w:cs="Times New Roman"/>
          <w:b/>
          <w:bCs/>
          <w:color w:val="0070C0"/>
          <w:sz w:val="22"/>
          <w:szCs w:val="22"/>
          <w:lang w:val="en"/>
        </w:rPr>
      </w:pPr>
      <w:r w:rsidRPr="000F58FB">
        <w:rPr>
          <w:rFonts w:asciiTheme="majorHAnsi" w:hAnsiTheme="majorHAnsi" w:cs="Times New Roman"/>
          <w:color w:val="0070C0"/>
          <w:sz w:val="22"/>
          <w:szCs w:val="22"/>
          <w:lang w:val="en"/>
        </w:rPr>
        <w:lastRenderedPageBreak/>
        <w:t xml:space="preserve"> </w:t>
      </w:r>
      <w:r w:rsidRPr="000F58FB">
        <w:rPr>
          <w:rFonts w:asciiTheme="majorHAnsi" w:hAnsiTheme="majorHAnsi" w:cs="Times New Roman"/>
          <w:b/>
          <w:bCs/>
          <w:color w:val="0070C0"/>
          <w:sz w:val="22"/>
          <w:szCs w:val="22"/>
          <w:lang w:val="en"/>
        </w:rPr>
        <w:t>Involving All Contributors</w:t>
      </w:r>
    </w:p>
    <w:p w14:paraId="0CE725BE" w14:textId="77777777" w:rsidR="00546EC5" w:rsidRPr="00BD0FCB" w:rsidRDefault="00546EC5"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In addition, the study highlights elements of contribution related to stakeholders. This element involves stakeholders' desire to engage, time their engagement, and build lasting relationships. These findings emphasize the importance of consistency involving various stakeholders throughout the curriculum development process, (</w:t>
      </w:r>
      <w:proofErr w:type="spellStart"/>
      <w:r w:rsidRPr="00BD0FCB">
        <w:rPr>
          <w:rFonts w:asciiTheme="majorHAnsi" w:hAnsiTheme="majorHAnsi" w:cs="Times New Roman"/>
          <w:sz w:val="22"/>
          <w:szCs w:val="22"/>
          <w:lang w:val="en"/>
        </w:rPr>
        <w:t>Vreuls</w:t>
      </w:r>
      <w:proofErr w:type="spellEnd"/>
      <w:r w:rsidRPr="00BD0FCB">
        <w:rPr>
          <w:rFonts w:asciiTheme="majorHAnsi" w:hAnsiTheme="majorHAnsi" w:cs="Times New Roman"/>
          <w:sz w:val="22"/>
          <w:szCs w:val="22"/>
          <w:lang w:val="en"/>
        </w:rPr>
        <w:t xml:space="preserve"> et al., 2022). This statement affirms that responsive development processes benefit from perspectives offered by various stakeholders, as they provide diverse experience in designing curricula and represent unique environmental specializations and knowledge.</w:t>
      </w:r>
    </w:p>
    <w:p w14:paraId="1A9FA5F8" w14:textId="77777777" w:rsidR="004E1452" w:rsidRPr="00BD0FCB" w:rsidRDefault="004E1452" w:rsidP="00345BED">
      <w:pPr>
        <w:pStyle w:val="BodyText"/>
        <w:spacing w:line="264" w:lineRule="auto"/>
        <w:ind w:left="142" w:right="227" w:firstLine="425"/>
        <w:rPr>
          <w:rFonts w:asciiTheme="majorHAnsi" w:hAnsiTheme="majorHAnsi" w:cs="Times New Roman"/>
          <w:b/>
          <w:sz w:val="22"/>
          <w:szCs w:val="22"/>
          <w:lang w:val="en"/>
        </w:rPr>
      </w:pPr>
    </w:p>
    <w:p w14:paraId="79AEDA8E" w14:textId="77777777" w:rsidR="00546EC5" w:rsidRPr="000F58FB" w:rsidRDefault="00546EC5" w:rsidP="0048689D">
      <w:pPr>
        <w:pStyle w:val="BodyText"/>
        <w:spacing w:line="264" w:lineRule="auto"/>
        <w:ind w:left="0" w:right="227"/>
        <w:rPr>
          <w:rFonts w:asciiTheme="majorHAnsi" w:hAnsiTheme="majorHAnsi" w:cs="Times New Roman"/>
          <w:b/>
          <w:color w:val="0070C0"/>
          <w:sz w:val="22"/>
          <w:szCs w:val="22"/>
          <w:lang w:val="en"/>
        </w:rPr>
      </w:pPr>
      <w:r w:rsidRPr="000F58FB">
        <w:rPr>
          <w:rFonts w:asciiTheme="majorHAnsi" w:hAnsiTheme="majorHAnsi" w:cs="Times New Roman"/>
          <w:b/>
          <w:bCs/>
          <w:color w:val="0070C0"/>
          <w:sz w:val="22"/>
          <w:szCs w:val="22"/>
          <w:lang w:val="en"/>
        </w:rPr>
        <w:t>The presence of favorable environmental factors and circumstances</w:t>
      </w:r>
    </w:p>
    <w:p w14:paraId="44037405" w14:textId="77777777" w:rsidR="00546EC5" w:rsidRPr="00BD0FCB" w:rsidRDefault="00546EC5"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One of the factors that contribute to the process of developing a responsive curriculum is the presence of favorable atmosphere and conditions. This component consists of various aspects, such as skills and career advancement, accessibility of financial resources, measurable results, adaptability in modifying or abandoning the old curriculum, educational ideas, and work structures that are already stable, as well as the existence of suitable for work. This component highlights the clear interdependence between organizational development and curricular development. Scholars have underscored the importance of organizational adaptability, lasting learning, and the provision of space for constant modification within the institutions involved in curriculum development, which includes its rules, structure, boards, and panels, (</w:t>
      </w:r>
      <w:proofErr w:type="spellStart"/>
      <w:r w:rsidRPr="00BD0FCB">
        <w:rPr>
          <w:rFonts w:asciiTheme="majorHAnsi" w:hAnsiTheme="majorHAnsi" w:cs="Times New Roman"/>
          <w:sz w:val="22"/>
          <w:szCs w:val="22"/>
          <w:lang w:val="en"/>
        </w:rPr>
        <w:t>Vreuls</w:t>
      </w:r>
      <w:proofErr w:type="spellEnd"/>
      <w:r w:rsidRPr="00BD0FCB">
        <w:rPr>
          <w:rFonts w:asciiTheme="majorHAnsi" w:hAnsiTheme="majorHAnsi" w:cs="Times New Roman"/>
          <w:sz w:val="22"/>
          <w:szCs w:val="22"/>
          <w:lang w:val="en"/>
        </w:rPr>
        <w:t xml:space="preserve"> et al., 2022).</w:t>
      </w:r>
    </w:p>
    <w:p w14:paraId="5386B629" w14:textId="77777777" w:rsidR="00E81709" w:rsidRPr="00BD0FCB" w:rsidRDefault="00E81709" w:rsidP="00345BED">
      <w:pPr>
        <w:pStyle w:val="BodyText"/>
        <w:spacing w:line="264" w:lineRule="auto"/>
        <w:ind w:left="142" w:right="227" w:firstLine="425"/>
        <w:rPr>
          <w:rFonts w:asciiTheme="majorHAnsi" w:hAnsiTheme="majorHAnsi" w:cs="Times New Roman"/>
          <w:b/>
          <w:sz w:val="22"/>
          <w:szCs w:val="22"/>
          <w:lang w:val="en"/>
        </w:rPr>
      </w:pPr>
    </w:p>
    <w:p w14:paraId="720734A2" w14:textId="77777777" w:rsidR="00546EC5" w:rsidRPr="000F58FB" w:rsidRDefault="00546EC5" w:rsidP="0048689D">
      <w:pPr>
        <w:pStyle w:val="BodyText"/>
        <w:spacing w:line="264" w:lineRule="auto"/>
        <w:ind w:left="0" w:right="227"/>
        <w:rPr>
          <w:rFonts w:asciiTheme="majorHAnsi" w:hAnsiTheme="majorHAnsi" w:cs="Times New Roman"/>
          <w:b/>
          <w:color w:val="0070C0"/>
          <w:sz w:val="22"/>
          <w:szCs w:val="22"/>
          <w:lang w:val="en"/>
        </w:rPr>
      </w:pPr>
      <w:r w:rsidRPr="000F58FB">
        <w:rPr>
          <w:rFonts w:asciiTheme="majorHAnsi" w:hAnsiTheme="majorHAnsi" w:cs="Times New Roman"/>
          <w:b/>
          <w:color w:val="0070C0"/>
          <w:sz w:val="22"/>
          <w:szCs w:val="22"/>
          <w:lang w:val="en"/>
        </w:rPr>
        <w:t>Representatives of the institution</w:t>
      </w:r>
    </w:p>
    <w:p w14:paraId="197B20B7" w14:textId="77777777" w:rsidR="00546EC5" w:rsidRPr="00BD0FCB" w:rsidRDefault="00546EC5"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 xml:space="preserve">In conclusion, the Representative has been identified as a contributing component. This factor includes various dimensions, such as an individual's self-confidence in their capacity to carry out tasks and achieve success, adaptability, a clear mindset, expertise, openness to change, skills to lead, and readiness to maintain stable and strong values of truth, tradition, or skill practice. Representativeness, which refers to the ability of individuals to </w:t>
      </w:r>
      <w:proofErr w:type="gramStart"/>
      <w:r w:rsidRPr="00BD0FCB">
        <w:rPr>
          <w:rFonts w:asciiTheme="majorHAnsi" w:hAnsiTheme="majorHAnsi" w:cs="Times New Roman"/>
          <w:sz w:val="22"/>
          <w:szCs w:val="22"/>
          <w:lang w:val="en"/>
        </w:rPr>
        <w:t>actively and seriously design their abilities</w:t>
      </w:r>
      <w:proofErr w:type="gramEnd"/>
      <w:r w:rsidRPr="00BD0FCB">
        <w:rPr>
          <w:rFonts w:asciiTheme="majorHAnsi" w:hAnsiTheme="majorHAnsi" w:cs="Times New Roman"/>
          <w:sz w:val="22"/>
          <w:szCs w:val="22"/>
          <w:lang w:val="en"/>
        </w:rPr>
        <w:t xml:space="preserve"> against challenging conditions, serves as a basis and is important for making responsive curriculum creation procedures more effective. Banegas et al., (2024) Stating teachers' understanding of curriculum development is essential for them to be </w:t>
      </w:r>
      <w:proofErr w:type="spellStart"/>
      <w:r w:rsidRPr="00BD0FCB">
        <w:rPr>
          <w:rFonts w:asciiTheme="majorHAnsi" w:hAnsiTheme="majorHAnsi" w:cs="Times New Roman"/>
          <w:sz w:val="22"/>
          <w:szCs w:val="22"/>
          <w:lang w:val="en"/>
        </w:rPr>
        <w:t>agentically</w:t>
      </w:r>
      <w:proofErr w:type="spellEnd"/>
      <w:r w:rsidRPr="00BD0FCB">
        <w:rPr>
          <w:rFonts w:asciiTheme="majorHAnsi" w:hAnsiTheme="majorHAnsi" w:cs="Times New Roman"/>
          <w:sz w:val="22"/>
          <w:szCs w:val="22"/>
          <w:lang w:val="en"/>
        </w:rPr>
        <w:t xml:space="preserve"> involved in curriculum change. Therefore, the authors suggest that understanding curriculum development may involve teacher knowledge of key elements in curriculum design such as needs analysis, learning outcomes, teaching materials, pedagogical approaches, evaluation, or environmental constraints.</w:t>
      </w:r>
    </w:p>
    <w:p w14:paraId="23A2DBAF" w14:textId="77777777" w:rsidR="00546EC5" w:rsidRPr="00BD0FCB" w:rsidRDefault="00546EC5"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There is a distinct correlation between Representatives and other elements, as the significance of Representatives is underlined in a wide array of subjects relating to other factors mentioned by experts. Although teachers and trainers are practical educators to develop and strengthen students' interpersonal skills (Ajambo et al., 2022). These findings suggest that Representatives (teacher and trainer) play an important role in overcoming institutional barriers </w:t>
      </w:r>
      <w:r w:rsidRPr="0048689D">
        <w:rPr>
          <w:rFonts w:asciiTheme="majorHAnsi" w:hAnsiTheme="majorHAnsi" w:cs="Times New Roman"/>
          <w:sz w:val="22"/>
          <w:szCs w:val="22"/>
          <w:lang w:val="en"/>
        </w:rPr>
        <w:t>faced</w:t>
      </w:r>
      <w:r w:rsidRPr="00BD0FCB">
        <w:rPr>
          <w:rFonts w:asciiTheme="majorHAnsi" w:hAnsiTheme="majorHAnsi" w:cs="Times New Roman"/>
          <w:bCs/>
          <w:sz w:val="22"/>
          <w:szCs w:val="22"/>
          <w:lang w:val="en"/>
        </w:rPr>
        <w:t xml:space="preserve"> by curriculum developers as they seek to create responsive curricula.</w:t>
      </w:r>
    </w:p>
    <w:p w14:paraId="39D27BD3" w14:textId="64C4B5F2" w:rsidR="00546EC5"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A strong correlation between representation and the favorable environment becomes apparent in the subject matter and influence of these elements. In line with these observations, </w:t>
      </w:r>
      <w:sdt>
        <w:sdtPr>
          <w:rPr>
            <w:rFonts w:asciiTheme="majorHAnsi" w:hAnsiTheme="majorHAnsi" w:cs="Times New Roman"/>
            <w:bCs/>
            <w:color w:val="000000"/>
            <w:sz w:val="22"/>
            <w:szCs w:val="22"/>
            <w:lang w:val="en"/>
          </w:rPr>
          <w:tag w:val="MENDELEY_CITATION_v3_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"/>
          <w:id w:val="-599105323"/>
          <w:placeholder>
            <w:docPart w:val="DefaultPlaceholder_-1854013440"/>
          </w:placeholder>
        </w:sdtPr>
        <w:sdtContent>
          <w:r w:rsidR="008F748F" w:rsidRPr="00BD0FCB">
            <w:rPr>
              <w:rFonts w:asciiTheme="majorHAnsi" w:hAnsiTheme="majorHAnsi" w:cs="Times New Roman"/>
              <w:bCs/>
              <w:color w:val="000000"/>
              <w:sz w:val="22"/>
              <w:szCs w:val="22"/>
              <w:lang w:val="en"/>
            </w:rPr>
            <w:t>(Özel, 2022)</w:t>
          </w:r>
        </w:sdtContent>
      </w:sdt>
      <w:r w:rsidRPr="00BD0FCB">
        <w:rPr>
          <w:rFonts w:asciiTheme="majorHAnsi" w:hAnsiTheme="majorHAnsi" w:cs="Times New Roman"/>
          <w:bCs/>
          <w:sz w:val="22"/>
          <w:szCs w:val="22"/>
          <w:lang w:val="en"/>
        </w:rPr>
        <w:t xml:space="preserve"> describe specific transformation mechanisms intricately connected with the socio-political environment, in which the active involvement of stakeholders assumes a major influence on the formulation of the educational curriculum. It is </w:t>
      </w:r>
      <w:r w:rsidRPr="0048689D">
        <w:rPr>
          <w:rFonts w:asciiTheme="majorHAnsi" w:hAnsiTheme="majorHAnsi" w:cs="Times New Roman"/>
          <w:sz w:val="22"/>
          <w:szCs w:val="22"/>
          <w:lang w:val="en"/>
        </w:rPr>
        <w:t>recognized</w:t>
      </w:r>
      <w:r w:rsidRPr="00BD0FCB">
        <w:rPr>
          <w:rFonts w:asciiTheme="majorHAnsi" w:hAnsiTheme="majorHAnsi" w:cs="Times New Roman"/>
          <w:bCs/>
          <w:sz w:val="22"/>
          <w:szCs w:val="22"/>
          <w:lang w:val="en"/>
        </w:rPr>
        <w:t xml:space="preserve"> that the driving force behind change is in the representation and innovation of an institution. This proves that change can only be generated externally through breakthroughs that can affect many parties, both the world of education and the world of work, which ultimately results in a profound transformation. </w:t>
      </w:r>
      <w:proofErr w:type="spellStart"/>
      <w:r w:rsidRPr="00BD0FCB">
        <w:rPr>
          <w:rFonts w:asciiTheme="majorHAnsi" w:hAnsiTheme="majorHAnsi" w:cs="Times New Roman"/>
          <w:bCs/>
          <w:sz w:val="22"/>
          <w:szCs w:val="22"/>
          <w:lang w:val="en"/>
        </w:rPr>
        <w:t>Mulpeter</w:t>
      </w:r>
      <w:proofErr w:type="spellEnd"/>
      <w:r w:rsidRPr="00BD0FCB">
        <w:rPr>
          <w:rFonts w:asciiTheme="majorHAnsi" w:hAnsiTheme="majorHAnsi" w:cs="Times New Roman"/>
          <w:bCs/>
          <w:sz w:val="22"/>
          <w:szCs w:val="22"/>
          <w:lang w:val="en"/>
        </w:rPr>
        <w:t xml:space="preserve"> </w:t>
      </w:r>
      <w:r w:rsidRPr="00BD0FCB">
        <w:rPr>
          <w:rFonts w:asciiTheme="majorHAnsi" w:hAnsiTheme="majorHAnsi" w:cs="Times New Roman"/>
          <w:bCs/>
          <w:sz w:val="22"/>
          <w:szCs w:val="22"/>
          <w:lang w:val="en"/>
        </w:rPr>
        <w:lastRenderedPageBreak/>
        <w:t>et al., (2023) points to the fact that curriculum development is more likely to succeed if strong consultations with teachers, parents, and other investment bodies are carried out.</w:t>
      </w:r>
    </w:p>
    <w:p w14:paraId="5AE530C8" w14:textId="1D3EB639" w:rsidR="006A22CB" w:rsidRPr="00BD0FCB" w:rsidRDefault="006A22CB" w:rsidP="0048689D">
      <w:pPr>
        <w:pStyle w:val="BodyText"/>
        <w:spacing w:line="271" w:lineRule="auto"/>
        <w:ind w:left="0" w:right="2" w:firstLine="425"/>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The researchers uncovered a range of complex issues at the organizational level, including social, cultural, and political aspects, faced by curriculum developers. Challenges emerge as complex socio-political issues when stakeholders participate in the curriculum development process. This occurs in rigid and unyielding institutional and organizational contexts, where curriculum developers may lack the necessary skills to carry out their duties or feel burdened by various activities and responsibilities (Bens, </w:t>
      </w:r>
      <w:proofErr w:type="spellStart"/>
      <w:r w:rsidRPr="00BD0FCB">
        <w:rPr>
          <w:rFonts w:asciiTheme="majorHAnsi" w:hAnsiTheme="majorHAnsi" w:cs="Times New Roman"/>
          <w:bCs/>
          <w:sz w:val="22"/>
          <w:szCs w:val="22"/>
          <w:lang w:val="en"/>
        </w:rPr>
        <w:t>Kolomitro</w:t>
      </w:r>
      <w:proofErr w:type="spellEnd"/>
      <w:r w:rsidRPr="00BD0FCB">
        <w:rPr>
          <w:rFonts w:asciiTheme="majorHAnsi" w:hAnsiTheme="majorHAnsi" w:cs="Times New Roman"/>
          <w:bCs/>
          <w:sz w:val="22"/>
          <w:szCs w:val="22"/>
          <w:lang w:val="en"/>
        </w:rPr>
        <w:t>, and Han 202</w:t>
      </w:r>
      <w:r w:rsidR="00402B0E" w:rsidRPr="00BD0FCB">
        <w:rPr>
          <w:rFonts w:asciiTheme="majorHAnsi" w:hAnsiTheme="majorHAnsi" w:cs="Times New Roman"/>
          <w:bCs/>
          <w:sz w:val="22"/>
          <w:szCs w:val="22"/>
          <w:lang w:val="en"/>
        </w:rPr>
        <w:t>1</w:t>
      </w:r>
      <w:r w:rsidRPr="00BD0FCB">
        <w:rPr>
          <w:rFonts w:asciiTheme="majorHAnsi" w:hAnsiTheme="majorHAnsi" w:cs="Times New Roman"/>
          <w:bCs/>
          <w:sz w:val="22"/>
          <w:szCs w:val="22"/>
          <w:lang w:val="en"/>
        </w:rPr>
        <w:t xml:space="preserve">;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The following are the elements of curriculum development: developing curriculum renewal strategies, identifying graduate attributes, mapping learning pathways, auditing learning outcomes and developing and updating curricula and implementing programs. Dynamic elements include awareness raising and capacity development, internal and external collaboration, and ongoing monitoring and evaluation (Alghamdi, 2023).</w:t>
      </w:r>
    </w:p>
    <w:p w14:paraId="1F64E7B7" w14:textId="4DC08916" w:rsidR="00BD0FCB" w:rsidRPr="00BD0FCB" w:rsidRDefault="006A22CB" w:rsidP="0048689D">
      <w:pPr>
        <w:pStyle w:val="BodyText"/>
        <w:spacing w:line="271" w:lineRule="auto"/>
        <w:ind w:left="0" w:right="2" w:firstLine="425"/>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Realizing complex problems, various approaches are needed to improve the efficiency and effectiveness of vocational education learning. McGrath (2022) points to </w:t>
      </w:r>
      <w:r w:rsidR="00BD0FCB" w:rsidRPr="00BD0FCB">
        <w:rPr>
          <w:rFonts w:asciiTheme="majorHAnsi" w:hAnsiTheme="majorHAnsi" w:cs="Times New Roman"/>
          <w:bCs/>
          <w:sz w:val="22"/>
          <w:szCs w:val="22"/>
          <w:lang w:val="en"/>
        </w:rPr>
        <w:t>extensive</w:t>
      </w:r>
      <w:r w:rsidRPr="00BD0FCB">
        <w:rPr>
          <w:rFonts w:asciiTheme="majorHAnsi" w:hAnsiTheme="majorHAnsi" w:cs="Times New Roman"/>
          <w:bCs/>
          <w:sz w:val="22"/>
          <w:szCs w:val="22"/>
          <w:lang w:val="en"/>
        </w:rPr>
        <w:t xml:space="preserve"> literature on general discussions but also highlights the lack of writing on effects on vocational education curricula. </w:t>
      </w:r>
      <w:proofErr w:type="spellStart"/>
      <w:r w:rsidRPr="00BD0FCB">
        <w:rPr>
          <w:rFonts w:asciiTheme="majorHAnsi" w:hAnsiTheme="majorHAnsi" w:cs="Times New Roman"/>
          <w:bCs/>
          <w:sz w:val="22"/>
          <w:szCs w:val="22"/>
          <w:lang w:val="en"/>
        </w:rPr>
        <w:t>Cedefop</w:t>
      </w:r>
      <w:proofErr w:type="spellEnd"/>
      <w:r w:rsidRPr="00BD0FCB">
        <w:rPr>
          <w:rFonts w:asciiTheme="majorHAnsi" w:hAnsiTheme="majorHAnsi" w:cs="Times New Roman"/>
          <w:bCs/>
          <w:sz w:val="22"/>
          <w:szCs w:val="22"/>
          <w:lang w:val="en"/>
        </w:rPr>
        <w:t xml:space="preserve"> (2022) also recommends conducting additional research to improve understanding of the fundamental mechanisms associated with creating adaptive curricula. As </w:t>
      </w:r>
      <w:sdt>
        <w:sdtPr>
          <w:rPr>
            <w:rFonts w:asciiTheme="majorHAnsi" w:hAnsiTheme="majorHAnsi" w:cs="Times New Roman"/>
            <w:bCs/>
            <w:color w:val="000000"/>
            <w:sz w:val="22"/>
            <w:szCs w:val="22"/>
            <w:lang w:val="en"/>
          </w:rPr>
          <w:tag w:val="MENDELEY_CITATION_v3_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"/>
          <w:id w:val="-101490960"/>
          <w:placeholder>
            <w:docPart w:val="DefaultPlaceholder_-1854013440"/>
          </w:placeholder>
        </w:sdtPr>
        <w:sdtContent>
          <w:r w:rsidR="008F748F" w:rsidRPr="00BD0FCB">
            <w:rPr>
              <w:rFonts w:asciiTheme="majorHAnsi" w:hAnsiTheme="majorHAnsi" w:cs="Times New Roman"/>
              <w:bCs/>
              <w:color w:val="000000"/>
              <w:sz w:val="22"/>
              <w:szCs w:val="22"/>
              <w:lang w:val="en"/>
            </w:rPr>
            <w:t>Print, (2020)</w:t>
          </w:r>
        </w:sdtContent>
      </w:sdt>
      <w:r w:rsidR="00AE34C2" w:rsidRPr="00BD0FCB">
        <w:rPr>
          <w:rFonts w:asciiTheme="majorHAnsi" w:hAnsiTheme="majorHAnsi" w:cs="Times New Roman"/>
          <w:bCs/>
          <w:color w:val="000000"/>
          <w:sz w:val="22"/>
          <w:szCs w:val="22"/>
          <w:lang w:val="en"/>
        </w:rPr>
        <w:t xml:space="preserve"> </w:t>
      </w:r>
      <w:r w:rsidRPr="00BD0FCB">
        <w:rPr>
          <w:rFonts w:asciiTheme="majorHAnsi" w:hAnsiTheme="majorHAnsi" w:cs="Times New Roman"/>
          <w:bCs/>
          <w:sz w:val="22"/>
          <w:szCs w:val="22"/>
          <w:lang w:val="en"/>
        </w:rPr>
        <w:t>for proposing five principles in curriculum development, namely:</w:t>
      </w:r>
      <w:r w:rsidR="00C44CBB" w:rsidRPr="00BD0FCB">
        <w:rPr>
          <w:rFonts w:asciiTheme="majorHAnsi" w:hAnsiTheme="majorHAnsi" w:cs="Times New Roman"/>
          <w:bCs/>
          <w:sz w:val="22"/>
          <w:szCs w:val="22"/>
          <w:lang w:val="en"/>
        </w:rPr>
        <w:t xml:space="preserve"> First, </w:t>
      </w:r>
      <w:r w:rsidR="00BD0FCB" w:rsidRPr="00BD0FCB">
        <w:rPr>
          <w:rFonts w:asciiTheme="majorHAnsi" w:hAnsiTheme="majorHAnsi" w:cs="Times New Roman"/>
          <w:bCs/>
          <w:sz w:val="22"/>
          <w:szCs w:val="22"/>
          <w:lang w:val="en"/>
        </w:rPr>
        <w:t>the</w:t>
      </w:r>
      <w:r w:rsidRPr="00BD0FCB">
        <w:rPr>
          <w:rFonts w:asciiTheme="majorHAnsi" w:hAnsiTheme="majorHAnsi" w:cs="Times New Roman"/>
          <w:bCs/>
          <w:sz w:val="22"/>
          <w:szCs w:val="22"/>
          <w:lang w:val="en"/>
        </w:rPr>
        <w:t xml:space="preserve"> principle of relevance; internally that the curriculum has relevance among the components of the curriculum (objectives, materials, strategy, </w:t>
      </w:r>
      <w:proofErr w:type="gramStart"/>
      <w:r w:rsidRPr="00BD0FCB">
        <w:rPr>
          <w:rFonts w:asciiTheme="majorHAnsi" w:hAnsiTheme="majorHAnsi" w:cs="Times New Roman"/>
          <w:bCs/>
          <w:sz w:val="22"/>
          <w:szCs w:val="22"/>
          <w:lang w:val="en"/>
        </w:rPr>
        <w:t>organization</w:t>
      </w:r>
      <w:proofErr w:type="gramEnd"/>
      <w:r w:rsidRPr="00BD0FCB">
        <w:rPr>
          <w:rFonts w:asciiTheme="majorHAnsi" w:hAnsiTheme="majorHAnsi" w:cs="Times New Roman"/>
          <w:bCs/>
          <w:sz w:val="22"/>
          <w:szCs w:val="22"/>
          <w:lang w:val="en"/>
        </w:rPr>
        <w:t xml:space="preserve"> and evaluation). While externally that these components have relevance to the demands of science and technology (</w:t>
      </w:r>
      <w:proofErr w:type="spellStart"/>
      <w:r w:rsidRPr="00BD0FCB">
        <w:rPr>
          <w:rFonts w:asciiTheme="majorHAnsi" w:hAnsiTheme="majorHAnsi" w:cs="Times New Roman"/>
          <w:bCs/>
          <w:sz w:val="22"/>
          <w:szCs w:val="22"/>
          <w:lang w:val="en"/>
        </w:rPr>
        <w:t>epistomological</w:t>
      </w:r>
      <w:proofErr w:type="spellEnd"/>
      <w:r w:rsidRPr="00BD0FCB">
        <w:rPr>
          <w:rFonts w:asciiTheme="majorHAnsi" w:hAnsiTheme="majorHAnsi" w:cs="Times New Roman"/>
          <w:bCs/>
          <w:sz w:val="22"/>
          <w:szCs w:val="22"/>
          <w:lang w:val="en"/>
        </w:rPr>
        <w:t xml:space="preserve"> relevance), the demands and potential of learners (psychological relevance) and the demands and needs of community development (sociological relevance). </w:t>
      </w:r>
    </w:p>
    <w:p w14:paraId="46CD56B4" w14:textId="35925D54" w:rsidR="006A22CB" w:rsidRPr="00BD0FCB" w:rsidRDefault="00C44CBB" w:rsidP="0048689D">
      <w:pPr>
        <w:pStyle w:val="BodyText"/>
        <w:spacing w:line="271" w:lineRule="auto"/>
        <w:ind w:left="0" w:right="2" w:firstLine="425"/>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Second, </w:t>
      </w:r>
      <w:r w:rsidR="00BD0FCB" w:rsidRPr="00BD0FCB">
        <w:rPr>
          <w:rFonts w:asciiTheme="majorHAnsi" w:hAnsiTheme="majorHAnsi" w:cs="Times New Roman"/>
          <w:bCs/>
          <w:sz w:val="22"/>
          <w:szCs w:val="22"/>
          <w:lang w:val="en"/>
        </w:rPr>
        <w:t>the</w:t>
      </w:r>
      <w:r w:rsidR="006A22CB" w:rsidRPr="00BD0FCB">
        <w:rPr>
          <w:rFonts w:asciiTheme="majorHAnsi" w:hAnsiTheme="majorHAnsi" w:cs="Times New Roman"/>
          <w:bCs/>
          <w:sz w:val="22"/>
          <w:szCs w:val="22"/>
          <w:lang w:val="en"/>
        </w:rPr>
        <w:t xml:space="preserve"> principle of flexibility; In curriculum development, strive for what is produced to have a flexible, </w:t>
      </w:r>
      <w:r w:rsidR="00BD0FCB" w:rsidRPr="00BD0FCB">
        <w:rPr>
          <w:rFonts w:asciiTheme="majorHAnsi" w:hAnsiTheme="majorHAnsi" w:cs="Times New Roman"/>
          <w:bCs/>
          <w:sz w:val="22"/>
          <w:szCs w:val="22"/>
          <w:lang w:val="en"/>
        </w:rPr>
        <w:t>flexible,</w:t>
      </w:r>
      <w:r w:rsidR="006A22CB" w:rsidRPr="00BD0FCB">
        <w:rPr>
          <w:rFonts w:asciiTheme="majorHAnsi" w:hAnsiTheme="majorHAnsi" w:cs="Times New Roman"/>
          <w:bCs/>
          <w:sz w:val="22"/>
          <w:szCs w:val="22"/>
          <w:lang w:val="en"/>
        </w:rPr>
        <w:t xml:space="preserve"> and flexible nature in its implementation, allowing adjustments based on situations and conditions of place and time that are always evolving, as well as the ability and background of students. </w:t>
      </w:r>
      <w:r w:rsidRPr="00BD0FCB">
        <w:rPr>
          <w:rFonts w:asciiTheme="majorHAnsi" w:hAnsiTheme="majorHAnsi" w:cs="Times New Roman"/>
          <w:bCs/>
          <w:sz w:val="22"/>
          <w:szCs w:val="22"/>
          <w:lang w:val="en"/>
        </w:rPr>
        <w:t xml:space="preserve">Third, </w:t>
      </w:r>
      <w:r w:rsidR="006A22CB" w:rsidRPr="00BD0FCB">
        <w:rPr>
          <w:rFonts w:asciiTheme="majorHAnsi" w:hAnsiTheme="majorHAnsi" w:cs="Times New Roman"/>
          <w:bCs/>
          <w:sz w:val="22"/>
          <w:szCs w:val="22"/>
          <w:lang w:val="en"/>
        </w:rPr>
        <w:t xml:space="preserve">The principle of continuity; namely the existence of continuity in the curriculum, both vertically, and horizontally. The learning experiences provided by the curriculum must pay attention to continuity, both at the grade level, between levels of education, and between levels of education and the type of work. </w:t>
      </w:r>
      <w:r w:rsidRPr="00BD0FCB">
        <w:rPr>
          <w:rFonts w:asciiTheme="majorHAnsi" w:hAnsiTheme="majorHAnsi" w:cs="Times New Roman"/>
          <w:bCs/>
          <w:sz w:val="22"/>
          <w:szCs w:val="22"/>
          <w:lang w:val="en"/>
        </w:rPr>
        <w:t xml:space="preserve">Fourth, </w:t>
      </w:r>
      <w:r w:rsidR="00BD0FCB" w:rsidRPr="00BD0FCB">
        <w:rPr>
          <w:rFonts w:asciiTheme="majorHAnsi" w:hAnsiTheme="majorHAnsi" w:cs="Times New Roman"/>
          <w:bCs/>
          <w:sz w:val="22"/>
          <w:szCs w:val="22"/>
          <w:lang w:val="en"/>
        </w:rPr>
        <w:t>the</w:t>
      </w:r>
      <w:r w:rsidR="006A22CB" w:rsidRPr="00BD0FCB">
        <w:rPr>
          <w:rFonts w:asciiTheme="majorHAnsi" w:hAnsiTheme="majorHAnsi" w:cs="Times New Roman"/>
          <w:bCs/>
          <w:sz w:val="22"/>
          <w:szCs w:val="22"/>
          <w:lang w:val="en"/>
        </w:rPr>
        <w:t xml:space="preserve"> principle of efficiency; Namely striving so that curriculum development can utilize time, costs, and other existing resources optimally, </w:t>
      </w:r>
      <w:proofErr w:type="gramStart"/>
      <w:r w:rsidR="006A22CB" w:rsidRPr="00BD0FCB">
        <w:rPr>
          <w:rFonts w:asciiTheme="majorHAnsi" w:hAnsiTheme="majorHAnsi" w:cs="Times New Roman"/>
          <w:bCs/>
          <w:sz w:val="22"/>
          <w:szCs w:val="22"/>
          <w:lang w:val="en"/>
        </w:rPr>
        <w:t>carefully</w:t>
      </w:r>
      <w:proofErr w:type="gramEnd"/>
      <w:r w:rsidR="006A22CB" w:rsidRPr="00BD0FCB">
        <w:rPr>
          <w:rFonts w:asciiTheme="majorHAnsi" w:hAnsiTheme="majorHAnsi" w:cs="Times New Roman"/>
          <w:bCs/>
          <w:sz w:val="22"/>
          <w:szCs w:val="22"/>
          <w:lang w:val="en"/>
        </w:rPr>
        <w:t xml:space="preserve"> and precisely so that the results are adequate. </w:t>
      </w:r>
      <w:r w:rsidRPr="00BD0FCB">
        <w:rPr>
          <w:rFonts w:asciiTheme="majorHAnsi" w:hAnsiTheme="majorHAnsi" w:cs="Times New Roman"/>
          <w:bCs/>
          <w:sz w:val="22"/>
          <w:szCs w:val="22"/>
          <w:lang w:val="en"/>
        </w:rPr>
        <w:t xml:space="preserve">Fifth, </w:t>
      </w:r>
      <w:r w:rsidR="00BD0FCB" w:rsidRPr="00BD0FCB">
        <w:rPr>
          <w:rFonts w:asciiTheme="majorHAnsi" w:hAnsiTheme="majorHAnsi" w:cs="Times New Roman"/>
          <w:bCs/>
          <w:sz w:val="22"/>
          <w:szCs w:val="22"/>
          <w:lang w:val="en"/>
        </w:rPr>
        <w:t>the</w:t>
      </w:r>
      <w:r w:rsidR="006A22CB" w:rsidRPr="00BD0FCB">
        <w:rPr>
          <w:rFonts w:asciiTheme="majorHAnsi" w:hAnsiTheme="majorHAnsi" w:cs="Times New Roman"/>
          <w:bCs/>
          <w:sz w:val="22"/>
          <w:szCs w:val="22"/>
          <w:lang w:val="en"/>
        </w:rPr>
        <w:t xml:space="preserve"> principle of effectiveness; namely striving for curriculum development activities to achieve goals without wasteful activities, both in quality and quantity</w:t>
      </w:r>
    </w:p>
    <w:p w14:paraId="4D16F342" w14:textId="77777777" w:rsidR="00BD0FCB" w:rsidRPr="00BD0FCB" w:rsidRDefault="006A22CB" w:rsidP="0048689D">
      <w:pPr>
        <w:pStyle w:val="BodyText"/>
        <w:spacing w:line="271" w:lineRule="auto"/>
        <w:ind w:left="0" w:right="2" w:firstLine="425"/>
        <w:rPr>
          <w:rFonts w:asciiTheme="majorHAnsi" w:hAnsiTheme="majorHAnsi" w:cs="Times New Roman"/>
          <w:bCs/>
          <w:sz w:val="22"/>
          <w:szCs w:val="22"/>
          <w:lang w:val="en"/>
        </w:rPr>
      </w:pP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stated that further review is needed on the factors that support curriculum developers. This study aims to analyze the perspective of experts on the process and supporting factors that have a significant influence on regional, national, and international institutions in discussions that discuss the structure of vocational education curriculum in the future. The processing of these supporting factors can include three phenomena. The first phenomenon is substantive and includes several elements of the curriculum, such as objectives, content, and resources. </w:t>
      </w:r>
    </w:p>
    <w:p w14:paraId="4E840F35" w14:textId="362F3BD4" w:rsidR="006A22CB" w:rsidRPr="00BD0FCB" w:rsidRDefault="006A22CB" w:rsidP="0048689D">
      <w:pPr>
        <w:pStyle w:val="BodyText"/>
        <w:spacing w:line="271" w:lineRule="auto"/>
        <w:ind w:left="0" w:right="2" w:firstLine="425"/>
        <w:rPr>
          <w:rFonts w:asciiTheme="majorHAnsi" w:hAnsiTheme="majorHAnsi" w:cs="Times New Roman"/>
          <w:bCs/>
          <w:sz w:val="22"/>
          <w:szCs w:val="22"/>
          <w:lang w:val="en"/>
        </w:rPr>
      </w:pPr>
      <w:r w:rsidRPr="00BD0FCB">
        <w:rPr>
          <w:rFonts w:asciiTheme="majorHAnsi" w:hAnsiTheme="majorHAnsi" w:cs="Times New Roman"/>
          <w:bCs/>
          <w:sz w:val="22"/>
          <w:szCs w:val="22"/>
          <w:lang w:val="en"/>
        </w:rPr>
        <w:t>The second phenomenon is related to social and political aspects, including political and social developments that are fundamental in curriculum development. The third phenomenon involves the practical aspects of designing, improving, and implementing curriculum development. This study uses social and political as well as technical-professional approaches to investigate important supporting variables related to the creation of responsive curricula from a process-oriented point of view.</w:t>
      </w:r>
    </w:p>
    <w:p w14:paraId="3B483999" w14:textId="77777777"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lastRenderedPageBreak/>
        <w:t xml:space="preserve">The vocational education curriculum is a structured program designed to teach learners about science, relevant skills, and competencies necessary for their careers. In addition to specific knowledge and skills, the curriculum also includes broader goals such as being an active citizen, a responsible personality, and sufficient well-being. Creating such a curriculum requires a process or action aimed at focusing on redesigning, </w:t>
      </w:r>
      <w:proofErr w:type="gramStart"/>
      <w:r w:rsidRPr="00BD0FCB">
        <w:rPr>
          <w:rFonts w:asciiTheme="majorHAnsi" w:hAnsiTheme="majorHAnsi" w:cs="Times New Roman"/>
          <w:bCs/>
          <w:sz w:val="22"/>
          <w:szCs w:val="22"/>
          <w:lang w:val="en"/>
        </w:rPr>
        <w:t>producing</w:t>
      </w:r>
      <w:proofErr w:type="gramEnd"/>
      <w:r w:rsidRPr="00BD0FCB">
        <w:rPr>
          <w:rFonts w:asciiTheme="majorHAnsi" w:hAnsiTheme="majorHAnsi" w:cs="Times New Roman"/>
          <w:bCs/>
          <w:sz w:val="22"/>
          <w:szCs w:val="22"/>
          <w:lang w:val="en"/>
        </w:rPr>
        <w:t xml:space="preserve"> and implementing education within formal rules or based on the world of work.</w:t>
      </w:r>
    </w:p>
    <w:p w14:paraId="3FDE27C6" w14:textId="77777777" w:rsidR="00BD0F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Typically, these procedures are long and complicated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and those who work with schools know very well, just having great ideas and plans does not mean that curriculum development will be workable (Schroth, 2023). When faced with fast-paced developments and expectations in the </w:t>
      </w:r>
      <w:proofErr w:type="gramStart"/>
      <w:r w:rsidRPr="00BD0FCB">
        <w:rPr>
          <w:rFonts w:asciiTheme="majorHAnsi" w:hAnsiTheme="majorHAnsi" w:cs="Times New Roman"/>
          <w:bCs/>
          <w:sz w:val="22"/>
          <w:szCs w:val="22"/>
          <w:lang w:val="en"/>
        </w:rPr>
        <w:t>general public</w:t>
      </w:r>
      <w:proofErr w:type="gramEnd"/>
      <w:r w:rsidRPr="00BD0FCB">
        <w:rPr>
          <w:rFonts w:asciiTheme="majorHAnsi" w:hAnsiTheme="majorHAnsi" w:cs="Times New Roman"/>
          <w:bCs/>
          <w:sz w:val="22"/>
          <w:szCs w:val="22"/>
          <w:lang w:val="en"/>
        </w:rPr>
        <w:t xml:space="preserve"> and work environment, time is very limited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The relationship between vocational schools and the world of work is strained due to the rapid development of public knowledge and sophisticated technology. </w:t>
      </w:r>
      <w:proofErr w:type="spellStart"/>
      <w:r w:rsidRPr="00BD0FCB">
        <w:rPr>
          <w:rFonts w:asciiTheme="majorHAnsi" w:hAnsiTheme="majorHAnsi" w:cs="Times New Roman"/>
          <w:bCs/>
          <w:sz w:val="22"/>
          <w:szCs w:val="22"/>
          <w:lang w:val="en"/>
        </w:rPr>
        <w:t>Cedefop</w:t>
      </w:r>
      <w:proofErr w:type="spellEnd"/>
      <w:r w:rsidRPr="00BD0FCB">
        <w:rPr>
          <w:rFonts w:asciiTheme="majorHAnsi" w:hAnsiTheme="majorHAnsi" w:cs="Times New Roman"/>
          <w:bCs/>
          <w:sz w:val="22"/>
          <w:szCs w:val="22"/>
          <w:lang w:val="en"/>
        </w:rPr>
        <w:t xml:space="preserve"> (2021) states that feedback channels, both official and unofficial, from VET to the demands of the world of work are becoming more important to be responsive. </w:t>
      </w:r>
    </w:p>
    <w:p w14:paraId="5CD67826" w14:textId="6E57F851"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According to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responsiveness relates to the extent to which vocational education can immediately adapt to shifts in the world of work and produce individuals who have the necessary skills and knowledge to obtain employment in the workplace. Emerging curricula, in which educators design unique learning experiences according to industry interests and needs, can provide opportunities for higher-level professions to explore the world in meaningful ways, (Trifonas &amp; Jagger, 2024). Therefore, the process of developing a responsive curriculum is a cycle that requires a re-evaluation of initial procedures and requires a mindset and approach that ensures sufficient quality assurance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Collaboration with industry experts and the application of agile and participatory curriculum creation methods are required for this process. These models provide many opportunities to quickly adapt to advances in the field</w:t>
      </w:r>
      <w:r w:rsidR="00E956E8" w:rsidRPr="00BD0FCB">
        <w:rPr>
          <w:rFonts w:asciiTheme="majorHAnsi" w:hAnsiTheme="majorHAnsi" w:cs="Times New Roman"/>
          <w:bCs/>
          <w:sz w:val="22"/>
          <w:szCs w:val="22"/>
          <w:lang w:val="en"/>
        </w:rPr>
        <w:t>.</w:t>
      </w:r>
    </w:p>
    <w:p w14:paraId="2ACC3448" w14:textId="08985E01"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Based on the study of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emphasizing the importance of stakeholder involvement in the curriculum development process, it is highly recommended that </w:t>
      </w:r>
      <w:proofErr w:type="gramStart"/>
      <w:r w:rsidRPr="00BD0FCB">
        <w:rPr>
          <w:rFonts w:asciiTheme="majorHAnsi" w:hAnsiTheme="majorHAnsi" w:cs="Times New Roman"/>
          <w:bCs/>
          <w:sz w:val="22"/>
          <w:szCs w:val="22"/>
          <w:lang w:val="en"/>
        </w:rPr>
        <w:t>in order for</w:t>
      </w:r>
      <w:proofErr w:type="gramEnd"/>
      <w:r w:rsidRPr="00BD0FCB">
        <w:rPr>
          <w:rFonts w:asciiTheme="majorHAnsi" w:hAnsiTheme="majorHAnsi" w:cs="Times New Roman"/>
          <w:bCs/>
          <w:sz w:val="22"/>
          <w:szCs w:val="22"/>
          <w:lang w:val="en"/>
        </w:rPr>
        <w:t xml:space="preserve"> curriculum developers to run effectively, in this case it is necessary to further identify the factors that influence the responsive curriculum development process. When researchers make informed choices is a very difficult task</w:t>
      </w:r>
      <w:r w:rsidR="00402B0E" w:rsidRPr="00BD0FCB">
        <w:rPr>
          <w:rFonts w:asciiTheme="majorHAnsi" w:hAnsiTheme="majorHAnsi" w:cs="Times New Roman"/>
          <w:bCs/>
          <w:sz w:val="22"/>
          <w:szCs w:val="22"/>
          <w:lang w:val="en"/>
        </w:rPr>
        <w:t xml:space="preserve"> </w:t>
      </w:r>
      <w:r w:rsidRPr="00BD0FCB">
        <w:rPr>
          <w:rFonts w:asciiTheme="majorHAnsi" w:hAnsiTheme="majorHAnsi" w:cs="Times New Roman"/>
          <w:bCs/>
          <w:sz w:val="22"/>
          <w:szCs w:val="22"/>
          <w:lang w:val="en"/>
        </w:rPr>
        <w:t xml:space="preserve">(Gericke, 2022). Especially </w:t>
      </w:r>
      <w:proofErr w:type="gramStart"/>
      <w:r w:rsidRPr="00BD0FCB">
        <w:rPr>
          <w:rFonts w:asciiTheme="majorHAnsi" w:hAnsiTheme="majorHAnsi" w:cs="Times New Roman"/>
          <w:bCs/>
          <w:sz w:val="22"/>
          <w:szCs w:val="22"/>
          <w:lang w:val="en"/>
        </w:rPr>
        <w:t>considering the fact that</w:t>
      </w:r>
      <w:proofErr w:type="gramEnd"/>
      <w:r w:rsidRPr="00BD0FCB">
        <w:rPr>
          <w:rFonts w:asciiTheme="majorHAnsi" w:hAnsiTheme="majorHAnsi" w:cs="Times New Roman"/>
          <w:bCs/>
          <w:sz w:val="22"/>
          <w:szCs w:val="22"/>
          <w:lang w:val="en"/>
        </w:rPr>
        <w:t xml:space="preserve"> these factors have a huge impact on the design choices made by developers and curriculum implementation. The complexity of this issue arises from the implicit nature of the various aspects that contribute to the development process and the understanding of developers, which includes the choices they make and the resulting instructional design (Bouw, Zitter, &amp;; de Bruijn, 2021). Gaining insight into these characteristics can assist curriculum developers in contemplating and forecasting the difficulties associated with each stage of </w:t>
      </w:r>
      <w:r w:rsidR="00BD0FCB" w:rsidRPr="00BD0FCB">
        <w:rPr>
          <w:rFonts w:asciiTheme="majorHAnsi" w:hAnsiTheme="majorHAnsi" w:cs="Times New Roman"/>
          <w:bCs/>
          <w:sz w:val="22"/>
          <w:szCs w:val="22"/>
          <w:lang w:val="en"/>
        </w:rPr>
        <w:t>growth and</w:t>
      </w:r>
      <w:r w:rsidRPr="00BD0FCB">
        <w:rPr>
          <w:rFonts w:asciiTheme="majorHAnsi" w:hAnsiTheme="majorHAnsi" w:cs="Times New Roman"/>
          <w:bCs/>
          <w:sz w:val="22"/>
          <w:szCs w:val="22"/>
          <w:lang w:val="en"/>
        </w:rPr>
        <w:t xml:space="preserve"> equip them with practical alternative approaches.</w:t>
      </w:r>
    </w:p>
    <w:p w14:paraId="76FE65E6" w14:textId="485DEFAA"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Researchers describe four different modes of change: (1) relocation, which involves changing existing rules with new rules; (2) incremental, which requires adding new rules without replacing existing ones; (3) shifting, which involves shifting the external conditions of a rule, thereby changing its impact while formally maintaining the same rule; and (4) incorporation, which involves the interpretation and implementation of rules in new ways while formally remaining unchanged. When proponents of existing circumstances have substantial authority to resist change, curriculum planners are more likely to choose indirect adjustments to the curriculum, such as incremental changes and slowly shifting changes, rather than arguing for relocation or combined change. According to </w:t>
      </w:r>
      <w:sdt>
        <w:sdtPr>
          <w:rPr>
            <w:rFonts w:asciiTheme="majorHAnsi" w:hAnsiTheme="majorHAnsi" w:cs="Times New Roman"/>
            <w:bCs/>
            <w:color w:val="000000"/>
            <w:sz w:val="22"/>
            <w:szCs w:val="22"/>
            <w:lang w:val="en"/>
          </w:rPr>
          <w:tag w:val="MENDELEY_CITATION_v3_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"/>
          <w:id w:val="914369659"/>
          <w:placeholder>
            <w:docPart w:val="DefaultPlaceholder_-1854013440"/>
          </w:placeholder>
        </w:sdtPr>
        <w:sdtContent>
          <w:r w:rsidR="008F748F" w:rsidRPr="00BD0FCB">
            <w:rPr>
              <w:rFonts w:asciiTheme="majorHAnsi" w:hAnsiTheme="majorHAnsi" w:cs="Times New Roman"/>
              <w:bCs/>
              <w:color w:val="000000"/>
              <w:sz w:val="22"/>
              <w:szCs w:val="22"/>
              <w:lang w:val="en"/>
            </w:rPr>
            <w:t>(Özel, 2022)</w:t>
          </w:r>
        </w:sdtContent>
      </w:sdt>
      <w:r w:rsidRPr="00BD0FCB">
        <w:rPr>
          <w:rFonts w:asciiTheme="majorHAnsi" w:hAnsiTheme="majorHAnsi" w:cs="Times New Roman"/>
          <w:bCs/>
          <w:sz w:val="22"/>
          <w:szCs w:val="22"/>
          <w:lang w:val="en"/>
        </w:rPr>
        <w:t>, when educational institutions give stakeholders a significant degree of autonomy in curriculum development, allowing them to incorporate their own principles, attitudes, and habits, the likelihood of deviation and conversion increases.</w:t>
      </w:r>
    </w:p>
    <w:p w14:paraId="18982E28" w14:textId="77777777"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lastRenderedPageBreak/>
        <w:t xml:space="preserve">Current studies investigate the characteristics that facilitate the process of building responsive curricula and assess the significance and practicality of these factors. Six important aspects that provide support have been identified: a clear vision of education and learning practices, a continuous and iterative curriculum development process, effective cooperation, active stakeholder involvement, favorable environment and conditions, and the presence of representatives from the institution. In addition, the experts involved in the study provided illustrative comments to clarify the clear relationship between the </w:t>
      </w:r>
      <w:proofErr w:type="gramStart"/>
      <w:r w:rsidRPr="00BD0FCB">
        <w:rPr>
          <w:rFonts w:asciiTheme="majorHAnsi" w:hAnsiTheme="majorHAnsi" w:cs="Times New Roman"/>
          <w:bCs/>
          <w:sz w:val="22"/>
          <w:szCs w:val="22"/>
          <w:lang w:val="en"/>
        </w:rPr>
        <w:t>aforementioned criteria</w:t>
      </w:r>
      <w:proofErr w:type="gramEnd"/>
      <w:r w:rsidRPr="00BD0FCB">
        <w:rPr>
          <w:rFonts w:asciiTheme="majorHAnsi" w:hAnsiTheme="majorHAnsi" w:cs="Times New Roman"/>
          <w:bCs/>
          <w:sz w:val="22"/>
          <w:szCs w:val="22"/>
          <w:lang w:val="en"/>
        </w:rPr>
        <w:t xml:space="preserve"> and their significance in promoting responsiveness in the curriculum building process. Based on the findings mentioned above, we argue that </w:t>
      </w:r>
      <w:proofErr w:type="gramStart"/>
      <w:r w:rsidRPr="00BD0FCB">
        <w:rPr>
          <w:rFonts w:asciiTheme="majorHAnsi" w:hAnsiTheme="majorHAnsi" w:cs="Times New Roman"/>
          <w:bCs/>
          <w:sz w:val="22"/>
          <w:szCs w:val="22"/>
          <w:lang w:val="en"/>
        </w:rPr>
        <w:t>in order to</w:t>
      </w:r>
      <w:proofErr w:type="gramEnd"/>
      <w:r w:rsidRPr="00BD0FCB">
        <w:rPr>
          <w:rFonts w:asciiTheme="majorHAnsi" w:hAnsiTheme="majorHAnsi" w:cs="Times New Roman"/>
          <w:bCs/>
          <w:sz w:val="22"/>
          <w:szCs w:val="22"/>
          <w:lang w:val="en"/>
        </w:rPr>
        <w:t xml:space="preserve"> grow the curriculum in an adaptable and responsive way, it is imperative to give fair consideration to each of these aspects. As per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the compiler provides suggestions to start this development process by building a collective vision and forming a proficient team consisting of stakeholders from inside and outside the organization.</w:t>
      </w:r>
    </w:p>
    <w:p w14:paraId="212F62EA" w14:textId="35B7D196"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It is recommended that curriculum development teams engage in an iterative process of creating a sustainable curriculum (</w:t>
      </w:r>
      <w:proofErr w:type="spellStart"/>
      <w:r w:rsidRPr="00BD0FCB">
        <w:rPr>
          <w:rFonts w:asciiTheme="majorHAnsi" w:hAnsiTheme="majorHAnsi" w:cs="Times New Roman"/>
          <w:bCs/>
          <w:sz w:val="22"/>
          <w:szCs w:val="22"/>
          <w:lang w:val="en"/>
        </w:rPr>
        <w:t>Vreuls</w:t>
      </w:r>
      <w:proofErr w:type="spellEnd"/>
      <w:r w:rsidRPr="00BD0FCB">
        <w:rPr>
          <w:rFonts w:asciiTheme="majorHAnsi" w:hAnsiTheme="majorHAnsi" w:cs="Times New Roman"/>
          <w:bCs/>
          <w:sz w:val="22"/>
          <w:szCs w:val="22"/>
          <w:lang w:val="en"/>
        </w:rPr>
        <w:t xml:space="preserve"> et al., 2022) in a supportive atmosphere that facilitates mandate organizations and empowers developers to advocate for change. </w:t>
      </w:r>
      <w:proofErr w:type="spellStart"/>
      <w:r w:rsidRPr="00BD0FCB">
        <w:rPr>
          <w:rFonts w:asciiTheme="majorHAnsi" w:hAnsiTheme="majorHAnsi" w:cs="Times New Roman"/>
          <w:bCs/>
          <w:sz w:val="22"/>
          <w:szCs w:val="22"/>
          <w:lang w:val="en"/>
        </w:rPr>
        <w:t>Bukari</w:t>
      </w:r>
      <w:proofErr w:type="spellEnd"/>
      <w:r w:rsidRPr="00BD0FCB">
        <w:rPr>
          <w:rFonts w:asciiTheme="majorHAnsi" w:hAnsiTheme="majorHAnsi" w:cs="Times New Roman"/>
          <w:bCs/>
          <w:sz w:val="22"/>
          <w:szCs w:val="22"/>
          <w:lang w:val="en"/>
        </w:rPr>
        <w:t xml:space="preserve"> et al., (2023) Presenting the results of developing an elective curriculum, this program equips students or higher professions with the knowledge and skills needed in their respective industries as planned. Nonetheless, as time goes by and technology advances as it happens in the industry, some courses require review to meet industry </w:t>
      </w:r>
      <w:r w:rsidR="00BD0FCB" w:rsidRPr="00BD0FCB">
        <w:rPr>
          <w:rFonts w:asciiTheme="majorHAnsi" w:hAnsiTheme="majorHAnsi" w:cs="Times New Roman"/>
          <w:bCs/>
          <w:sz w:val="22"/>
          <w:szCs w:val="22"/>
          <w:lang w:val="en"/>
        </w:rPr>
        <w:t>standards.</w:t>
      </w:r>
    </w:p>
    <w:p w14:paraId="31F26F32" w14:textId="77777777"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However, based on the findings of the constituents, it shows that the </w:t>
      </w:r>
      <w:proofErr w:type="gramStart"/>
      <w:r w:rsidRPr="00BD0FCB">
        <w:rPr>
          <w:rFonts w:asciiTheme="majorHAnsi" w:hAnsiTheme="majorHAnsi" w:cs="Times New Roman"/>
          <w:bCs/>
          <w:sz w:val="22"/>
          <w:szCs w:val="22"/>
          <w:lang w:val="en"/>
        </w:rPr>
        <w:t>main focus</w:t>
      </w:r>
      <w:proofErr w:type="gramEnd"/>
      <w:r w:rsidRPr="00BD0FCB">
        <w:rPr>
          <w:rFonts w:asciiTheme="majorHAnsi" w:hAnsiTheme="majorHAnsi" w:cs="Times New Roman"/>
          <w:bCs/>
          <w:sz w:val="22"/>
          <w:szCs w:val="22"/>
          <w:lang w:val="en"/>
        </w:rPr>
        <w:t xml:space="preserve"> is on representatives rather than vision, which arises as a result of environmental problems. The central position of representation in conducive environmental factors becomes clear through the statements of participants and the presence of these factors in other factors, such as statements of changing existing habits and changing long-standing mindsets, habits, or practices.</w:t>
      </w:r>
    </w:p>
    <w:p w14:paraId="3CA08FE1" w14:textId="0801404E"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The relationship between a continuous and iterative curriculum development process, effective cooperation, a favorable environment, and elements of a representative is closely observed, while vision and stakeholder engagement appear to be activities that have been independent. The different positions of these components may indicate that they are well defined and </w:t>
      </w:r>
      <w:r w:rsidR="00BD0FCB" w:rsidRPr="00BD0FCB">
        <w:rPr>
          <w:rFonts w:asciiTheme="majorHAnsi" w:hAnsiTheme="majorHAnsi" w:cs="Times New Roman"/>
          <w:bCs/>
          <w:sz w:val="22"/>
          <w:szCs w:val="22"/>
          <w:lang w:val="en"/>
        </w:rPr>
        <w:t>separate but</w:t>
      </w:r>
      <w:r w:rsidRPr="00BD0FCB">
        <w:rPr>
          <w:rFonts w:asciiTheme="majorHAnsi" w:hAnsiTheme="majorHAnsi" w:cs="Times New Roman"/>
          <w:bCs/>
          <w:sz w:val="22"/>
          <w:szCs w:val="22"/>
          <w:lang w:val="en"/>
        </w:rPr>
        <w:t xml:space="preserve"> may also imply that simply identify </w:t>
      </w:r>
      <w:proofErr w:type="gramStart"/>
      <w:r w:rsidRPr="00BD0FCB">
        <w:rPr>
          <w:rFonts w:asciiTheme="majorHAnsi" w:hAnsiTheme="majorHAnsi" w:cs="Times New Roman"/>
          <w:bCs/>
          <w:sz w:val="22"/>
          <w:szCs w:val="22"/>
          <w:lang w:val="en"/>
        </w:rPr>
        <w:t>a number of</w:t>
      </w:r>
      <w:proofErr w:type="gramEnd"/>
      <w:r w:rsidRPr="00BD0FCB">
        <w:rPr>
          <w:rFonts w:asciiTheme="majorHAnsi" w:hAnsiTheme="majorHAnsi" w:cs="Times New Roman"/>
          <w:bCs/>
          <w:sz w:val="22"/>
          <w:szCs w:val="22"/>
          <w:lang w:val="en"/>
        </w:rPr>
        <w:t xml:space="preserve"> relationships between these criteria and other factors that constitute their existing (conventional) curriculum creation process</w:t>
      </w:r>
      <w:r w:rsidR="007E6599" w:rsidRPr="00BD0FCB">
        <w:rPr>
          <w:rFonts w:asciiTheme="majorHAnsi" w:hAnsiTheme="majorHAnsi" w:cs="Times New Roman"/>
          <w:bCs/>
          <w:sz w:val="22"/>
          <w:szCs w:val="22"/>
          <w:lang w:val="en"/>
        </w:rPr>
        <w:t xml:space="preserve"> </w:t>
      </w:r>
      <w:sdt>
        <w:sdtPr>
          <w:rPr>
            <w:rFonts w:asciiTheme="majorHAnsi" w:hAnsiTheme="majorHAnsi" w:cs="Times New Roman"/>
            <w:bCs/>
            <w:color w:val="000000"/>
            <w:sz w:val="22"/>
            <w:szCs w:val="22"/>
            <w:lang w:val="en"/>
          </w:rPr>
          <w:tag w:val="MENDELEY_CITATION_v3_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"/>
          <w:id w:val="1529222558"/>
          <w:placeholder>
            <w:docPart w:val="DefaultPlaceholder_-1854013440"/>
          </w:placeholder>
        </w:sdtPr>
        <w:sdtContent>
          <w:r w:rsidR="008F748F" w:rsidRPr="00BD0FCB">
            <w:rPr>
              <w:rFonts w:asciiTheme="majorHAnsi" w:hAnsiTheme="majorHAnsi" w:cs="Times New Roman"/>
              <w:bCs/>
              <w:color w:val="000000"/>
              <w:sz w:val="22"/>
              <w:szCs w:val="22"/>
              <w:lang w:val="en"/>
            </w:rPr>
            <w:t>(Leeman et al., 2020)</w:t>
          </w:r>
        </w:sdtContent>
      </w:sdt>
      <w:r w:rsidRPr="00BD0FCB">
        <w:rPr>
          <w:rFonts w:asciiTheme="majorHAnsi" w:hAnsiTheme="majorHAnsi" w:cs="Times New Roman"/>
          <w:bCs/>
          <w:sz w:val="22"/>
          <w:szCs w:val="22"/>
          <w:lang w:val="en"/>
        </w:rPr>
        <w:t>.</w:t>
      </w:r>
    </w:p>
    <w:p w14:paraId="76BC85D9" w14:textId="45D7871C"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The curriculum of vocational and higher professions has significant relevance due to its association with increased production and employability, as well as effectively adapting to global competition. To address the ongoing debate over future structure, educational significance, and possible deterioration of vocational curricula and higher professions, researchers suggest that for these curricula to evolve and offer efficient competencies to all professions in the future, it is imperative to embrace a proactive approach to curriculum development. Thus, they can guarantee the provision of education of superior quality (</w:t>
      </w:r>
      <w:proofErr w:type="spellStart"/>
      <w:r w:rsidRPr="00BD0FCB">
        <w:rPr>
          <w:rFonts w:asciiTheme="majorHAnsi" w:hAnsiTheme="majorHAnsi" w:cs="Times New Roman"/>
          <w:bCs/>
          <w:sz w:val="22"/>
          <w:szCs w:val="22"/>
          <w:lang w:val="en"/>
        </w:rPr>
        <w:t>Loumpourdi</w:t>
      </w:r>
      <w:proofErr w:type="spellEnd"/>
      <w:r w:rsidRPr="00BD0FCB">
        <w:rPr>
          <w:rFonts w:asciiTheme="majorHAnsi" w:hAnsiTheme="majorHAnsi" w:cs="Times New Roman"/>
          <w:bCs/>
          <w:sz w:val="22"/>
          <w:szCs w:val="22"/>
          <w:lang w:val="en"/>
        </w:rPr>
        <w:t xml:space="preserve"> 202</w:t>
      </w:r>
      <w:r w:rsidR="007E6599" w:rsidRPr="00BD0FCB">
        <w:rPr>
          <w:rFonts w:asciiTheme="majorHAnsi" w:hAnsiTheme="majorHAnsi" w:cs="Times New Roman"/>
          <w:bCs/>
          <w:sz w:val="22"/>
          <w:szCs w:val="22"/>
          <w:lang w:val="en"/>
        </w:rPr>
        <w:t>4</w:t>
      </w:r>
      <w:r w:rsidRPr="00BD0FCB">
        <w:rPr>
          <w:rFonts w:asciiTheme="majorHAnsi" w:hAnsiTheme="majorHAnsi" w:cs="Times New Roman"/>
          <w:bCs/>
          <w:sz w:val="22"/>
          <w:szCs w:val="22"/>
          <w:lang w:val="en"/>
        </w:rPr>
        <w:t>). As a result, curriculum designers must have the ability to immediately acknowledge and adapt to the rapid transformations intrinsic to the Fourth Industrial Revolution. However, according to this study, one could argue that traditional curriculum creation procedures often fail to gain the desired level of flexibility.</w:t>
      </w:r>
    </w:p>
    <w:p w14:paraId="3967D13D" w14:textId="77777777"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To illustrate, curriculum developers face barriers at the organizational level such as inflexible frameworks (which may be legal, institutional, or both), limited stakeholder participation in the development process, and a dearth of autonomy among designers and instructors. The primary means by which employers engage in the application phase is through the facilitation of work-based learning. (OECD, 2023) However, employers may also participate in </w:t>
      </w:r>
      <w:r w:rsidRPr="00BD0FCB">
        <w:rPr>
          <w:rFonts w:asciiTheme="majorHAnsi" w:hAnsiTheme="majorHAnsi" w:cs="Times New Roman"/>
          <w:bCs/>
          <w:sz w:val="22"/>
          <w:szCs w:val="22"/>
          <w:lang w:val="en"/>
        </w:rPr>
        <w:lastRenderedPageBreak/>
        <w:t>various other aspects, including ensuring the quality of work-based learning, establishing cost-sharing agreements, providing necessary equipment and instructors, and incorporating a workplace component into student evaluations.</w:t>
      </w:r>
    </w:p>
    <w:p w14:paraId="5ED2F14B" w14:textId="66E257D2" w:rsidR="006A22CB" w:rsidRPr="00BD0FCB" w:rsidRDefault="006A22CB" w:rsidP="00D208CA">
      <w:pPr>
        <w:pStyle w:val="BodyText"/>
        <w:spacing w:line="271" w:lineRule="auto"/>
        <w:ind w:left="0" w:right="2" w:firstLine="567"/>
        <w:rPr>
          <w:rFonts w:asciiTheme="majorHAnsi" w:hAnsiTheme="majorHAnsi" w:cs="Times New Roman"/>
          <w:bCs/>
          <w:sz w:val="22"/>
          <w:szCs w:val="22"/>
          <w:lang w:val="en"/>
        </w:rPr>
      </w:pPr>
      <w:r w:rsidRPr="00BD0FCB">
        <w:rPr>
          <w:rFonts w:asciiTheme="majorHAnsi" w:hAnsiTheme="majorHAnsi" w:cs="Times New Roman"/>
          <w:bCs/>
          <w:sz w:val="22"/>
          <w:szCs w:val="22"/>
          <w:lang w:val="en"/>
        </w:rPr>
        <w:t xml:space="preserve">It is suggested that to show the level of application of curriculum development, the position of stakeholders is at different levels in an organization. The first step in the transformation of vocational education towards a more adaptable model at the institutional level, involves addressing broader contextual factors and challenging the perspectives of governments and many stakeholders who are inflexible and lack a solid foundation. In addition, it is imperative to reevaluate the qualifications of teachers at the college/school level; They should no longer be considered merely as a basis for curriculum development, but rather as points of reference and means to ensure quality control. Lastly, at the department or team level, it is critical for team leaders, curriculum developers, and teachers to set direction when given significant authority in curriculum development. In short, when innovative, industry-based curricula are created collaboratively across organizational boundaries, there is an opportunity to address forces that typically hinder progress in public sector education </w:t>
      </w:r>
      <w:sdt>
        <w:sdtPr>
          <w:rPr>
            <w:rFonts w:asciiTheme="majorHAnsi" w:hAnsiTheme="majorHAnsi" w:cs="Times New Roman"/>
            <w:bCs/>
            <w:color w:val="000000"/>
            <w:sz w:val="22"/>
            <w:szCs w:val="22"/>
            <w:lang w:val="en"/>
          </w:rPr>
          <w:tag w:val="MENDELEY_CITATION_v3_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"/>
          <w:id w:val="327420632"/>
          <w:placeholder>
            <w:docPart w:val="DefaultPlaceholder_-1854013440"/>
          </w:placeholder>
        </w:sdtPr>
        <w:sdtContent>
          <w:r w:rsidR="008F748F" w:rsidRPr="00BD0FCB">
            <w:rPr>
              <w:rFonts w:asciiTheme="majorHAnsi" w:hAnsiTheme="majorHAnsi" w:cs="Times New Roman"/>
              <w:bCs/>
              <w:color w:val="000000"/>
              <w:sz w:val="22"/>
              <w:szCs w:val="22"/>
              <w:lang w:val="en"/>
            </w:rPr>
            <w:t>(Stevenson, 2020)</w:t>
          </w:r>
        </w:sdtContent>
      </w:sdt>
      <w:r w:rsidRPr="00BD0FCB">
        <w:rPr>
          <w:rFonts w:asciiTheme="majorHAnsi" w:hAnsiTheme="majorHAnsi" w:cs="Times New Roman"/>
          <w:bCs/>
          <w:sz w:val="22"/>
          <w:szCs w:val="22"/>
          <w:lang w:val="en"/>
        </w:rPr>
        <w:t>.</w:t>
      </w:r>
    </w:p>
    <w:p w14:paraId="5D7FA5CF" w14:textId="77777777" w:rsidR="006A22CB" w:rsidRPr="00BD0FCB" w:rsidRDefault="006A22CB" w:rsidP="00345BED">
      <w:pPr>
        <w:pStyle w:val="BodyText"/>
        <w:spacing w:line="264" w:lineRule="auto"/>
        <w:ind w:left="142" w:right="227" w:firstLine="425"/>
        <w:rPr>
          <w:rFonts w:asciiTheme="majorHAnsi" w:hAnsiTheme="majorHAnsi" w:cs="Times New Roman"/>
          <w:bCs/>
          <w:sz w:val="22"/>
          <w:szCs w:val="22"/>
          <w:lang w:val="en"/>
        </w:rPr>
      </w:pPr>
    </w:p>
    <w:p w14:paraId="0508CEB2" w14:textId="77777777" w:rsidR="004E1452" w:rsidRPr="000F58FB" w:rsidRDefault="004E1452" w:rsidP="0048689D">
      <w:pPr>
        <w:pStyle w:val="BodyText"/>
        <w:spacing w:line="264" w:lineRule="auto"/>
        <w:ind w:left="0" w:right="227"/>
        <w:rPr>
          <w:rFonts w:asciiTheme="majorHAnsi" w:hAnsiTheme="majorHAnsi" w:cs="Times New Roman"/>
          <w:color w:val="0070C0"/>
          <w:sz w:val="22"/>
          <w:szCs w:val="22"/>
          <w:lang w:val="en"/>
        </w:rPr>
      </w:pPr>
      <w:r w:rsidRPr="000F58FB">
        <w:rPr>
          <w:rFonts w:asciiTheme="majorHAnsi" w:hAnsiTheme="majorHAnsi" w:cs="Times New Roman"/>
          <w:b/>
          <w:color w:val="0070C0"/>
          <w:sz w:val="22"/>
          <w:szCs w:val="22"/>
          <w:lang w:val="en"/>
        </w:rPr>
        <w:t>CONCLUSION</w:t>
      </w:r>
    </w:p>
    <w:p w14:paraId="3DEE23A2" w14:textId="77777777" w:rsidR="004E1452" w:rsidRPr="00BD0FCB" w:rsidRDefault="004E1452" w:rsidP="00345BED">
      <w:pPr>
        <w:pStyle w:val="BodyText"/>
        <w:spacing w:line="264" w:lineRule="auto"/>
        <w:ind w:left="142" w:right="227" w:firstLine="425"/>
        <w:rPr>
          <w:rFonts w:asciiTheme="majorHAnsi" w:hAnsiTheme="majorHAnsi" w:cs="Times New Roman"/>
          <w:sz w:val="22"/>
          <w:szCs w:val="22"/>
          <w:lang w:val="en"/>
        </w:rPr>
      </w:pPr>
    </w:p>
    <w:p w14:paraId="73D9D4B1" w14:textId="77777777" w:rsidR="004E1452" w:rsidRPr="00BD0FCB" w:rsidRDefault="0018040E" w:rsidP="00D208CA">
      <w:pPr>
        <w:pStyle w:val="BodyText"/>
        <w:spacing w:line="271" w:lineRule="auto"/>
        <w:ind w:left="0" w:right="2" w:firstLine="567"/>
        <w:rPr>
          <w:rFonts w:asciiTheme="majorHAnsi" w:hAnsiTheme="majorHAnsi" w:cs="Times New Roman"/>
          <w:sz w:val="22"/>
          <w:szCs w:val="22"/>
          <w:lang w:val="en"/>
        </w:rPr>
      </w:pPr>
      <w:r w:rsidRPr="00BD0FCB">
        <w:rPr>
          <w:rFonts w:asciiTheme="majorHAnsi" w:hAnsiTheme="majorHAnsi" w:cs="Times New Roman"/>
          <w:sz w:val="22"/>
          <w:szCs w:val="22"/>
          <w:lang w:val="en"/>
        </w:rPr>
        <w:t>This research proposes a framework to transform curriculum development into a customizable process that meets 21st century needs. The framework focuses on six key elements: educational goals, iterative development, teamwork, stakeholder involvement, learning environments, and necessary structures. By incorporating these elements, curriculum developers can create adaptable programs that are effective throughout the entire learning process. This approach requires a shift in mindset and increased effort from all levels of the educational institution, but ultimately leads to a more inclusive and responsive curriculum.</w:t>
      </w:r>
    </w:p>
    <w:p w14:paraId="4A4FD98A" w14:textId="77777777" w:rsidR="0064160E" w:rsidRPr="00BD0FCB" w:rsidRDefault="0064160E" w:rsidP="00345BED">
      <w:pPr>
        <w:pStyle w:val="BodyText"/>
        <w:spacing w:line="264" w:lineRule="auto"/>
        <w:ind w:left="142" w:right="227" w:firstLine="425"/>
        <w:rPr>
          <w:rFonts w:asciiTheme="majorHAnsi" w:hAnsiTheme="majorHAnsi" w:cs="Times New Roman"/>
          <w:sz w:val="22"/>
          <w:szCs w:val="22"/>
          <w:lang w:val="en"/>
        </w:rPr>
      </w:pPr>
    </w:p>
    <w:p w14:paraId="472B085F" w14:textId="77777777" w:rsidR="004E1452" w:rsidRPr="000F58FB" w:rsidRDefault="004E1452" w:rsidP="0048689D">
      <w:pPr>
        <w:pStyle w:val="BodyText"/>
        <w:spacing w:line="264" w:lineRule="auto"/>
        <w:ind w:left="0" w:right="227"/>
        <w:rPr>
          <w:rFonts w:asciiTheme="majorHAnsi" w:hAnsiTheme="majorHAnsi" w:cs="Times New Roman"/>
          <w:b/>
          <w:color w:val="0070C0"/>
          <w:sz w:val="22"/>
          <w:szCs w:val="22"/>
          <w:lang w:val="en"/>
        </w:rPr>
      </w:pPr>
      <w:r w:rsidRPr="000F58FB">
        <w:rPr>
          <w:rFonts w:asciiTheme="majorHAnsi" w:hAnsiTheme="majorHAnsi" w:cs="Times New Roman"/>
          <w:b/>
          <w:color w:val="0070C0"/>
          <w:sz w:val="22"/>
          <w:szCs w:val="22"/>
          <w:lang w:val="en"/>
        </w:rPr>
        <w:t>REFERENCES</w:t>
      </w:r>
    </w:p>
    <w:p w14:paraId="58ECF1B0" w14:textId="77777777" w:rsidR="00C16993" w:rsidRPr="00BD0FCB" w:rsidRDefault="004E1452" w:rsidP="0048689D">
      <w:pPr>
        <w:spacing w:line="264" w:lineRule="auto"/>
        <w:ind w:left="426"/>
        <w:jc w:val="both"/>
        <w:rPr>
          <w:rFonts w:asciiTheme="majorHAnsi" w:eastAsia="Times New Roman" w:hAnsiTheme="majorHAnsi"/>
        </w:rPr>
      </w:pPr>
      <w:r w:rsidRPr="00BD0FCB">
        <w:rPr>
          <w:rFonts w:asciiTheme="majorHAnsi" w:hAnsiTheme="majorHAnsi" w:cs="Times New Roman"/>
          <w:lang w:val="en"/>
        </w:rPr>
        <w:fldChar w:fldCharType="begin" w:fldLock="1"/>
      </w:r>
      <w:r w:rsidRPr="00BD0FCB">
        <w:rPr>
          <w:rFonts w:asciiTheme="majorHAnsi" w:hAnsiTheme="majorHAnsi" w:cs="Times New Roman"/>
          <w:lang w:val="en"/>
        </w:rPr>
        <w:instrText xml:space="preserve">ADDIN Mendeley Bibliography CSL_BIBLIOGRAPHY </w:instrText>
      </w:r>
      <w:r w:rsidRPr="00BD0FCB">
        <w:rPr>
          <w:rFonts w:asciiTheme="majorHAnsi" w:hAnsiTheme="majorHAnsi" w:cs="Times New Roman"/>
          <w:lang w:val="en"/>
        </w:rPr>
        <w:fldChar w:fldCharType="separate"/>
      </w:r>
    </w:p>
    <w:p w14:paraId="1500CA3A" w14:textId="338C0932"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Ajambo, L., Sannerud, R., &amp; Nabaggala, J. (2022). An exploration of teachers and trainers use of instruction practices and development of </w:t>
      </w:r>
      <w:r w:rsidR="00BD0FCB" w:rsidRPr="00BD0FCB">
        <w:rPr>
          <w:rFonts w:asciiTheme="majorHAnsi" w:eastAsia="Times New Roman" w:hAnsiTheme="majorHAnsi"/>
        </w:rPr>
        <w:t>student’s</w:t>
      </w:r>
      <w:r w:rsidRPr="00BD0FCB">
        <w:rPr>
          <w:rFonts w:asciiTheme="majorHAnsi" w:eastAsia="Times New Roman" w:hAnsiTheme="majorHAnsi"/>
        </w:rPr>
        <w:t xml:space="preserve"> interpersonal abilities in hospitality training: the Ugandan perspective. </w:t>
      </w:r>
      <w:r w:rsidRPr="00BD0FCB">
        <w:rPr>
          <w:rFonts w:asciiTheme="majorHAnsi" w:eastAsia="Times New Roman" w:hAnsiTheme="majorHAnsi"/>
          <w:i/>
          <w:iCs/>
        </w:rPr>
        <w:t>Journal of Vocational Education &amp; Training</w:t>
      </w:r>
      <w:r w:rsidRPr="00BD0FCB">
        <w:rPr>
          <w:rFonts w:asciiTheme="majorHAnsi" w:eastAsia="Times New Roman" w:hAnsiTheme="majorHAnsi"/>
        </w:rPr>
        <w:t xml:space="preserve">, 1–20. </w:t>
      </w:r>
      <w:hyperlink r:id="rId10" w:history="1">
        <w:r w:rsidRPr="00BD0FCB">
          <w:rPr>
            <w:rStyle w:val="Hyperlink"/>
            <w:rFonts w:asciiTheme="majorHAnsi" w:eastAsia="Times New Roman" w:hAnsiTheme="majorHAnsi"/>
          </w:rPr>
          <w:t>https://doi.org/10.1080/13636820.2022.2029546</w:t>
        </w:r>
      </w:hyperlink>
    </w:p>
    <w:p w14:paraId="5A5ACC04" w14:textId="6D883E8F"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Alghamdi, A. (2023). The relationship and factors affecting perceptions and applications of the deliberative and dynamic curriculum renewal model. </w:t>
      </w:r>
      <w:r w:rsidRPr="00BD0FCB">
        <w:rPr>
          <w:rFonts w:asciiTheme="majorHAnsi" w:eastAsia="Times New Roman" w:hAnsiTheme="majorHAnsi"/>
          <w:i/>
          <w:iCs/>
        </w:rPr>
        <w:t>Cogent Education</w:t>
      </w:r>
      <w:r w:rsidRPr="00BD0FCB">
        <w:rPr>
          <w:rFonts w:asciiTheme="majorHAnsi" w:eastAsia="Times New Roman" w:hAnsiTheme="majorHAnsi"/>
        </w:rPr>
        <w:t xml:space="preserve">, </w:t>
      </w:r>
      <w:r w:rsidRPr="00BD0FCB">
        <w:rPr>
          <w:rFonts w:asciiTheme="majorHAnsi" w:eastAsia="Times New Roman" w:hAnsiTheme="majorHAnsi"/>
          <w:i/>
          <w:iCs/>
        </w:rPr>
        <w:t>10</w:t>
      </w:r>
      <w:r w:rsidRPr="00BD0FCB">
        <w:rPr>
          <w:rFonts w:asciiTheme="majorHAnsi" w:eastAsia="Times New Roman" w:hAnsiTheme="majorHAnsi"/>
        </w:rPr>
        <w:t xml:space="preserve">(1). </w:t>
      </w:r>
      <w:hyperlink r:id="rId11" w:history="1">
        <w:r w:rsidRPr="00BD0FCB">
          <w:rPr>
            <w:rStyle w:val="Hyperlink"/>
            <w:rFonts w:asciiTheme="majorHAnsi" w:eastAsia="Times New Roman" w:hAnsiTheme="majorHAnsi"/>
          </w:rPr>
          <w:t>https://doi.org/10.1080/2331186X.2023.2195747</w:t>
        </w:r>
      </w:hyperlink>
    </w:p>
    <w:p w14:paraId="68519117" w14:textId="668BB99E"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Avis, J. (2020). Socio-Technical Imaginaries and the Fourth Industrial Revolution. In </w:t>
      </w:r>
      <w:r w:rsidRPr="00BD0FCB">
        <w:rPr>
          <w:rFonts w:asciiTheme="majorHAnsi" w:eastAsia="Times New Roman" w:hAnsiTheme="majorHAnsi"/>
          <w:i/>
          <w:iCs/>
        </w:rPr>
        <w:t>Vocational Education in the Fourth Industrial Revolution</w:t>
      </w:r>
      <w:r w:rsidRPr="00BD0FCB">
        <w:rPr>
          <w:rFonts w:asciiTheme="majorHAnsi" w:eastAsia="Times New Roman" w:hAnsiTheme="majorHAnsi"/>
        </w:rPr>
        <w:t xml:space="preserve"> (pp. 19–43). Springer International Publishing. </w:t>
      </w:r>
      <w:hyperlink r:id="rId12" w:history="1">
        <w:r w:rsidRPr="00BD0FCB">
          <w:rPr>
            <w:rStyle w:val="Hyperlink"/>
            <w:rFonts w:asciiTheme="majorHAnsi" w:eastAsia="Times New Roman" w:hAnsiTheme="majorHAnsi"/>
          </w:rPr>
          <w:t>https://doi.org/10.1007/978-3-030-52032-8_2</w:t>
        </w:r>
      </w:hyperlink>
    </w:p>
    <w:p w14:paraId="1C37FED1" w14:textId="31E71EA5"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lang w:val="sv-SE"/>
        </w:rPr>
        <w:t xml:space="preserve">Banegas, D. L., Budzenski, M., &amp; Yang, F. (2024). </w:t>
      </w:r>
      <w:r w:rsidRPr="00BD0FCB">
        <w:rPr>
          <w:rFonts w:asciiTheme="majorHAnsi" w:eastAsia="Times New Roman" w:hAnsiTheme="majorHAnsi"/>
        </w:rPr>
        <w:t xml:space="preserve">Enhancing pre-service teachers’ projective agency for diverse and multilingual classrooms through a course on curriculum development. </w:t>
      </w:r>
      <w:r w:rsidRPr="00BD0FCB">
        <w:rPr>
          <w:rFonts w:asciiTheme="majorHAnsi" w:eastAsia="Times New Roman" w:hAnsiTheme="majorHAnsi"/>
          <w:i/>
          <w:iCs/>
        </w:rPr>
        <w:t>International Multilingual Research Journal</w:t>
      </w:r>
      <w:r w:rsidRPr="00BD0FCB">
        <w:rPr>
          <w:rFonts w:asciiTheme="majorHAnsi" w:eastAsia="Times New Roman" w:hAnsiTheme="majorHAnsi"/>
        </w:rPr>
        <w:t xml:space="preserve">, 1–16. </w:t>
      </w:r>
      <w:hyperlink r:id="rId13" w:history="1">
        <w:r w:rsidRPr="00BD0FCB">
          <w:rPr>
            <w:rStyle w:val="Hyperlink"/>
            <w:rFonts w:asciiTheme="majorHAnsi" w:eastAsia="Times New Roman" w:hAnsiTheme="majorHAnsi"/>
          </w:rPr>
          <w:t>https://doi.org/10.1080/19313152.2024.2318967</w:t>
        </w:r>
      </w:hyperlink>
    </w:p>
    <w:p w14:paraId="2B375B23" w14:textId="28636A97"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Bens, S., Kolomitro, K., &amp; Han, A. (2021). Curriculum development: enabling and limiting factors. </w:t>
      </w:r>
      <w:r w:rsidRPr="00BD0FCB">
        <w:rPr>
          <w:rFonts w:asciiTheme="majorHAnsi" w:eastAsia="Times New Roman" w:hAnsiTheme="majorHAnsi"/>
          <w:i/>
          <w:iCs/>
        </w:rPr>
        <w:t>International Journal for Academic Development</w:t>
      </w:r>
      <w:r w:rsidRPr="00BD0FCB">
        <w:rPr>
          <w:rFonts w:asciiTheme="majorHAnsi" w:eastAsia="Times New Roman" w:hAnsiTheme="majorHAnsi"/>
        </w:rPr>
        <w:t xml:space="preserve">, </w:t>
      </w:r>
      <w:r w:rsidRPr="00BD0FCB">
        <w:rPr>
          <w:rFonts w:asciiTheme="majorHAnsi" w:eastAsia="Times New Roman" w:hAnsiTheme="majorHAnsi"/>
          <w:i/>
          <w:iCs/>
        </w:rPr>
        <w:t>26</w:t>
      </w:r>
      <w:r w:rsidRPr="00BD0FCB">
        <w:rPr>
          <w:rFonts w:asciiTheme="majorHAnsi" w:eastAsia="Times New Roman" w:hAnsiTheme="majorHAnsi"/>
        </w:rPr>
        <w:t xml:space="preserve">(4), 481–485. </w:t>
      </w:r>
      <w:hyperlink r:id="rId14" w:history="1">
        <w:r w:rsidRPr="00BD0FCB">
          <w:rPr>
            <w:rStyle w:val="Hyperlink"/>
            <w:rFonts w:asciiTheme="majorHAnsi" w:eastAsia="Times New Roman" w:hAnsiTheme="majorHAnsi"/>
          </w:rPr>
          <w:t>https://doi.org/10.1080/1360144X.2020.1842744</w:t>
        </w:r>
      </w:hyperlink>
    </w:p>
    <w:p w14:paraId="05B024EF" w14:textId="0781D8DC"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Bouw, E., Zitter, I., &amp; de Bruijn, E. (2021). Multilevel design considerations for vocational curricula at the boundary of school and work. </w:t>
      </w:r>
      <w:r w:rsidRPr="00BD0FCB">
        <w:rPr>
          <w:rFonts w:asciiTheme="majorHAnsi" w:eastAsia="Times New Roman" w:hAnsiTheme="majorHAnsi"/>
          <w:i/>
          <w:iCs/>
        </w:rPr>
        <w:t>Journal of Curriculum Studies</w:t>
      </w:r>
      <w:r w:rsidRPr="00BD0FCB">
        <w:rPr>
          <w:rFonts w:asciiTheme="majorHAnsi" w:eastAsia="Times New Roman" w:hAnsiTheme="majorHAnsi"/>
        </w:rPr>
        <w:t xml:space="preserve">, </w:t>
      </w:r>
      <w:r w:rsidRPr="00BD0FCB">
        <w:rPr>
          <w:rFonts w:asciiTheme="majorHAnsi" w:eastAsia="Times New Roman" w:hAnsiTheme="majorHAnsi"/>
          <w:i/>
          <w:iCs/>
        </w:rPr>
        <w:t>53</w:t>
      </w:r>
      <w:r w:rsidRPr="00BD0FCB">
        <w:rPr>
          <w:rFonts w:asciiTheme="majorHAnsi" w:eastAsia="Times New Roman" w:hAnsiTheme="majorHAnsi"/>
        </w:rPr>
        <w:t xml:space="preserve">(6), 765–783. </w:t>
      </w:r>
      <w:hyperlink r:id="rId15" w:history="1">
        <w:r w:rsidRPr="00BD0FCB">
          <w:rPr>
            <w:rStyle w:val="Hyperlink"/>
            <w:rFonts w:asciiTheme="majorHAnsi" w:eastAsia="Times New Roman" w:hAnsiTheme="majorHAnsi"/>
          </w:rPr>
          <w:t>https://doi.org/10.1080/00220272.2021.1899290</w:t>
        </w:r>
      </w:hyperlink>
    </w:p>
    <w:p w14:paraId="5185A8C9" w14:textId="401F27C8"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lastRenderedPageBreak/>
        <w:t xml:space="preserve">Bukari, M., Osei-Poku, P., &amp; Kofi Howard, E. (2023). Evaluating the higher national diploma industrial art programme of tamale technical university in Ghana: Curriculum versus implementation. </w:t>
      </w:r>
      <w:r w:rsidRPr="00BD0FCB">
        <w:rPr>
          <w:rFonts w:asciiTheme="majorHAnsi" w:eastAsia="Times New Roman" w:hAnsiTheme="majorHAnsi"/>
          <w:i/>
          <w:iCs/>
        </w:rPr>
        <w:t>Cogent Education</w:t>
      </w:r>
      <w:r w:rsidRPr="00BD0FCB">
        <w:rPr>
          <w:rFonts w:asciiTheme="majorHAnsi" w:eastAsia="Times New Roman" w:hAnsiTheme="majorHAnsi"/>
        </w:rPr>
        <w:t xml:space="preserve">, </w:t>
      </w:r>
      <w:r w:rsidRPr="00BD0FCB">
        <w:rPr>
          <w:rFonts w:asciiTheme="majorHAnsi" w:eastAsia="Times New Roman" w:hAnsiTheme="majorHAnsi"/>
          <w:i/>
          <w:iCs/>
        </w:rPr>
        <w:t>10</w:t>
      </w:r>
      <w:r w:rsidRPr="00BD0FCB">
        <w:rPr>
          <w:rFonts w:asciiTheme="majorHAnsi" w:eastAsia="Times New Roman" w:hAnsiTheme="majorHAnsi"/>
        </w:rPr>
        <w:t xml:space="preserve">(1). </w:t>
      </w:r>
      <w:hyperlink r:id="rId16" w:history="1">
        <w:r w:rsidRPr="00BD0FCB">
          <w:rPr>
            <w:rStyle w:val="Hyperlink"/>
            <w:rFonts w:asciiTheme="majorHAnsi" w:eastAsia="Times New Roman" w:hAnsiTheme="majorHAnsi"/>
          </w:rPr>
          <w:t>https://doi.org/10.1080/2331186X.2023.2199107</w:t>
        </w:r>
      </w:hyperlink>
    </w:p>
    <w:p w14:paraId="0FA8F732" w14:textId="77777777" w:rsidR="00C16993" w:rsidRPr="00BD0FCB" w:rsidRDefault="00C16993" w:rsidP="0048689D">
      <w:pPr>
        <w:spacing w:line="264" w:lineRule="auto"/>
        <w:ind w:left="426" w:hanging="425"/>
        <w:jc w:val="both"/>
        <w:rPr>
          <w:rFonts w:asciiTheme="majorHAnsi" w:hAnsiTheme="majorHAnsi" w:cs="Times New Roman"/>
        </w:rPr>
      </w:pPr>
      <w:r w:rsidRPr="00BD0FCB">
        <w:rPr>
          <w:rFonts w:asciiTheme="majorHAnsi" w:hAnsiTheme="majorHAnsi" w:cs="Times New Roman"/>
          <w:color w:val="0A0A0A"/>
          <w:shd w:val="clear" w:color="auto" w:fill="FEFEFE"/>
        </w:rPr>
        <w:t xml:space="preserve">Cedefop (2021). </w:t>
      </w:r>
      <w:r w:rsidRPr="00BD0FCB">
        <w:rPr>
          <w:rStyle w:val="Emphasis"/>
          <w:rFonts w:asciiTheme="majorHAnsi" w:hAnsiTheme="majorHAnsi" w:cs="Times New Roman"/>
          <w:color w:val="0A0A0A"/>
          <w:shd w:val="clear" w:color="auto" w:fill="FEFEFE"/>
        </w:rPr>
        <w:t>Review and renewal of qualifications: towards methodologies for analysing and comparing learning outcomes.</w:t>
      </w:r>
      <w:r w:rsidRPr="00BD0FCB">
        <w:rPr>
          <w:rFonts w:asciiTheme="majorHAnsi" w:hAnsiTheme="majorHAnsi" w:cs="Times New Roman"/>
          <w:color w:val="0A0A0A"/>
          <w:shd w:val="clear" w:color="auto" w:fill="FEFEFE"/>
        </w:rPr>
        <w:t xml:space="preserve"> </w:t>
      </w:r>
      <w:r w:rsidRPr="00BD0FCB">
        <w:rPr>
          <w:rFonts w:asciiTheme="majorHAnsi" w:hAnsiTheme="majorHAnsi" w:cs="Times New Roman"/>
          <w:i/>
          <w:iCs/>
          <w:color w:val="0A0A0A"/>
          <w:shd w:val="clear" w:color="auto" w:fill="FEFEFE"/>
        </w:rPr>
        <w:t>Luxembourg: Publications Office. Cedefop research paper, No 82</w:t>
      </w:r>
      <w:r w:rsidRPr="00BD0FCB">
        <w:rPr>
          <w:rFonts w:asciiTheme="majorHAnsi" w:hAnsiTheme="majorHAnsi" w:cs="Times New Roman"/>
          <w:color w:val="0A0A0A"/>
          <w:shd w:val="clear" w:color="auto" w:fill="FEFEFE"/>
        </w:rPr>
        <w:t xml:space="preserve">. </w:t>
      </w:r>
      <w:hyperlink r:id="rId17" w:history="1">
        <w:r w:rsidRPr="00BD0FCB">
          <w:rPr>
            <w:rStyle w:val="Hyperlink"/>
            <w:rFonts w:asciiTheme="majorHAnsi" w:hAnsiTheme="majorHAnsi" w:cs="Times New Roman"/>
            <w:shd w:val="clear" w:color="auto" w:fill="FEFEFE"/>
          </w:rPr>
          <w:t>http://data.europa.eu/doi/10.2801/615021</w:t>
        </w:r>
      </w:hyperlink>
    </w:p>
    <w:p w14:paraId="601FFA46" w14:textId="77777777"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hAnsiTheme="majorHAnsi" w:cs="Times New Roman"/>
          <w:shd w:val="clear" w:color="auto" w:fill="FFFFFF"/>
        </w:rPr>
        <w:t xml:space="preserve">Cedefop, (2022). The future of vocational education and training in Europe. Volume 1, The changing content and profile of VET: epistemological challenges and opportunities, </w:t>
      </w:r>
      <w:r w:rsidRPr="00BD0FCB">
        <w:rPr>
          <w:rFonts w:asciiTheme="majorHAnsi" w:hAnsiTheme="majorHAnsi" w:cs="Times New Roman"/>
          <w:i/>
          <w:iCs/>
          <w:shd w:val="clear" w:color="auto" w:fill="FFFFFF"/>
        </w:rPr>
        <w:t>Publications Office of the European Union</w:t>
      </w:r>
      <w:r w:rsidRPr="00BD0FCB">
        <w:rPr>
          <w:rFonts w:asciiTheme="majorHAnsi" w:hAnsiTheme="majorHAnsi" w:cs="Times New Roman"/>
          <w:shd w:val="clear" w:color="auto" w:fill="FFFFFF"/>
        </w:rPr>
        <w:t xml:space="preserve">. </w:t>
      </w:r>
      <w:hyperlink r:id="rId18" w:history="1">
        <w:r w:rsidRPr="00BD0FCB">
          <w:rPr>
            <w:rStyle w:val="Hyperlink"/>
            <w:rFonts w:asciiTheme="majorHAnsi" w:hAnsiTheme="majorHAnsi" w:cs="Times New Roman"/>
            <w:shd w:val="clear" w:color="auto" w:fill="FFFFFF"/>
          </w:rPr>
          <w:t>https://data.europa.eu/doi/10.2801/215705</w:t>
        </w:r>
      </w:hyperlink>
    </w:p>
    <w:p w14:paraId="45D149B6" w14:textId="04122D92"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Gericke, E. (2022). Vocational guidance in general and vocational education schools in Germany: The relevance of informed choice for successful vocational education and the legacy of Aloys Fischer. </w:t>
      </w:r>
      <w:r w:rsidRPr="00BD0FCB">
        <w:rPr>
          <w:rFonts w:asciiTheme="majorHAnsi" w:eastAsia="Times New Roman" w:hAnsiTheme="majorHAnsi"/>
          <w:i/>
          <w:iCs/>
        </w:rPr>
        <w:t>Journal of Philosophy of Education</w:t>
      </w:r>
      <w:r w:rsidRPr="00BD0FCB">
        <w:rPr>
          <w:rFonts w:asciiTheme="majorHAnsi" w:eastAsia="Times New Roman" w:hAnsiTheme="majorHAnsi"/>
        </w:rPr>
        <w:t xml:space="preserve">, </w:t>
      </w:r>
      <w:r w:rsidRPr="00BD0FCB">
        <w:rPr>
          <w:rFonts w:asciiTheme="majorHAnsi" w:eastAsia="Times New Roman" w:hAnsiTheme="majorHAnsi"/>
          <w:i/>
          <w:iCs/>
        </w:rPr>
        <w:t>56</w:t>
      </w:r>
      <w:r w:rsidRPr="00BD0FCB">
        <w:rPr>
          <w:rFonts w:asciiTheme="majorHAnsi" w:eastAsia="Times New Roman" w:hAnsiTheme="majorHAnsi"/>
        </w:rPr>
        <w:t xml:space="preserve">(3), 467–478. </w:t>
      </w:r>
      <w:hyperlink r:id="rId19" w:history="1">
        <w:r w:rsidRPr="00BD0FCB">
          <w:rPr>
            <w:rStyle w:val="Hyperlink"/>
            <w:rFonts w:asciiTheme="majorHAnsi" w:eastAsia="Times New Roman" w:hAnsiTheme="majorHAnsi"/>
          </w:rPr>
          <w:t>https://doi.org/10.1111/1467-9752.12673</w:t>
        </w:r>
      </w:hyperlink>
    </w:p>
    <w:p w14:paraId="40DE09CE" w14:textId="5E7A9F66"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Leeman, Y., Nieveen, N., de Beer, F., &amp; van der Steen, J. (2020). Teachers as curriculum</w:t>
      </w:r>
      <w:r w:rsidRPr="00BD0FCB">
        <w:rPr>
          <w:rFonts w:asciiTheme="majorHAnsi" w:eastAsia="Times New Roman" w:hAnsiTheme="majorHAnsi" w:cs="Times New Roman"/>
        </w:rPr>
        <w:t>‐</w:t>
      </w:r>
      <w:r w:rsidRPr="00BD0FCB">
        <w:rPr>
          <w:rFonts w:asciiTheme="majorHAnsi" w:eastAsia="Times New Roman" w:hAnsiTheme="majorHAnsi"/>
        </w:rPr>
        <w:t xml:space="preserve">makers: the case of citizenship education in Dutch schools. </w:t>
      </w:r>
      <w:r w:rsidRPr="00BD0FCB">
        <w:rPr>
          <w:rFonts w:asciiTheme="majorHAnsi" w:eastAsia="Times New Roman" w:hAnsiTheme="majorHAnsi"/>
          <w:i/>
          <w:iCs/>
        </w:rPr>
        <w:t>The Curriculum Journal</w:t>
      </w:r>
      <w:r w:rsidRPr="00BD0FCB">
        <w:rPr>
          <w:rFonts w:asciiTheme="majorHAnsi" w:eastAsia="Times New Roman" w:hAnsiTheme="majorHAnsi"/>
        </w:rPr>
        <w:t xml:space="preserve">, </w:t>
      </w:r>
      <w:r w:rsidRPr="00BD0FCB">
        <w:rPr>
          <w:rFonts w:asciiTheme="majorHAnsi" w:eastAsia="Times New Roman" w:hAnsiTheme="majorHAnsi"/>
          <w:i/>
          <w:iCs/>
        </w:rPr>
        <w:t>31</w:t>
      </w:r>
      <w:r w:rsidRPr="00BD0FCB">
        <w:rPr>
          <w:rFonts w:asciiTheme="majorHAnsi" w:eastAsia="Times New Roman" w:hAnsiTheme="majorHAnsi"/>
        </w:rPr>
        <w:t xml:space="preserve">(3), 495–516. </w:t>
      </w:r>
      <w:hyperlink r:id="rId20" w:history="1">
        <w:r w:rsidRPr="00BD0FCB">
          <w:rPr>
            <w:rStyle w:val="Hyperlink"/>
            <w:rFonts w:asciiTheme="majorHAnsi" w:eastAsia="Times New Roman" w:hAnsiTheme="majorHAnsi"/>
          </w:rPr>
          <w:t>https://doi.org/10.1002/curj.21</w:t>
        </w:r>
      </w:hyperlink>
    </w:p>
    <w:p w14:paraId="212B0060" w14:textId="45BD24D6"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Loumpourdi, M. (2024). The future of employee development in the emerging fourth industrial revolution: a preferred liberal future. </w:t>
      </w:r>
      <w:r w:rsidRPr="00BD0FCB">
        <w:rPr>
          <w:rFonts w:asciiTheme="majorHAnsi" w:eastAsia="Times New Roman" w:hAnsiTheme="majorHAnsi"/>
          <w:i/>
          <w:iCs/>
        </w:rPr>
        <w:t>Journal of Vocational Education &amp; Training</w:t>
      </w:r>
      <w:r w:rsidRPr="00BD0FCB">
        <w:rPr>
          <w:rFonts w:asciiTheme="majorHAnsi" w:eastAsia="Times New Roman" w:hAnsiTheme="majorHAnsi"/>
        </w:rPr>
        <w:t xml:space="preserve">, </w:t>
      </w:r>
      <w:r w:rsidRPr="00BD0FCB">
        <w:rPr>
          <w:rFonts w:asciiTheme="majorHAnsi" w:eastAsia="Times New Roman" w:hAnsiTheme="majorHAnsi"/>
          <w:i/>
          <w:iCs/>
        </w:rPr>
        <w:t>76</w:t>
      </w:r>
      <w:r w:rsidRPr="00BD0FCB">
        <w:rPr>
          <w:rFonts w:asciiTheme="majorHAnsi" w:eastAsia="Times New Roman" w:hAnsiTheme="majorHAnsi"/>
        </w:rPr>
        <w:t xml:space="preserve">(1), 25–44. </w:t>
      </w:r>
      <w:hyperlink r:id="rId21" w:history="1">
        <w:r w:rsidRPr="00BD0FCB">
          <w:rPr>
            <w:rStyle w:val="Hyperlink"/>
            <w:rFonts w:asciiTheme="majorHAnsi" w:eastAsia="Times New Roman" w:hAnsiTheme="majorHAnsi"/>
          </w:rPr>
          <w:t>https://doi.org/10.1080/13636820.2021.1998793</w:t>
        </w:r>
      </w:hyperlink>
    </w:p>
    <w:p w14:paraId="09BA22DE" w14:textId="32A4F773"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McGrath, S. (2022). Vocational education in the fourth industrial revolution. </w:t>
      </w:r>
      <w:r w:rsidRPr="00BD0FCB">
        <w:rPr>
          <w:rFonts w:asciiTheme="majorHAnsi" w:eastAsia="Times New Roman" w:hAnsiTheme="majorHAnsi"/>
          <w:i/>
          <w:iCs/>
        </w:rPr>
        <w:t>Journal of Vocational Education &amp; Training</w:t>
      </w:r>
      <w:r w:rsidRPr="00BD0FCB">
        <w:rPr>
          <w:rFonts w:asciiTheme="majorHAnsi" w:eastAsia="Times New Roman" w:hAnsiTheme="majorHAnsi"/>
        </w:rPr>
        <w:t xml:space="preserve">, </w:t>
      </w:r>
      <w:r w:rsidRPr="00BD0FCB">
        <w:rPr>
          <w:rFonts w:asciiTheme="majorHAnsi" w:eastAsia="Times New Roman" w:hAnsiTheme="majorHAnsi"/>
          <w:i/>
          <w:iCs/>
        </w:rPr>
        <w:t>74</w:t>
      </w:r>
      <w:r w:rsidRPr="00BD0FCB">
        <w:rPr>
          <w:rFonts w:asciiTheme="majorHAnsi" w:eastAsia="Times New Roman" w:hAnsiTheme="majorHAnsi"/>
        </w:rPr>
        <w:t xml:space="preserve">(2), 352–354. </w:t>
      </w:r>
      <w:hyperlink r:id="rId22" w:history="1">
        <w:r w:rsidRPr="00BD0FCB">
          <w:rPr>
            <w:rStyle w:val="Hyperlink"/>
            <w:rFonts w:asciiTheme="majorHAnsi" w:eastAsia="Times New Roman" w:hAnsiTheme="majorHAnsi"/>
          </w:rPr>
          <w:t>https://doi.org/10.1080/13636820.2021.2018227</w:t>
        </w:r>
      </w:hyperlink>
    </w:p>
    <w:p w14:paraId="44D856C5" w14:textId="42D8703A"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Mulpeter, N., McCormack, O., &amp; O’Flaherty, J. (2023). Purpose, focus and voice? Lessons from a curriculum development advisory committee. </w:t>
      </w:r>
      <w:r w:rsidRPr="00BD0FCB">
        <w:rPr>
          <w:rFonts w:asciiTheme="majorHAnsi" w:eastAsia="Times New Roman" w:hAnsiTheme="majorHAnsi"/>
          <w:i/>
          <w:iCs/>
        </w:rPr>
        <w:t>Irish Educational Studies</w:t>
      </w:r>
      <w:r w:rsidRPr="00BD0FCB">
        <w:rPr>
          <w:rFonts w:asciiTheme="majorHAnsi" w:eastAsia="Times New Roman" w:hAnsiTheme="majorHAnsi"/>
        </w:rPr>
        <w:t xml:space="preserve">, </w:t>
      </w:r>
      <w:r w:rsidRPr="00BD0FCB">
        <w:rPr>
          <w:rFonts w:asciiTheme="majorHAnsi" w:eastAsia="Times New Roman" w:hAnsiTheme="majorHAnsi"/>
          <w:i/>
          <w:iCs/>
        </w:rPr>
        <w:t>42</w:t>
      </w:r>
      <w:r w:rsidRPr="00BD0FCB">
        <w:rPr>
          <w:rFonts w:asciiTheme="majorHAnsi" w:eastAsia="Times New Roman" w:hAnsiTheme="majorHAnsi"/>
        </w:rPr>
        <w:t xml:space="preserve">(4), 1025–1042. </w:t>
      </w:r>
      <w:hyperlink r:id="rId23" w:history="1">
        <w:r w:rsidRPr="00BD0FCB">
          <w:rPr>
            <w:rStyle w:val="Hyperlink"/>
            <w:rFonts w:asciiTheme="majorHAnsi" w:eastAsia="Times New Roman" w:hAnsiTheme="majorHAnsi"/>
          </w:rPr>
          <w:t>https://doi.org/10.1080/03323315.2023.2253202</w:t>
        </w:r>
      </w:hyperlink>
    </w:p>
    <w:p w14:paraId="3A859F47" w14:textId="6C1D053B" w:rsidR="00C16993" w:rsidRPr="00BD0FCB" w:rsidRDefault="00BD0FCB"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OECD</w:t>
      </w:r>
      <w:r w:rsidR="00C16993" w:rsidRPr="00BD0FCB">
        <w:rPr>
          <w:rFonts w:asciiTheme="majorHAnsi" w:eastAsia="Times New Roman" w:hAnsiTheme="majorHAnsi"/>
        </w:rPr>
        <w:t xml:space="preserve">. (2023). </w:t>
      </w:r>
      <w:r w:rsidR="00C16993" w:rsidRPr="00BD0FCB">
        <w:rPr>
          <w:rFonts w:asciiTheme="majorHAnsi" w:eastAsia="Times New Roman" w:hAnsiTheme="majorHAnsi"/>
          <w:i/>
          <w:iCs/>
        </w:rPr>
        <w:t>Building Future-Ready Vocational Education and Training Systems</w:t>
      </w:r>
      <w:r w:rsidR="00C16993" w:rsidRPr="00BD0FCB">
        <w:rPr>
          <w:rFonts w:asciiTheme="majorHAnsi" w:eastAsia="Times New Roman" w:hAnsiTheme="majorHAnsi"/>
        </w:rPr>
        <w:t xml:space="preserve">. OECD. </w:t>
      </w:r>
      <w:hyperlink r:id="rId24" w:history="1">
        <w:r w:rsidR="00C16993" w:rsidRPr="00BD0FCB">
          <w:rPr>
            <w:rStyle w:val="Hyperlink"/>
            <w:rFonts w:asciiTheme="majorHAnsi" w:eastAsia="Times New Roman" w:hAnsiTheme="majorHAnsi"/>
          </w:rPr>
          <w:t>https://doi.org/10.1787/28551a79-en</w:t>
        </w:r>
      </w:hyperlink>
      <w:r w:rsidR="00C16993" w:rsidRPr="00BD0FCB">
        <w:rPr>
          <w:rFonts w:asciiTheme="majorHAnsi" w:eastAsia="Times New Roman" w:hAnsiTheme="majorHAnsi"/>
        </w:rPr>
        <w:t xml:space="preserve"> </w:t>
      </w:r>
    </w:p>
    <w:p w14:paraId="3C7F4B20" w14:textId="0B66AE20" w:rsidR="008B58B6" w:rsidRPr="00BD0FCB" w:rsidRDefault="008B58B6"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Özel, I. D. (2022). Politics of delegated governance: reforming vocational education and training. </w:t>
      </w:r>
      <w:r w:rsidRPr="00BD0FCB">
        <w:rPr>
          <w:rFonts w:asciiTheme="majorHAnsi" w:eastAsia="Times New Roman" w:hAnsiTheme="majorHAnsi"/>
          <w:i/>
          <w:iCs/>
        </w:rPr>
        <w:t>Socio-Economic Review</w:t>
      </w:r>
      <w:r w:rsidRPr="00BD0FCB">
        <w:rPr>
          <w:rFonts w:asciiTheme="majorHAnsi" w:eastAsia="Times New Roman" w:hAnsiTheme="majorHAnsi"/>
        </w:rPr>
        <w:t xml:space="preserve">, </w:t>
      </w:r>
      <w:r w:rsidRPr="00BD0FCB">
        <w:rPr>
          <w:rFonts w:asciiTheme="majorHAnsi" w:eastAsia="Times New Roman" w:hAnsiTheme="majorHAnsi"/>
          <w:i/>
          <w:iCs/>
        </w:rPr>
        <w:t>20</w:t>
      </w:r>
      <w:r w:rsidRPr="00BD0FCB">
        <w:rPr>
          <w:rFonts w:asciiTheme="majorHAnsi" w:eastAsia="Times New Roman" w:hAnsiTheme="majorHAnsi"/>
        </w:rPr>
        <w:t xml:space="preserve">(3), 1361–1394. </w:t>
      </w:r>
      <w:hyperlink r:id="rId25" w:history="1">
        <w:r w:rsidRPr="00BD0FCB">
          <w:rPr>
            <w:rStyle w:val="Hyperlink"/>
            <w:rFonts w:asciiTheme="majorHAnsi" w:eastAsia="Times New Roman" w:hAnsiTheme="majorHAnsi"/>
          </w:rPr>
          <w:t>https://doi.org/10.1093/ser/mwab053</w:t>
        </w:r>
      </w:hyperlink>
    </w:p>
    <w:p w14:paraId="7BA72F7F" w14:textId="4BA194A2" w:rsidR="0037120F" w:rsidRPr="00BD0FCB" w:rsidRDefault="0037120F"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Print, M. (2020). </w:t>
      </w:r>
      <w:r w:rsidRPr="00BD0FCB">
        <w:rPr>
          <w:rFonts w:asciiTheme="majorHAnsi" w:eastAsia="Times New Roman" w:hAnsiTheme="majorHAnsi"/>
          <w:i/>
          <w:iCs/>
        </w:rPr>
        <w:t>Curriculum Development and Design</w:t>
      </w:r>
      <w:r w:rsidRPr="00BD0FCB">
        <w:rPr>
          <w:rFonts w:asciiTheme="majorHAnsi" w:eastAsia="Times New Roman" w:hAnsiTheme="majorHAnsi"/>
        </w:rPr>
        <w:t xml:space="preserve">. Routledge. </w:t>
      </w:r>
      <w:hyperlink r:id="rId26" w:history="1">
        <w:r w:rsidRPr="00BD0FCB">
          <w:rPr>
            <w:rStyle w:val="Hyperlink"/>
            <w:rFonts w:asciiTheme="majorHAnsi" w:eastAsia="Times New Roman" w:hAnsiTheme="majorHAnsi"/>
          </w:rPr>
          <w:t>https://doi.org/10.4324/9781003115328</w:t>
        </w:r>
      </w:hyperlink>
    </w:p>
    <w:p w14:paraId="333C4D39" w14:textId="5D51681C"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Rusert, K., &amp; Stein, M. (2023). Chances and discrimination in dual vocational training of refugees and immigrants in Germany. </w:t>
      </w:r>
      <w:r w:rsidRPr="00BD0FCB">
        <w:rPr>
          <w:rFonts w:asciiTheme="majorHAnsi" w:eastAsia="Times New Roman" w:hAnsiTheme="majorHAnsi"/>
          <w:i/>
          <w:iCs/>
        </w:rPr>
        <w:t>Journal of Vocational Education &amp; Training</w:t>
      </w:r>
      <w:r w:rsidRPr="00BD0FCB">
        <w:rPr>
          <w:rFonts w:asciiTheme="majorHAnsi" w:eastAsia="Times New Roman" w:hAnsiTheme="majorHAnsi"/>
        </w:rPr>
        <w:t xml:space="preserve">, </w:t>
      </w:r>
      <w:r w:rsidRPr="00BD0FCB">
        <w:rPr>
          <w:rFonts w:asciiTheme="majorHAnsi" w:eastAsia="Times New Roman" w:hAnsiTheme="majorHAnsi"/>
          <w:i/>
          <w:iCs/>
        </w:rPr>
        <w:t>75</w:t>
      </w:r>
      <w:r w:rsidRPr="00BD0FCB">
        <w:rPr>
          <w:rFonts w:asciiTheme="majorHAnsi" w:eastAsia="Times New Roman" w:hAnsiTheme="majorHAnsi"/>
        </w:rPr>
        <w:t xml:space="preserve">(1), 109–129. </w:t>
      </w:r>
      <w:hyperlink r:id="rId27" w:history="1">
        <w:r w:rsidRPr="00BD0FCB">
          <w:rPr>
            <w:rStyle w:val="Hyperlink"/>
            <w:rFonts w:asciiTheme="majorHAnsi" w:eastAsia="Times New Roman" w:hAnsiTheme="majorHAnsi"/>
          </w:rPr>
          <w:t>https://doi.org/10.1080/13636820.2022.2148118</w:t>
        </w:r>
      </w:hyperlink>
    </w:p>
    <w:p w14:paraId="4CEE63B3" w14:textId="1415B691" w:rsidR="00C16993" w:rsidRPr="00BD0FCB" w:rsidRDefault="00C16993" w:rsidP="0048689D">
      <w:pPr>
        <w:spacing w:line="264" w:lineRule="auto"/>
        <w:ind w:left="426" w:hanging="425"/>
        <w:jc w:val="both"/>
        <w:rPr>
          <w:rFonts w:asciiTheme="majorHAnsi" w:eastAsia="Times New Roman" w:hAnsiTheme="majorHAnsi"/>
          <w:lang w:val="en-ID"/>
        </w:rPr>
      </w:pPr>
      <w:r w:rsidRPr="00BD0FCB">
        <w:rPr>
          <w:rFonts w:asciiTheme="majorHAnsi" w:eastAsia="Times New Roman" w:hAnsiTheme="majorHAnsi"/>
        </w:rPr>
        <w:t xml:space="preserve">Schroth, S. T. (2023). Curriculum Development. In </w:t>
      </w:r>
      <w:r w:rsidRPr="00BD0FCB">
        <w:rPr>
          <w:rFonts w:asciiTheme="majorHAnsi" w:eastAsia="Times New Roman" w:hAnsiTheme="majorHAnsi"/>
          <w:i/>
          <w:iCs/>
        </w:rPr>
        <w:t>Outdoor Education: A Pathway to Experiential, Environmental, and Sustainable Learning</w:t>
      </w:r>
      <w:r w:rsidRPr="00BD0FCB">
        <w:rPr>
          <w:rFonts w:asciiTheme="majorHAnsi" w:eastAsia="Times New Roman" w:hAnsiTheme="majorHAnsi"/>
        </w:rPr>
        <w:t xml:space="preserve"> (pp. 17–60). </w:t>
      </w:r>
      <w:r w:rsidRPr="00BD0FCB">
        <w:rPr>
          <w:rFonts w:asciiTheme="majorHAnsi" w:eastAsia="Times New Roman" w:hAnsiTheme="majorHAnsi"/>
          <w:lang w:val="en-ID"/>
        </w:rPr>
        <w:t xml:space="preserve">Springer International Publishing. </w:t>
      </w:r>
      <w:hyperlink r:id="rId28" w:history="1">
        <w:r w:rsidRPr="00BD0FCB">
          <w:rPr>
            <w:rStyle w:val="Hyperlink"/>
            <w:rFonts w:asciiTheme="majorHAnsi" w:eastAsia="Times New Roman" w:hAnsiTheme="majorHAnsi"/>
            <w:lang w:val="en-ID"/>
          </w:rPr>
          <w:t>https://doi.org/10.1007/978-3-031-35422-9_2</w:t>
        </w:r>
      </w:hyperlink>
    </w:p>
    <w:p w14:paraId="215396F3" w14:textId="570E8AB2"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Soliman, S. (2023). Vocational education and training (VET) development and social dialogue in Egypt: A historical institutional perspective. </w:t>
      </w:r>
      <w:r w:rsidRPr="00BD0FCB">
        <w:rPr>
          <w:rFonts w:asciiTheme="majorHAnsi" w:eastAsia="Times New Roman" w:hAnsiTheme="majorHAnsi"/>
          <w:i/>
          <w:iCs/>
        </w:rPr>
        <w:t>Journal of Vocational Education &amp; Training</w:t>
      </w:r>
      <w:r w:rsidRPr="00BD0FCB">
        <w:rPr>
          <w:rFonts w:asciiTheme="majorHAnsi" w:eastAsia="Times New Roman" w:hAnsiTheme="majorHAnsi"/>
        </w:rPr>
        <w:t xml:space="preserve">, 1–32. </w:t>
      </w:r>
      <w:hyperlink r:id="rId29" w:history="1">
        <w:r w:rsidRPr="00BD0FCB">
          <w:rPr>
            <w:rStyle w:val="Hyperlink"/>
            <w:rFonts w:asciiTheme="majorHAnsi" w:eastAsia="Times New Roman" w:hAnsiTheme="majorHAnsi"/>
          </w:rPr>
          <w:t>https://doi.org/10.1080/13636820.2023.2258496</w:t>
        </w:r>
      </w:hyperlink>
    </w:p>
    <w:p w14:paraId="08CCCCF4" w14:textId="74389962" w:rsidR="00F3679F" w:rsidRPr="00BD0FCB" w:rsidRDefault="00F3679F"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Stevenson, J. (2020). </w:t>
      </w:r>
      <w:r w:rsidRPr="00BD0FCB">
        <w:rPr>
          <w:rFonts w:asciiTheme="majorHAnsi" w:eastAsia="Times New Roman" w:hAnsiTheme="majorHAnsi"/>
          <w:i/>
          <w:iCs/>
        </w:rPr>
        <w:t>Developing Vocational Expertise: Vol. 1st Edition</w:t>
      </w:r>
      <w:r w:rsidRPr="00BD0FCB">
        <w:rPr>
          <w:rFonts w:asciiTheme="majorHAnsi" w:eastAsia="Times New Roman" w:hAnsiTheme="majorHAnsi"/>
        </w:rPr>
        <w:t xml:space="preserve"> (J. Stevenson, Ed.). Routledge. </w:t>
      </w:r>
      <w:hyperlink r:id="rId30" w:history="1">
        <w:r w:rsidRPr="00BD0FCB">
          <w:rPr>
            <w:rStyle w:val="Hyperlink"/>
            <w:rFonts w:asciiTheme="majorHAnsi" w:eastAsia="Times New Roman" w:hAnsiTheme="majorHAnsi"/>
          </w:rPr>
          <w:t>https://doi.org/10.4324/9781003115342</w:t>
        </w:r>
      </w:hyperlink>
    </w:p>
    <w:p w14:paraId="1ED2AB57" w14:textId="1B892505"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Trifonas, P. P., &amp; Jagger, S. (2024). </w:t>
      </w:r>
      <w:r w:rsidRPr="00BD0FCB">
        <w:rPr>
          <w:rFonts w:asciiTheme="majorHAnsi" w:eastAsia="Times New Roman" w:hAnsiTheme="majorHAnsi"/>
          <w:i/>
          <w:iCs/>
        </w:rPr>
        <w:t>Handbook of Curriculum Theory, Research, and Practice</w:t>
      </w:r>
      <w:r w:rsidRPr="00BD0FCB">
        <w:rPr>
          <w:rFonts w:asciiTheme="majorHAnsi" w:eastAsia="Times New Roman" w:hAnsiTheme="majorHAnsi"/>
        </w:rPr>
        <w:t xml:space="preserve"> (P. P. Trifonas &amp; S. Jagger, Eds.</w:t>
      </w:r>
      <w:r w:rsidR="00BD0FCB" w:rsidRPr="00BD0FCB">
        <w:rPr>
          <w:rFonts w:asciiTheme="majorHAnsi" w:eastAsia="Times New Roman" w:hAnsiTheme="majorHAnsi"/>
        </w:rPr>
        <w:t xml:space="preserve"> 1</w:t>
      </w:r>
      <w:r w:rsidRPr="00BD0FCB">
        <w:rPr>
          <w:rFonts w:asciiTheme="majorHAnsi" w:eastAsia="Times New Roman" w:hAnsiTheme="majorHAnsi"/>
        </w:rPr>
        <w:t xml:space="preserve">. Springer International Publishing. </w:t>
      </w:r>
      <w:hyperlink r:id="rId31" w:history="1">
        <w:r w:rsidRPr="00BD0FCB">
          <w:rPr>
            <w:rStyle w:val="Hyperlink"/>
            <w:rFonts w:asciiTheme="majorHAnsi" w:eastAsia="Times New Roman" w:hAnsiTheme="majorHAnsi"/>
          </w:rPr>
          <w:t>https://doi.org/10.1007/978-3-031-21155-3</w:t>
        </w:r>
      </w:hyperlink>
    </w:p>
    <w:p w14:paraId="1303F1E3" w14:textId="2C9725B9" w:rsidR="00C16993" w:rsidRPr="00104CDB" w:rsidRDefault="00C16993" w:rsidP="0048689D">
      <w:pPr>
        <w:spacing w:line="264" w:lineRule="auto"/>
        <w:ind w:left="426" w:hanging="425"/>
        <w:jc w:val="both"/>
        <w:rPr>
          <w:rFonts w:asciiTheme="majorHAnsi" w:eastAsia="Times New Roman" w:hAnsiTheme="majorHAnsi"/>
          <w:lang w:val="en-ID"/>
        </w:rPr>
      </w:pPr>
      <w:r w:rsidRPr="00BD0FCB">
        <w:rPr>
          <w:rFonts w:asciiTheme="majorHAnsi" w:eastAsia="Times New Roman" w:hAnsiTheme="majorHAnsi"/>
        </w:rPr>
        <w:t xml:space="preserve">VanLaningham, E. (2024). </w:t>
      </w:r>
      <w:r w:rsidRPr="00BD0FCB">
        <w:rPr>
          <w:rFonts w:asciiTheme="majorHAnsi" w:eastAsia="Times New Roman" w:hAnsiTheme="majorHAnsi"/>
          <w:i/>
          <w:iCs/>
        </w:rPr>
        <w:t>Called Beyond Our Selves</w:t>
      </w:r>
      <w:r w:rsidRPr="00BD0FCB">
        <w:rPr>
          <w:rFonts w:asciiTheme="majorHAnsi" w:eastAsia="Times New Roman" w:hAnsiTheme="majorHAnsi"/>
        </w:rPr>
        <w:t xml:space="preserve"> (E. VanLaningham, Ed.). </w:t>
      </w:r>
      <w:r w:rsidRPr="00104CDB">
        <w:rPr>
          <w:rFonts w:asciiTheme="majorHAnsi" w:eastAsia="Times New Roman" w:hAnsiTheme="majorHAnsi"/>
          <w:lang w:val="en-ID"/>
        </w:rPr>
        <w:t xml:space="preserve">Oxford University PressNew York. </w:t>
      </w:r>
      <w:hyperlink r:id="rId32" w:history="1">
        <w:r w:rsidRPr="00104CDB">
          <w:rPr>
            <w:rStyle w:val="Hyperlink"/>
            <w:rFonts w:asciiTheme="majorHAnsi" w:eastAsia="Times New Roman" w:hAnsiTheme="majorHAnsi"/>
            <w:lang w:val="en-ID"/>
          </w:rPr>
          <w:t>https://doi.org/10.1093/oso/9780197691915.001.0001</w:t>
        </w:r>
      </w:hyperlink>
    </w:p>
    <w:p w14:paraId="19635DAB" w14:textId="2A0BB953" w:rsidR="00C16993" w:rsidRPr="00BD0FCB" w:rsidRDefault="00C16993" w:rsidP="0048689D">
      <w:pPr>
        <w:spacing w:line="264" w:lineRule="auto"/>
        <w:ind w:left="426" w:hanging="425"/>
        <w:jc w:val="both"/>
        <w:rPr>
          <w:rFonts w:asciiTheme="majorHAnsi" w:eastAsia="Times New Roman" w:hAnsiTheme="majorHAnsi"/>
          <w:lang w:val="en-ID"/>
        </w:rPr>
      </w:pPr>
      <w:r w:rsidRPr="00BD0FCB">
        <w:rPr>
          <w:rFonts w:asciiTheme="majorHAnsi" w:eastAsia="Times New Roman" w:hAnsiTheme="majorHAnsi"/>
          <w:lang w:val="sv-SE"/>
        </w:rPr>
        <w:t>Vreuls, J., Koeslag</w:t>
      </w:r>
      <w:r w:rsidRPr="00BD0FCB">
        <w:rPr>
          <w:rFonts w:asciiTheme="majorHAnsi" w:eastAsia="Times New Roman" w:hAnsiTheme="majorHAnsi" w:cs="Times New Roman"/>
          <w:lang w:val="sv-SE"/>
        </w:rPr>
        <w:t>‐</w:t>
      </w:r>
      <w:r w:rsidRPr="00BD0FCB">
        <w:rPr>
          <w:rFonts w:asciiTheme="majorHAnsi" w:eastAsia="Times New Roman" w:hAnsiTheme="majorHAnsi"/>
          <w:lang w:val="sv-SE"/>
        </w:rPr>
        <w:t xml:space="preserve">Kreunen, M., van der Klink, M., Nieuwenhuis, L., &amp; Boshuizen, H. (2022). </w:t>
      </w:r>
      <w:r w:rsidRPr="00BD0FCB">
        <w:rPr>
          <w:rFonts w:asciiTheme="majorHAnsi" w:eastAsia="Times New Roman" w:hAnsiTheme="majorHAnsi"/>
        </w:rPr>
        <w:t xml:space="preserve">Responsive curriculum development for professional education: Different teams, different </w:t>
      </w:r>
      <w:r w:rsidRPr="00BD0FCB">
        <w:rPr>
          <w:rFonts w:asciiTheme="majorHAnsi" w:eastAsia="Times New Roman" w:hAnsiTheme="majorHAnsi"/>
        </w:rPr>
        <w:lastRenderedPageBreak/>
        <w:t xml:space="preserve">tales. </w:t>
      </w:r>
      <w:r w:rsidRPr="00BD0FCB">
        <w:rPr>
          <w:rFonts w:asciiTheme="majorHAnsi" w:eastAsia="Times New Roman" w:hAnsiTheme="majorHAnsi"/>
          <w:i/>
          <w:iCs/>
          <w:lang w:val="en-ID"/>
        </w:rPr>
        <w:t>The Curriculum Journal</w:t>
      </w:r>
      <w:r w:rsidRPr="00BD0FCB">
        <w:rPr>
          <w:rFonts w:asciiTheme="majorHAnsi" w:eastAsia="Times New Roman" w:hAnsiTheme="majorHAnsi"/>
          <w:lang w:val="en-ID"/>
        </w:rPr>
        <w:t xml:space="preserve">, </w:t>
      </w:r>
      <w:r w:rsidRPr="00BD0FCB">
        <w:rPr>
          <w:rFonts w:asciiTheme="majorHAnsi" w:eastAsia="Times New Roman" w:hAnsiTheme="majorHAnsi"/>
          <w:i/>
          <w:iCs/>
          <w:lang w:val="en-ID"/>
        </w:rPr>
        <w:t>33</w:t>
      </w:r>
      <w:r w:rsidRPr="00BD0FCB">
        <w:rPr>
          <w:rFonts w:asciiTheme="majorHAnsi" w:eastAsia="Times New Roman" w:hAnsiTheme="majorHAnsi"/>
          <w:lang w:val="en-ID"/>
        </w:rPr>
        <w:t xml:space="preserve">(4), 636–659. </w:t>
      </w:r>
      <w:hyperlink r:id="rId33" w:history="1">
        <w:r w:rsidRPr="00BD0FCB">
          <w:rPr>
            <w:rStyle w:val="Hyperlink"/>
            <w:rFonts w:asciiTheme="majorHAnsi" w:eastAsia="Times New Roman" w:hAnsiTheme="majorHAnsi"/>
            <w:lang w:val="en-ID"/>
          </w:rPr>
          <w:t>https://doi.org/10.1002/curj.155</w:t>
        </w:r>
      </w:hyperlink>
    </w:p>
    <w:p w14:paraId="5A3F1B04" w14:textId="72A0AF3B" w:rsidR="00C16993" w:rsidRPr="00BD0FCB" w:rsidRDefault="00C16993" w:rsidP="0048689D">
      <w:pPr>
        <w:spacing w:line="264" w:lineRule="auto"/>
        <w:ind w:left="426" w:hanging="425"/>
        <w:jc w:val="both"/>
        <w:rPr>
          <w:rFonts w:asciiTheme="majorHAnsi" w:eastAsia="Times New Roman" w:hAnsiTheme="majorHAnsi"/>
        </w:rPr>
      </w:pPr>
      <w:r w:rsidRPr="00BD0FCB">
        <w:rPr>
          <w:rFonts w:asciiTheme="majorHAnsi" w:eastAsia="Times New Roman" w:hAnsiTheme="majorHAnsi"/>
        </w:rPr>
        <w:t xml:space="preserve">Wilkinson, D., &amp; Dokter, D. (2023). </w:t>
      </w:r>
      <w:r w:rsidRPr="00BD0FCB">
        <w:rPr>
          <w:rFonts w:asciiTheme="majorHAnsi" w:eastAsia="Times New Roman" w:hAnsiTheme="majorHAnsi"/>
          <w:i/>
          <w:iCs/>
        </w:rPr>
        <w:t>The Researcher’s Toolkit</w:t>
      </w:r>
      <w:r w:rsidRPr="00BD0FCB">
        <w:rPr>
          <w:rFonts w:asciiTheme="majorHAnsi" w:eastAsia="Times New Roman" w:hAnsiTheme="majorHAnsi"/>
        </w:rPr>
        <w:t xml:space="preserve">. Routledge. </w:t>
      </w:r>
      <w:hyperlink r:id="rId34" w:history="1">
        <w:r w:rsidRPr="00BD0FCB">
          <w:rPr>
            <w:rStyle w:val="Hyperlink"/>
            <w:rFonts w:asciiTheme="majorHAnsi" w:eastAsia="Times New Roman" w:hAnsiTheme="majorHAnsi"/>
          </w:rPr>
          <w:t>https://doi.org/10.4324/9781003180159</w:t>
        </w:r>
      </w:hyperlink>
    </w:p>
    <w:p w14:paraId="41FC3F38" w14:textId="40C2218C" w:rsidR="004E1452" w:rsidRPr="00BD0FCB" w:rsidRDefault="00C16993" w:rsidP="0048689D">
      <w:pPr>
        <w:pStyle w:val="BodyText"/>
        <w:spacing w:line="264" w:lineRule="auto"/>
        <w:ind w:left="426" w:right="227" w:hanging="425"/>
        <w:rPr>
          <w:rFonts w:asciiTheme="majorHAnsi" w:hAnsiTheme="majorHAnsi" w:cs="Times New Roman"/>
          <w:sz w:val="22"/>
          <w:szCs w:val="22"/>
          <w:lang w:val="en"/>
        </w:rPr>
      </w:pPr>
      <w:r w:rsidRPr="00BD0FCB">
        <w:rPr>
          <w:rFonts w:asciiTheme="majorHAnsi" w:eastAsia="Times New Roman" w:hAnsiTheme="majorHAnsi"/>
          <w:sz w:val="22"/>
          <w:szCs w:val="22"/>
        </w:rPr>
        <w:t xml:space="preserve">Young, M., &amp; Hordern, J. (2022). Does the vocational curriculum have a future? </w:t>
      </w:r>
      <w:r w:rsidRPr="00BD0FCB">
        <w:rPr>
          <w:rFonts w:asciiTheme="majorHAnsi" w:eastAsia="Times New Roman" w:hAnsiTheme="majorHAnsi"/>
          <w:i/>
          <w:iCs/>
          <w:sz w:val="22"/>
          <w:szCs w:val="22"/>
        </w:rPr>
        <w:t>Journal of Vocational Education &amp; Training</w:t>
      </w:r>
      <w:r w:rsidRPr="00BD0FCB">
        <w:rPr>
          <w:rFonts w:asciiTheme="majorHAnsi" w:eastAsia="Times New Roman" w:hAnsiTheme="majorHAnsi"/>
          <w:sz w:val="22"/>
          <w:szCs w:val="22"/>
        </w:rPr>
        <w:t xml:space="preserve">, </w:t>
      </w:r>
      <w:r w:rsidRPr="00BD0FCB">
        <w:rPr>
          <w:rFonts w:asciiTheme="majorHAnsi" w:eastAsia="Times New Roman" w:hAnsiTheme="majorHAnsi"/>
          <w:i/>
          <w:iCs/>
          <w:sz w:val="22"/>
          <w:szCs w:val="22"/>
        </w:rPr>
        <w:t>74</w:t>
      </w:r>
      <w:r w:rsidRPr="00BD0FCB">
        <w:rPr>
          <w:rFonts w:asciiTheme="majorHAnsi" w:eastAsia="Times New Roman" w:hAnsiTheme="majorHAnsi"/>
          <w:sz w:val="22"/>
          <w:szCs w:val="22"/>
        </w:rPr>
        <w:t xml:space="preserve">(1), 68–88. </w:t>
      </w:r>
      <w:hyperlink r:id="rId35" w:history="1">
        <w:r w:rsidR="00A216B4" w:rsidRPr="00BD0FCB">
          <w:rPr>
            <w:rStyle w:val="Hyperlink"/>
            <w:rFonts w:asciiTheme="majorHAnsi" w:hAnsiTheme="majorHAnsi" w:cs="Times New Roman"/>
            <w:sz w:val="22"/>
            <w:szCs w:val="22"/>
            <w:lang w:val="en"/>
          </w:rPr>
          <w:t>https://doi.org/10.1080/13636820.2020.1833078</w:t>
        </w:r>
      </w:hyperlink>
    </w:p>
    <w:p w14:paraId="2584033F" w14:textId="680E0C3B" w:rsidR="00E242DA" w:rsidRPr="00BD0FCB" w:rsidRDefault="004E1452" w:rsidP="0048689D">
      <w:pPr>
        <w:spacing w:line="264" w:lineRule="auto"/>
        <w:ind w:left="426"/>
        <w:rPr>
          <w:rFonts w:asciiTheme="majorHAnsi" w:hAnsiTheme="majorHAnsi"/>
        </w:rPr>
      </w:pPr>
      <w:r w:rsidRPr="00BD0FCB">
        <w:rPr>
          <w:rFonts w:asciiTheme="majorHAnsi" w:hAnsiTheme="majorHAnsi" w:cs="Times New Roman"/>
        </w:rPr>
        <w:fldChar w:fldCharType="end"/>
      </w:r>
    </w:p>
    <w:sectPr w:rsidR="00E242DA" w:rsidRPr="00BD0FCB" w:rsidSect="00D9406F">
      <w:headerReference w:type="even" r:id="rId36"/>
      <w:headerReference w:type="default" r:id="rId37"/>
      <w:footerReference w:type="even" r:id="rId38"/>
      <w:footerReference w:type="default" r:id="rId39"/>
      <w:type w:val="continuous"/>
      <w:pgSz w:w="11910" w:h="16840"/>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997B6" w14:textId="77777777" w:rsidR="00D9406F" w:rsidRDefault="00D9406F">
      <w:r>
        <w:separator/>
      </w:r>
    </w:p>
  </w:endnote>
  <w:endnote w:type="continuationSeparator" w:id="0">
    <w:p w14:paraId="77391042" w14:textId="77777777" w:rsidR="00D9406F" w:rsidRDefault="00D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6010695"/>
      <w:docPartObj>
        <w:docPartGallery w:val="Page Numbers (Bottom of Page)"/>
        <w:docPartUnique/>
      </w:docPartObj>
    </w:sdtPr>
    <w:sdtEndPr>
      <w:rPr>
        <w:noProof/>
        <w:color w:val="1F497D" w:themeColor="text2"/>
      </w:rPr>
    </w:sdtEndPr>
    <w:sdtContent>
      <w:p w14:paraId="4C722EA0" w14:textId="77777777" w:rsidR="003066DB" w:rsidRPr="001D7466" w:rsidRDefault="003066DB">
        <w:pPr>
          <w:pStyle w:val="Footer"/>
          <w:jc w:val="center"/>
          <w:rPr>
            <w:color w:val="1F497D" w:themeColor="text2"/>
          </w:rPr>
        </w:pPr>
        <w:r w:rsidRPr="001D7466">
          <w:rPr>
            <w:color w:val="1F497D" w:themeColor="text2"/>
          </w:rPr>
          <w:fldChar w:fldCharType="begin"/>
        </w:r>
        <w:r w:rsidRPr="001D7466">
          <w:rPr>
            <w:color w:val="1F497D" w:themeColor="text2"/>
          </w:rPr>
          <w:instrText xml:space="preserve"> PAGE   \* MERGEFORMAT </w:instrText>
        </w:r>
        <w:r w:rsidRPr="001D7466">
          <w:rPr>
            <w:color w:val="1F497D" w:themeColor="text2"/>
          </w:rPr>
          <w:fldChar w:fldCharType="separate"/>
        </w:r>
        <w:r w:rsidRPr="001D7466">
          <w:rPr>
            <w:noProof/>
            <w:color w:val="1F497D" w:themeColor="text2"/>
          </w:rPr>
          <w:t>2</w:t>
        </w:r>
        <w:r w:rsidRPr="001D7466">
          <w:rPr>
            <w:noProof/>
            <w:color w:val="1F497D" w:themeColor="text2"/>
          </w:rPr>
          <w:fldChar w:fldCharType="end"/>
        </w:r>
      </w:p>
    </w:sdtContent>
  </w:sdt>
  <w:p w14:paraId="53738B03" w14:textId="77777777" w:rsidR="00E242DA" w:rsidRDefault="00E242DA">
    <w:pPr>
      <w:pStyle w:val="BodyText"/>
      <w:spacing w:line="14"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rPr>
      <w:id w:val="2050107808"/>
      <w:docPartObj>
        <w:docPartGallery w:val="Page Numbers (Bottom of Page)"/>
        <w:docPartUnique/>
      </w:docPartObj>
    </w:sdtPr>
    <w:sdtEndPr>
      <w:rPr>
        <w:noProof/>
        <w:color w:val="1F497D" w:themeColor="text2"/>
      </w:rPr>
    </w:sdtEndPr>
    <w:sdtContent>
      <w:p w14:paraId="728A0546" w14:textId="77777777" w:rsidR="004E42C6" w:rsidRPr="001D7466" w:rsidRDefault="004E42C6">
        <w:pPr>
          <w:pStyle w:val="Footer"/>
          <w:jc w:val="center"/>
          <w:rPr>
            <w:rFonts w:asciiTheme="majorHAnsi" w:hAnsiTheme="majorHAnsi"/>
            <w:color w:val="1F497D" w:themeColor="text2"/>
          </w:rPr>
        </w:pPr>
        <w:r w:rsidRPr="001D7466">
          <w:rPr>
            <w:rFonts w:asciiTheme="majorHAnsi" w:hAnsiTheme="majorHAnsi"/>
            <w:color w:val="1F497D" w:themeColor="text2"/>
          </w:rPr>
          <w:fldChar w:fldCharType="begin"/>
        </w:r>
        <w:r w:rsidRPr="001D7466">
          <w:rPr>
            <w:rFonts w:asciiTheme="majorHAnsi" w:hAnsiTheme="majorHAnsi"/>
            <w:color w:val="1F497D" w:themeColor="text2"/>
          </w:rPr>
          <w:instrText xml:space="preserve"> PAGE   \* MERGEFORMAT </w:instrText>
        </w:r>
        <w:r w:rsidRPr="001D7466">
          <w:rPr>
            <w:rFonts w:asciiTheme="majorHAnsi" w:hAnsiTheme="majorHAnsi"/>
            <w:color w:val="1F497D" w:themeColor="text2"/>
          </w:rPr>
          <w:fldChar w:fldCharType="separate"/>
        </w:r>
        <w:r w:rsidRPr="001D7466">
          <w:rPr>
            <w:rFonts w:asciiTheme="majorHAnsi" w:hAnsiTheme="majorHAnsi"/>
            <w:noProof/>
            <w:color w:val="1F497D" w:themeColor="text2"/>
          </w:rPr>
          <w:t>2</w:t>
        </w:r>
        <w:r w:rsidRPr="001D7466">
          <w:rPr>
            <w:rFonts w:asciiTheme="majorHAnsi" w:hAnsiTheme="majorHAnsi"/>
            <w:noProof/>
            <w:color w:val="1F497D" w:themeColor="text2"/>
          </w:rPr>
          <w:fldChar w:fldCharType="end"/>
        </w:r>
      </w:p>
    </w:sdtContent>
  </w:sdt>
  <w:p w14:paraId="33F94844" w14:textId="77777777" w:rsidR="00E242DA" w:rsidRPr="00BD0FCB" w:rsidRDefault="00E242DA">
    <w:pPr>
      <w:pStyle w:val="BodyText"/>
      <w:spacing w:line="14" w:lineRule="auto"/>
      <w:ind w:left="0"/>
      <w:jc w:val="lef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75AC1" w14:textId="77777777" w:rsidR="00D9406F" w:rsidRDefault="00D9406F">
      <w:r>
        <w:separator/>
      </w:r>
    </w:p>
  </w:footnote>
  <w:footnote w:type="continuationSeparator" w:id="0">
    <w:p w14:paraId="417057C5" w14:textId="77777777" w:rsidR="00D9406F" w:rsidRDefault="00D9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D2D3D" w14:textId="704F4D81" w:rsidR="00E242DA" w:rsidRPr="00D208CA" w:rsidRDefault="00D208CA" w:rsidP="001D7466">
    <w:pPr>
      <w:pStyle w:val="Header"/>
      <w:jc w:val="center"/>
      <w:rPr>
        <w:rFonts w:asciiTheme="majorHAnsi" w:hAnsiTheme="majorHAnsi" w:cs="Times New Roman"/>
        <w:color w:val="1F497D" w:themeColor="text2"/>
        <w:sz w:val="14"/>
        <w:szCs w:val="14"/>
        <w:lang w:val="en-ID"/>
      </w:rPr>
    </w:pPr>
    <w:r>
      <w:rPr>
        <w:rFonts w:asciiTheme="majorHAnsi" w:hAnsiTheme="majorHAnsi" w:cs="Times New Roman"/>
        <w:color w:val="1F497D" w:themeColor="text2"/>
        <w:highlight w:val="red"/>
        <w:lang w:val="sv-SE"/>
      </w:rPr>
      <w:t>........</w:t>
    </w:r>
    <w:r w:rsidR="001D7466" w:rsidRPr="00D208CA">
      <w:rPr>
        <w:rFonts w:asciiTheme="majorHAnsi" w:hAnsiTheme="majorHAnsi" w:cs="Times New Roman"/>
        <w:color w:val="1F497D" w:themeColor="text2"/>
        <w:highlight w:val="red"/>
        <w:lang w:val="sv-SE"/>
      </w:rPr>
      <w:t xml:space="preserve">, </w:t>
    </w:r>
    <w:r>
      <w:rPr>
        <w:rFonts w:asciiTheme="majorHAnsi" w:hAnsiTheme="majorHAnsi" w:cs="Times New Roman"/>
        <w:color w:val="1F497D" w:themeColor="text2"/>
        <w:highlight w:val="red"/>
        <w:lang w:val="sv-SE"/>
      </w:rPr>
      <w:t xml:space="preserve">... </w:t>
    </w:r>
    <w:r w:rsidR="001D7466" w:rsidRPr="00D208CA">
      <w:rPr>
        <w:rFonts w:asciiTheme="majorHAnsi" w:hAnsiTheme="majorHAnsi" w:cs="Times New Roman"/>
        <w:color w:val="1F497D" w:themeColor="text2"/>
        <w:highlight w:val="red"/>
        <w:lang w:val="sv-SE"/>
      </w:rPr>
      <w:t>. et al.</w:t>
    </w:r>
    <w:r w:rsidR="001D7466" w:rsidRPr="001D7466">
      <w:rPr>
        <w:rFonts w:asciiTheme="majorHAnsi" w:hAnsiTheme="majorHAnsi" w:cs="Times New Roman"/>
        <w:color w:val="1F497D" w:themeColor="text2"/>
        <w:lang w:val="sv-SE"/>
      </w:rPr>
      <w:t xml:space="preserve"> / </w:t>
    </w:r>
    <w:r w:rsidR="003066DB" w:rsidRPr="001D7466">
      <w:rPr>
        <w:rFonts w:asciiTheme="majorHAnsi" w:hAnsiTheme="majorHAnsi" w:cs="Times New Roman"/>
        <w:color w:val="1F497D" w:themeColor="text2"/>
        <w:lang w:val="sv-SE"/>
      </w:rPr>
      <w:t>Lembaran Ilmu Kependidikan</w:t>
    </w:r>
    <w:r w:rsidR="001D7466" w:rsidRPr="001D7466">
      <w:rPr>
        <w:rFonts w:asciiTheme="majorHAnsi" w:hAnsiTheme="majorHAnsi" w:cs="Times New Roman"/>
        <w:color w:val="1F497D" w:themeColor="text2"/>
        <w:lang w:val="sv-SE"/>
      </w:rPr>
      <w:t>.</w:t>
    </w:r>
    <w:r w:rsidR="003066DB" w:rsidRPr="001D7466">
      <w:rPr>
        <w:rFonts w:asciiTheme="majorHAnsi" w:hAnsiTheme="majorHAnsi" w:cs="Times New Roman"/>
        <w:color w:val="1F497D" w:themeColor="text2"/>
        <w:lang w:val="sv-SE"/>
      </w:rPr>
      <w:t xml:space="preserve"> </w:t>
    </w:r>
    <w:r w:rsidR="001D7466" w:rsidRPr="001D7466">
      <w:rPr>
        <w:rFonts w:asciiTheme="majorHAnsi" w:eastAsia="Times New Roman" w:hAnsiTheme="majorHAnsi" w:cs="Times New Roman"/>
        <w:color w:val="1F497D" w:themeColor="text2"/>
      </w:rPr>
      <w:t xml:space="preserve">Vol. </w:t>
    </w:r>
    <w:r w:rsidRPr="00D208CA">
      <w:rPr>
        <w:rFonts w:asciiTheme="majorHAnsi" w:eastAsia="Times New Roman" w:hAnsiTheme="majorHAnsi" w:cs="Times New Roman"/>
        <w:color w:val="1F497D" w:themeColor="text2"/>
        <w:highlight w:val="red"/>
      </w:rPr>
      <w:t>XX</w:t>
    </w:r>
    <w:r w:rsidR="001D7466" w:rsidRPr="001D7466">
      <w:rPr>
        <w:rFonts w:asciiTheme="majorHAnsi" w:eastAsia="Times New Roman" w:hAnsiTheme="majorHAnsi" w:cs="Times New Roman"/>
        <w:color w:val="1F497D" w:themeColor="text2"/>
      </w:rPr>
      <w:t xml:space="preserve"> No. </w:t>
    </w:r>
    <w:r w:rsidRPr="00D208CA">
      <w:rPr>
        <w:rFonts w:asciiTheme="majorHAnsi" w:eastAsia="Times New Roman" w:hAnsiTheme="majorHAnsi" w:cs="Times New Roman"/>
        <w:color w:val="1F497D" w:themeColor="text2"/>
        <w:highlight w:val="red"/>
      </w:rPr>
      <w:t>X</w:t>
    </w:r>
    <w:r w:rsidR="001D7466" w:rsidRPr="001D7466">
      <w:rPr>
        <w:rFonts w:asciiTheme="majorHAnsi" w:eastAsia="Times New Roman" w:hAnsiTheme="majorHAnsi" w:cs="Times New Roman"/>
        <w:color w:val="1F497D" w:themeColor="text2"/>
      </w:rPr>
      <w:t xml:space="preserve"> (20</w:t>
    </w:r>
    <w:r w:rsidRPr="00D208CA">
      <w:rPr>
        <w:rFonts w:asciiTheme="majorHAnsi" w:eastAsia="Times New Roman" w:hAnsiTheme="majorHAnsi" w:cs="Times New Roman"/>
        <w:color w:val="1F497D" w:themeColor="text2"/>
        <w:highlight w:val="red"/>
      </w:rPr>
      <w:t>XX</w:t>
    </w:r>
    <w:r w:rsidR="001D7466" w:rsidRPr="001D7466">
      <w:rPr>
        <w:rFonts w:asciiTheme="majorHAnsi" w:eastAsia="Times New Roman" w:hAnsiTheme="majorHAnsi" w:cs="Times New Roman"/>
        <w:color w:val="1F497D" w:themeColor="text2"/>
      </w:rPr>
      <w:t xml:space="preserve">): </w:t>
    </w:r>
    <w:r w:rsidRPr="00D208CA">
      <w:rPr>
        <w:rFonts w:asciiTheme="majorHAnsi" w:eastAsia="Times New Roman" w:hAnsiTheme="majorHAnsi" w:cs="Times New Roman"/>
        <w:color w:val="1F497D" w:themeColor="text2"/>
        <w:highlight w:val="red"/>
      </w:rPr>
      <w:t>X</w:t>
    </w:r>
    <w:r w:rsidR="001D7466" w:rsidRPr="00D208CA">
      <w:rPr>
        <w:rFonts w:asciiTheme="majorHAnsi" w:eastAsia="Times New Roman" w:hAnsiTheme="majorHAnsi" w:cs="Times New Roman"/>
        <w:color w:val="1F497D" w:themeColor="text2"/>
        <w:highlight w:val="red"/>
      </w:rPr>
      <w:t>-</w:t>
    </w:r>
    <w:r w:rsidRPr="00D208CA">
      <w:rPr>
        <w:rFonts w:asciiTheme="majorHAnsi" w:eastAsia="Times New Roman" w:hAnsiTheme="majorHAnsi" w:cs="Times New Roman"/>
        <w:color w:val="1F497D" w:themeColor="text2"/>
        <w:highlight w:val="red"/>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CF7BE" w14:textId="18437DC7" w:rsidR="00E83234" w:rsidRPr="00E83234" w:rsidRDefault="00BD0FCB" w:rsidP="00BD0FCB">
    <w:pPr>
      <w:tabs>
        <w:tab w:val="center" w:pos="4680"/>
        <w:tab w:val="right" w:pos="9781"/>
      </w:tabs>
      <w:rPr>
        <w:rFonts w:eastAsia="Times New Roman" w:cs="Times New Roman"/>
        <w:color w:val="1F497D" w:themeColor="text2"/>
        <w:lang w:val="sv-SE"/>
      </w:rPr>
    </w:pPr>
    <w:bookmarkStart w:id="2" w:name="_Hlk163466951"/>
    <w:bookmarkStart w:id="3" w:name="_Hlk163466952"/>
    <w:bookmarkStart w:id="4" w:name="_Hlk163466971"/>
    <w:bookmarkStart w:id="5" w:name="_Hlk163466972"/>
    <w:r w:rsidRPr="00E83234">
      <w:rPr>
        <w:rFonts w:eastAsia="Times New Roman" w:cs="Times New Roman"/>
        <w:color w:val="1F497D" w:themeColor="text2"/>
        <w:lang w:val="sv-SE"/>
      </w:rPr>
      <w:t>Lembaran Ilmu Kependidikan</w:t>
    </w:r>
    <w:r w:rsidRPr="00E83234">
      <w:rPr>
        <w:rFonts w:eastAsia="Times New Roman" w:cs="Times New Roman"/>
        <w:color w:val="1F497D" w:themeColor="text2"/>
        <w:lang w:val="sv-SE"/>
      </w:rPr>
      <w:tab/>
    </w:r>
    <w:r w:rsidRPr="00E83234">
      <w:rPr>
        <w:rFonts w:eastAsia="Times New Roman" w:cs="Times New Roman"/>
        <w:color w:val="1F497D" w:themeColor="text2"/>
        <w:lang w:val="sv-SE"/>
      </w:rPr>
      <w:tab/>
      <w:t xml:space="preserve">e-ISSN </w:t>
    </w:r>
    <w:r w:rsidR="00E83234" w:rsidRPr="00E83234">
      <w:rPr>
        <w:rFonts w:eastAsia="Times New Roman" w:cs="Times New Roman"/>
        <w:color w:val="1F497D" w:themeColor="text2"/>
        <w:lang w:val="sv-SE"/>
      </w:rPr>
      <w:t>0216-0847</w:t>
    </w:r>
  </w:p>
  <w:p w14:paraId="385B8AEC" w14:textId="6DC03EFF" w:rsidR="00BD0FCB" w:rsidRPr="001D7466" w:rsidRDefault="00BD0FCB" w:rsidP="00BD0FCB">
    <w:pPr>
      <w:tabs>
        <w:tab w:val="center" w:pos="4680"/>
        <w:tab w:val="right" w:pos="9781"/>
      </w:tabs>
      <w:rPr>
        <w:rFonts w:eastAsia="Times New Roman" w:cs="Times New Roman"/>
        <w:color w:val="1F497D" w:themeColor="text2"/>
      </w:rPr>
    </w:pPr>
    <w:r w:rsidRPr="00D208CA">
      <w:rPr>
        <w:rFonts w:eastAsia="Times New Roman" w:cs="Times New Roman"/>
        <w:color w:val="FF0000"/>
      </w:rPr>
      <w:t xml:space="preserve">Vol. </w:t>
    </w:r>
    <w:r w:rsidR="00D208CA" w:rsidRPr="00D208CA">
      <w:rPr>
        <w:rFonts w:eastAsia="Times New Roman" w:cs="Times New Roman"/>
        <w:color w:val="FF0000"/>
      </w:rPr>
      <w:t>XX</w:t>
    </w:r>
    <w:r w:rsidRPr="00D208CA">
      <w:rPr>
        <w:rFonts w:eastAsia="Times New Roman" w:cs="Times New Roman"/>
        <w:color w:val="FF0000"/>
      </w:rPr>
      <w:t xml:space="preserve"> No. </w:t>
    </w:r>
    <w:proofErr w:type="gramStart"/>
    <w:r w:rsidR="00D208CA" w:rsidRPr="00D208CA">
      <w:rPr>
        <w:rFonts w:eastAsia="Times New Roman" w:cs="Times New Roman"/>
        <w:color w:val="FF0000"/>
      </w:rPr>
      <w:t>X</w:t>
    </w:r>
    <w:r w:rsidRPr="00D208CA">
      <w:rPr>
        <w:rFonts w:eastAsia="Times New Roman" w:cs="Times New Roman"/>
        <w:color w:val="FF0000"/>
      </w:rPr>
      <w:t>(</w:t>
    </w:r>
    <w:proofErr w:type="gramEnd"/>
    <w:r w:rsidRPr="00D208CA">
      <w:rPr>
        <w:rFonts w:eastAsia="Times New Roman" w:cs="Times New Roman"/>
        <w:color w:val="FF0000"/>
      </w:rPr>
      <w:t xml:space="preserve">2024): </w:t>
    </w:r>
    <w:r w:rsidR="00D208CA" w:rsidRPr="00D208CA">
      <w:rPr>
        <w:rFonts w:eastAsia="Times New Roman" w:cs="Times New Roman"/>
        <w:color w:val="FF0000"/>
      </w:rPr>
      <w:t>X</w:t>
    </w:r>
    <w:r w:rsidRPr="00D208CA">
      <w:rPr>
        <w:rFonts w:eastAsia="Times New Roman" w:cs="Times New Roman"/>
        <w:color w:val="FF0000"/>
      </w:rPr>
      <w:t>-</w:t>
    </w:r>
    <w:r w:rsidR="00D208CA" w:rsidRPr="00D208CA">
      <w:rPr>
        <w:rFonts w:eastAsia="Times New Roman" w:cs="Times New Roman"/>
        <w:color w:val="FF0000"/>
      </w:rPr>
      <w:t>XX</w:t>
    </w:r>
    <w:r w:rsidRPr="001D7466">
      <w:rPr>
        <w:rFonts w:eastAsia="Times New Roman" w:cs="Times New Roman"/>
        <w:color w:val="1F497D" w:themeColor="text2"/>
      </w:rPr>
      <w:tab/>
    </w:r>
    <w:r w:rsidRPr="001D7466">
      <w:rPr>
        <w:rFonts w:eastAsia="Times New Roman" w:cs="Times New Roman"/>
        <w:color w:val="1F497D" w:themeColor="text2"/>
      </w:rPr>
      <w:tab/>
    </w:r>
    <w:bookmarkEnd w:id="2"/>
    <w:bookmarkEnd w:id="3"/>
    <w:bookmarkEnd w:id="4"/>
    <w:bookmarkEnd w:id="5"/>
    <w:r w:rsidR="00E83234" w:rsidRPr="00E83234">
      <w:rPr>
        <w:rFonts w:eastAsia="Times New Roman" w:cs="Times New Roman"/>
        <w:color w:val="1F497D" w:themeColor="text2"/>
      </w:rPr>
      <w:t>https://journal.unnes.ac.id/journals/LIK</w:t>
    </w:r>
  </w:p>
  <w:p w14:paraId="735F4494" w14:textId="77777777" w:rsidR="00A5273B" w:rsidRPr="001D7466" w:rsidRDefault="00A5273B" w:rsidP="00A5273B">
    <w:pPr>
      <w:pStyle w:val="BodyText"/>
      <w:spacing w:line="14" w:lineRule="auto"/>
      <w:ind w:left="0"/>
      <w:jc w:val="center"/>
      <w:rPr>
        <w:rFonts w:ascii="Times New Roman" w:hAnsi="Times New Roman" w:cs="Times New Roman"/>
        <w:color w:val="1F497D" w:themeColor="text2"/>
        <w:sz w:val="22"/>
        <w:szCs w:val="22"/>
      </w:rPr>
    </w:pPr>
  </w:p>
  <w:p w14:paraId="28D6D6CE" w14:textId="77777777" w:rsidR="00E242DA" w:rsidRPr="001D7466" w:rsidRDefault="00E242DA" w:rsidP="00162C7E">
    <w:pPr>
      <w:pStyle w:val="Header"/>
      <w:rPr>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A29D9"/>
    <w:multiLevelType w:val="hybridMultilevel"/>
    <w:tmpl w:val="D4B82DFE"/>
    <w:lvl w:ilvl="0" w:tplc="0E46E5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044FB6"/>
    <w:multiLevelType w:val="hybridMultilevel"/>
    <w:tmpl w:val="E572EF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276A30"/>
    <w:multiLevelType w:val="hybridMultilevel"/>
    <w:tmpl w:val="036489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CF95C66"/>
    <w:multiLevelType w:val="hybridMultilevel"/>
    <w:tmpl w:val="CEFA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F5667"/>
    <w:multiLevelType w:val="hybridMultilevel"/>
    <w:tmpl w:val="0D9ED968"/>
    <w:lvl w:ilvl="0" w:tplc="F78EB1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6C616AC"/>
    <w:multiLevelType w:val="hybridMultilevel"/>
    <w:tmpl w:val="A9A8387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72171AF3"/>
    <w:multiLevelType w:val="hybridMultilevel"/>
    <w:tmpl w:val="1152D58E"/>
    <w:lvl w:ilvl="0" w:tplc="E07CB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70380"/>
    <w:multiLevelType w:val="hybridMultilevel"/>
    <w:tmpl w:val="A9A8387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505219178">
    <w:abstractNumId w:val="5"/>
  </w:num>
  <w:num w:numId="2" w16cid:durableId="2044549181">
    <w:abstractNumId w:val="7"/>
  </w:num>
  <w:num w:numId="3" w16cid:durableId="2136100530">
    <w:abstractNumId w:val="3"/>
  </w:num>
  <w:num w:numId="4" w16cid:durableId="683671644">
    <w:abstractNumId w:val="6"/>
  </w:num>
  <w:num w:numId="5" w16cid:durableId="2144494241">
    <w:abstractNumId w:val="4"/>
  </w:num>
  <w:num w:numId="6" w16cid:durableId="1951231354">
    <w:abstractNumId w:val="1"/>
  </w:num>
  <w:num w:numId="7" w16cid:durableId="1592546767">
    <w:abstractNumId w:val="2"/>
  </w:num>
  <w:num w:numId="8" w16cid:durableId="44665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DA"/>
    <w:rsid w:val="00005B2B"/>
    <w:rsid w:val="00026A72"/>
    <w:rsid w:val="00096585"/>
    <w:rsid w:val="000A1701"/>
    <w:rsid w:val="000A1E39"/>
    <w:rsid w:val="000C2A65"/>
    <w:rsid w:val="000C4DC4"/>
    <w:rsid w:val="000F4708"/>
    <w:rsid w:val="000F4FD9"/>
    <w:rsid w:val="000F58FB"/>
    <w:rsid w:val="00104CDB"/>
    <w:rsid w:val="00114A0E"/>
    <w:rsid w:val="0012313B"/>
    <w:rsid w:val="001248DA"/>
    <w:rsid w:val="00130806"/>
    <w:rsid w:val="00162C7E"/>
    <w:rsid w:val="001722A6"/>
    <w:rsid w:val="0018040E"/>
    <w:rsid w:val="0018044C"/>
    <w:rsid w:val="00185618"/>
    <w:rsid w:val="001875C5"/>
    <w:rsid w:val="001D7466"/>
    <w:rsid w:val="00210993"/>
    <w:rsid w:val="002273C7"/>
    <w:rsid w:val="002276AF"/>
    <w:rsid w:val="002323F9"/>
    <w:rsid w:val="0025536F"/>
    <w:rsid w:val="00263544"/>
    <w:rsid w:val="00265D77"/>
    <w:rsid w:val="00273C49"/>
    <w:rsid w:val="002B14BB"/>
    <w:rsid w:val="002D2BA3"/>
    <w:rsid w:val="002E5CFC"/>
    <w:rsid w:val="002F7996"/>
    <w:rsid w:val="003066DB"/>
    <w:rsid w:val="003209F9"/>
    <w:rsid w:val="00345BED"/>
    <w:rsid w:val="00356857"/>
    <w:rsid w:val="0037120F"/>
    <w:rsid w:val="003926B0"/>
    <w:rsid w:val="003B1500"/>
    <w:rsid w:val="003B2BA6"/>
    <w:rsid w:val="003C280B"/>
    <w:rsid w:val="003C47B7"/>
    <w:rsid w:val="003D70EB"/>
    <w:rsid w:val="003E02CC"/>
    <w:rsid w:val="003F48C5"/>
    <w:rsid w:val="003F4931"/>
    <w:rsid w:val="0040159E"/>
    <w:rsid w:val="00402B0E"/>
    <w:rsid w:val="004044A2"/>
    <w:rsid w:val="00407B72"/>
    <w:rsid w:val="00423A94"/>
    <w:rsid w:val="00467235"/>
    <w:rsid w:val="0048689D"/>
    <w:rsid w:val="004949CD"/>
    <w:rsid w:val="004B7265"/>
    <w:rsid w:val="004E1452"/>
    <w:rsid w:val="004E42C6"/>
    <w:rsid w:val="004E5391"/>
    <w:rsid w:val="004E7CEA"/>
    <w:rsid w:val="00515BC8"/>
    <w:rsid w:val="00515E86"/>
    <w:rsid w:val="00517319"/>
    <w:rsid w:val="00521F4B"/>
    <w:rsid w:val="005303D3"/>
    <w:rsid w:val="00541D28"/>
    <w:rsid w:val="00546EC5"/>
    <w:rsid w:val="00560007"/>
    <w:rsid w:val="00566011"/>
    <w:rsid w:val="005674DE"/>
    <w:rsid w:val="00572203"/>
    <w:rsid w:val="00590D2C"/>
    <w:rsid w:val="005A02A2"/>
    <w:rsid w:val="005B3DDB"/>
    <w:rsid w:val="005E1477"/>
    <w:rsid w:val="006279A3"/>
    <w:rsid w:val="0064160E"/>
    <w:rsid w:val="00643179"/>
    <w:rsid w:val="00646994"/>
    <w:rsid w:val="00646A40"/>
    <w:rsid w:val="006845A8"/>
    <w:rsid w:val="006A22CB"/>
    <w:rsid w:val="006A4401"/>
    <w:rsid w:val="006B4315"/>
    <w:rsid w:val="006B4EB2"/>
    <w:rsid w:val="006C0EDA"/>
    <w:rsid w:val="006C53B5"/>
    <w:rsid w:val="006C5EBA"/>
    <w:rsid w:val="006F751B"/>
    <w:rsid w:val="007022B8"/>
    <w:rsid w:val="0072296B"/>
    <w:rsid w:val="00724290"/>
    <w:rsid w:val="00736B48"/>
    <w:rsid w:val="007605AE"/>
    <w:rsid w:val="007631B7"/>
    <w:rsid w:val="00764C1E"/>
    <w:rsid w:val="007B5E22"/>
    <w:rsid w:val="007C4B45"/>
    <w:rsid w:val="007D11B8"/>
    <w:rsid w:val="007E6599"/>
    <w:rsid w:val="007F30B0"/>
    <w:rsid w:val="007F563D"/>
    <w:rsid w:val="00825D90"/>
    <w:rsid w:val="008474C6"/>
    <w:rsid w:val="008B58B6"/>
    <w:rsid w:val="008F748F"/>
    <w:rsid w:val="009137AC"/>
    <w:rsid w:val="009807CC"/>
    <w:rsid w:val="00A10D97"/>
    <w:rsid w:val="00A216B4"/>
    <w:rsid w:val="00A423DF"/>
    <w:rsid w:val="00A5273B"/>
    <w:rsid w:val="00A86526"/>
    <w:rsid w:val="00AB20F8"/>
    <w:rsid w:val="00AD475E"/>
    <w:rsid w:val="00AE34C2"/>
    <w:rsid w:val="00AE4255"/>
    <w:rsid w:val="00B242E3"/>
    <w:rsid w:val="00B2662E"/>
    <w:rsid w:val="00B27C30"/>
    <w:rsid w:val="00B6097D"/>
    <w:rsid w:val="00B723E2"/>
    <w:rsid w:val="00B77E6C"/>
    <w:rsid w:val="00B86591"/>
    <w:rsid w:val="00B93A38"/>
    <w:rsid w:val="00BC4019"/>
    <w:rsid w:val="00BD0FCB"/>
    <w:rsid w:val="00BF0159"/>
    <w:rsid w:val="00C00971"/>
    <w:rsid w:val="00C023BA"/>
    <w:rsid w:val="00C11D97"/>
    <w:rsid w:val="00C16993"/>
    <w:rsid w:val="00C24B6E"/>
    <w:rsid w:val="00C37842"/>
    <w:rsid w:val="00C44CBB"/>
    <w:rsid w:val="00C56F2A"/>
    <w:rsid w:val="00C61C02"/>
    <w:rsid w:val="00C70131"/>
    <w:rsid w:val="00C7158B"/>
    <w:rsid w:val="00CC5449"/>
    <w:rsid w:val="00D02D9C"/>
    <w:rsid w:val="00D15CF0"/>
    <w:rsid w:val="00D208CA"/>
    <w:rsid w:val="00D20DB0"/>
    <w:rsid w:val="00D30896"/>
    <w:rsid w:val="00D43FAC"/>
    <w:rsid w:val="00D6688D"/>
    <w:rsid w:val="00D9406F"/>
    <w:rsid w:val="00DC0496"/>
    <w:rsid w:val="00DC1CF6"/>
    <w:rsid w:val="00DC599C"/>
    <w:rsid w:val="00DD31EB"/>
    <w:rsid w:val="00DF67B9"/>
    <w:rsid w:val="00E127A8"/>
    <w:rsid w:val="00E16812"/>
    <w:rsid w:val="00E22351"/>
    <w:rsid w:val="00E242DA"/>
    <w:rsid w:val="00E25A40"/>
    <w:rsid w:val="00E67D6D"/>
    <w:rsid w:val="00E75E6A"/>
    <w:rsid w:val="00E81709"/>
    <w:rsid w:val="00E8170B"/>
    <w:rsid w:val="00E83234"/>
    <w:rsid w:val="00E93511"/>
    <w:rsid w:val="00E956E8"/>
    <w:rsid w:val="00EC755B"/>
    <w:rsid w:val="00EE66A8"/>
    <w:rsid w:val="00EE6847"/>
    <w:rsid w:val="00EF41CF"/>
    <w:rsid w:val="00F01A26"/>
    <w:rsid w:val="00F050BD"/>
    <w:rsid w:val="00F3679F"/>
    <w:rsid w:val="00F45DE6"/>
    <w:rsid w:val="00F846CD"/>
    <w:rsid w:val="00F847D6"/>
    <w:rsid w:val="00FB4357"/>
    <w:rsid w:val="00FB5282"/>
    <w:rsid w:val="00FD7FF5"/>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942F"/>
  <w15:docId w15:val="{7097C5AD-A143-41D9-B49C-6864C4D8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jc w:val="both"/>
    </w:pPr>
    <w:rPr>
      <w:sz w:val="20"/>
      <w:szCs w:val="20"/>
    </w:rPr>
  </w:style>
  <w:style w:type="paragraph" w:styleId="Title">
    <w:name w:val="Title"/>
    <w:basedOn w:val="Normal"/>
    <w:uiPriority w:val="10"/>
    <w:qFormat/>
    <w:pPr>
      <w:spacing w:before="135"/>
      <w:ind w:left="140" w:right="165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56"/>
    </w:pPr>
  </w:style>
  <w:style w:type="character" w:customStyle="1" w:styleId="fontstyle01">
    <w:name w:val="fontstyle01"/>
    <w:basedOn w:val="DefaultParagraphFont"/>
    <w:rsid w:val="00C023BA"/>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unhideWhenUsed/>
    <w:qFormat/>
    <w:rsid w:val="000F4FD9"/>
    <w:pPr>
      <w:tabs>
        <w:tab w:val="center" w:pos="4680"/>
        <w:tab w:val="right" w:pos="9360"/>
      </w:tabs>
    </w:pPr>
  </w:style>
  <w:style w:type="character" w:customStyle="1" w:styleId="HeaderChar">
    <w:name w:val="Header Char"/>
    <w:basedOn w:val="DefaultParagraphFont"/>
    <w:link w:val="Header"/>
    <w:uiPriority w:val="99"/>
    <w:qFormat/>
    <w:rsid w:val="000F4FD9"/>
    <w:rPr>
      <w:rFonts w:ascii="Cambria" w:eastAsia="Cambria" w:hAnsi="Cambria" w:cs="Cambria"/>
    </w:rPr>
  </w:style>
  <w:style w:type="paragraph" w:styleId="Footer">
    <w:name w:val="footer"/>
    <w:basedOn w:val="Normal"/>
    <w:link w:val="FooterChar"/>
    <w:uiPriority w:val="99"/>
    <w:unhideWhenUsed/>
    <w:rsid w:val="000F4FD9"/>
    <w:pPr>
      <w:tabs>
        <w:tab w:val="center" w:pos="4680"/>
        <w:tab w:val="right" w:pos="9360"/>
      </w:tabs>
    </w:pPr>
  </w:style>
  <w:style w:type="character" w:customStyle="1" w:styleId="FooterChar">
    <w:name w:val="Footer Char"/>
    <w:basedOn w:val="DefaultParagraphFont"/>
    <w:link w:val="Footer"/>
    <w:uiPriority w:val="99"/>
    <w:rsid w:val="000F4FD9"/>
    <w:rPr>
      <w:rFonts w:ascii="Cambria" w:eastAsia="Cambria" w:hAnsi="Cambria" w:cs="Cambria"/>
    </w:rPr>
  </w:style>
  <w:style w:type="table" w:styleId="PlainTable2">
    <w:name w:val="Plain Table 2"/>
    <w:basedOn w:val="TableNormal"/>
    <w:uiPriority w:val="42"/>
    <w:rsid w:val="00E25A40"/>
    <w:pPr>
      <w:widowControl/>
      <w:autoSpaceDE/>
      <w:autoSpaceDN/>
    </w:pPr>
    <w:rPr>
      <w:rFonts w:eastAsiaTheme="minorEastAsia" w:cs="Times New Roman"/>
      <w:sz w:val="24"/>
      <w:szCs w:val="24"/>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86526"/>
    <w:rPr>
      <w:color w:val="0000FF" w:themeColor="hyperlink"/>
      <w:u w:val="single"/>
    </w:rPr>
  </w:style>
  <w:style w:type="character" w:styleId="UnresolvedMention">
    <w:name w:val="Unresolved Mention"/>
    <w:basedOn w:val="DefaultParagraphFont"/>
    <w:uiPriority w:val="99"/>
    <w:semiHidden/>
    <w:unhideWhenUsed/>
    <w:rsid w:val="00A86526"/>
    <w:rPr>
      <w:color w:val="605E5C"/>
      <w:shd w:val="clear" w:color="auto" w:fill="E1DFDD"/>
    </w:rPr>
  </w:style>
  <w:style w:type="table" w:styleId="TableGrid">
    <w:name w:val="Table Grid"/>
    <w:basedOn w:val="TableNormal"/>
    <w:uiPriority w:val="39"/>
    <w:rsid w:val="001875C5"/>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6993"/>
    <w:rPr>
      <w:i/>
      <w:iCs/>
    </w:rPr>
  </w:style>
  <w:style w:type="character" w:styleId="CommentReference">
    <w:name w:val="annotation reference"/>
    <w:basedOn w:val="DefaultParagraphFont"/>
    <w:uiPriority w:val="99"/>
    <w:semiHidden/>
    <w:unhideWhenUsed/>
    <w:rsid w:val="00D43FAC"/>
    <w:rPr>
      <w:sz w:val="16"/>
      <w:szCs w:val="16"/>
    </w:rPr>
  </w:style>
  <w:style w:type="paragraph" w:styleId="CommentText">
    <w:name w:val="annotation text"/>
    <w:basedOn w:val="Normal"/>
    <w:link w:val="CommentTextChar"/>
    <w:uiPriority w:val="99"/>
    <w:unhideWhenUsed/>
    <w:rsid w:val="00D43FAC"/>
    <w:rPr>
      <w:sz w:val="20"/>
      <w:szCs w:val="20"/>
    </w:rPr>
  </w:style>
  <w:style w:type="character" w:customStyle="1" w:styleId="CommentTextChar">
    <w:name w:val="Comment Text Char"/>
    <w:basedOn w:val="DefaultParagraphFont"/>
    <w:link w:val="CommentText"/>
    <w:uiPriority w:val="99"/>
    <w:rsid w:val="00D43FAC"/>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43FAC"/>
    <w:rPr>
      <w:b/>
      <w:bCs/>
    </w:rPr>
  </w:style>
  <w:style w:type="character" w:customStyle="1" w:styleId="CommentSubjectChar">
    <w:name w:val="Comment Subject Char"/>
    <w:basedOn w:val="CommentTextChar"/>
    <w:link w:val="CommentSubject"/>
    <w:uiPriority w:val="99"/>
    <w:semiHidden/>
    <w:rsid w:val="00D43FAC"/>
    <w:rPr>
      <w:rFonts w:ascii="Cambria" w:eastAsia="Cambria" w:hAnsi="Cambria" w:cs="Cambria"/>
      <w:b/>
      <w:bCs/>
      <w:sz w:val="20"/>
      <w:szCs w:val="20"/>
    </w:rPr>
  </w:style>
  <w:style w:type="character" w:styleId="PlaceholderText">
    <w:name w:val="Placeholder Text"/>
    <w:basedOn w:val="DefaultParagraphFont"/>
    <w:uiPriority w:val="99"/>
    <w:semiHidden/>
    <w:rsid w:val="00A216B4"/>
    <w:rPr>
      <w:color w:val="808080"/>
    </w:rPr>
  </w:style>
  <w:style w:type="paragraph" w:customStyle="1" w:styleId="msonormal0">
    <w:name w:val="msonormal"/>
    <w:basedOn w:val="Normal"/>
    <w:rsid w:val="00A216B4"/>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674DE"/>
    <w:rPr>
      <w:color w:val="800080" w:themeColor="followedHyperlink"/>
      <w:u w:val="single"/>
    </w:rPr>
  </w:style>
  <w:style w:type="paragraph" w:customStyle="1" w:styleId="jbd-diterima">
    <w:name w:val="jbd-diterima"/>
    <w:basedOn w:val="Normal"/>
    <w:uiPriority w:val="99"/>
    <w:qFormat/>
    <w:rsid w:val="00B242E3"/>
    <w:pPr>
      <w:autoSpaceDE/>
      <w:autoSpaceDN/>
      <w:spacing w:before="240" w:after="480"/>
      <w:jc w:val="center"/>
    </w:pPr>
    <w:rPr>
      <w:rFonts w:ascii="Times New Roman" w:eastAsia="Batang" w:hAnsi="Times New Roman" w:cs="Arial"/>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7078">
      <w:bodyDiv w:val="1"/>
      <w:marLeft w:val="0"/>
      <w:marRight w:val="0"/>
      <w:marTop w:val="0"/>
      <w:marBottom w:val="0"/>
      <w:divBdr>
        <w:top w:val="none" w:sz="0" w:space="0" w:color="auto"/>
        <w:left w:val="none" w:sz="0" w:space="0" w:color="auto"/>
        <w:bottom w:val="none" w:sz="0" w:space="0" w:color="auto"/>
        <w:right w:val="none" w:sz="0" w:space="0" w:color="auto"/>
      </w:divBdr>
      <w:divsChild>
        <w:div w:id="1917668574">
          <w:marLeft w:val="480"/>
          <w:marRight w:val="0"/>
          <w:marTop w:val="0"/>
          <w:marBottom w:val="0"/>
          <w:divBdr>
            <w:top w:val="none" w:sz="0" w:space="0" w:color="auto"/>
            <w:left w:val="none" w:sz="0" w:space="0" w:color="auto"/>
            <w:bottom w:val="none" w:sz="0" w:space="0" w:color="auto"/>
            <w:right w:val="none" w:sz="0" w:space="0" w:color="auto"/>
          </w:divBdr>
        </w:div>
      </w:divsChild>
    </w:div>
    <w:div w:id="55399814">
      <w:bodyDiv w:val="1"/>
      <w:marLeft w:val="0"/>
      <w:marRight w:val="0"/>
      <w:marTop w:val="0"/>
      <w:marBottom w:val="0"/>
      <w:divBdr>
        <w:top w:val="none" w:sz="0" w:space="0" w:color="auto"/>
        <w:left w:val="none" w:sz="0" w:space="0" w:color="auto"/>
        <w:bottom w:val="none" w:sz="0" w:space="0" w:color="auto"/>
        <w:right w:val="none" w:sz="0" w:space="0" w:color="auto"/>
      </w:divBdr>
      <w:divsChild>
        <w:div w:id="1072583382">
          <w:marLeft w:val="480"/>
          <w:marRight w:val="0"/>
          <w:marTop w:val="0"/>
          <w:marBottom w:val="0"/>
          <w:divBdr>
            <w:top w:val="none" w:sz="0" w:space="0" w:color="auto"/>
            <w:left w:val="none" w:sz="0" w:space="0" w:color="auto"/>
            <w:bottom w:val="none" w:sz="0" w:space="0" w:color="auto"/>
            <w:right w:val="none" w:sz="0" w:space="0" w:color="auto"/>
          </w:divBdr>
        </w:div>
        <w:div w:id="90780557">
          <w:marLeft w:val="480"/>
          <w:marRight w:val="0"/>
          <w:marTop w:val="0"/>
          <w:marBottom w:val="0"/>
          <w:divBdr>
            <w:top w:val="none" w:sz="0" w:space="0" w:color="auto"/>
            <w:left w:val="none" w:sz="0" w:space="0" w:color="auto"/>
            <w:bottom w:val="none" w:sz="0" w:space="0" w:color="auto"/>
            <w:right w:val="none" w:sz="0" w:space="0" w:color="auto"/>
          </w:divBdr>
        </w:div>
        <w:div w:id="840662430">
          <w:marLeft w:val="480"/>
          <w:marRight w:val="0"/>
          <w:marTop w:val="0"/>
          <w:marBottom w:val="0"/>
          <w:divBdr>
            <w:top w:val="none" w:sz="0" w:space="0" w:color="auto"/>
            <w:left w:val="none" w:sz="0" w:space="0" w:color="auto"/>
            <w:bottom w:val="none" w:sz="0" w:space="0" w:color="auto"/>
            <w:right w:val="none" w:sz="0" w:space="0" w:color="auto"/>
          </w:divBdr>
        </w:div>
        <w:div w:id="973484255">
          <w:marLeft w:val="480"/>
          <w:marRight w:val="0"/>
          <w:marTop w:val="0"/>
          <w:marBottom w:val="0"/>
          <w:divBdr>
            <w:top w:val="none" w:sz="0" w:space="0" w:color="auto"/>
            <w:left w:val="none" w:sz="0" w:space="0" w:color="auto"/>
            <w:bottom w:val="none" w:sz="0" w:space="0" w:color="auto"/>
            <w:right w:val="none" w:sz="0" w:space="0" w:color="auto"/>
          </w:divBdr>
        </w:div>
      </w:divsChild>
    </w:div>
    <w:div w:id="56560893">
      <w:bodyDiv w:val="1"/>
      <w:marLeft w:val="0"/>
      <w:marRight w:val="0"/>
      <w:marTop w:val="0"/>
      <w:marBottom w:val="0"/>
      <w:divBdr>
        <w:top w:val="none" w:sz="0" w:space="0" w:color="auto"/>
        <w:left w:val="none" w:sz="0" w:space="0" w:color="auto"/>
        <w:bottom w:val="none" w:sz="0" w:space="0" w:color="auto"/>
        <w:right w:val="none" w:sz="0" w:space="0" w:color="auto"/>
      </w:divBdr>
      <w:divsChild>
        <w:div w:id="1639065346">
          <w:marLeft w:val="480"/>
          <w:marRight w:val="0"/>
          <w:marTop w:val="0"/>
          <w:marBottom w:val="0"/>
          <w:divBdr>
            <w:top w:val="none" w:sz="0" w:space="0" w:color="auto"/>
            <w:left w:val="none" w:sz="0" w:space="0" w:color="auto"/>
            <w:bottom w:val="none" w:sz="0" w:space="0" w:color="auto"/>
            <w:right w:val="none" w:sz="0" w:space="0" w:color="auto"/>
          </w:divBdr>
        </w:div>
      </w:divsChild>
    </w:div>
    <w:div w:id="141586952">
      <w:bodyDiv w:val="1"/>
      <w:marLeft w:val="0"/>
      <w:marRight w:val="0"/>
      <w:marTop w:val="0"/>
      <w:marBottom w:val="0"/>
      <w:divBdr>
        <w:top w:val="none" w:sz="0" w:space="0" w:color="auto"/>
        <w:left w:val="none" w:sz="0" w:space="0" w:color="auto"/>
        <w:bottom w:val="none" w:sz="0" w:space="0" w:color="auto"/>
        <w:right w:val="none" w:sz="0" w:space="0" w:color="auto"/>
      </w:divBdr>
    </w:div>
    <w:div w:id="166023444">
      <w:bodyDiv w:val="1"/>
      <w:marLeft w:val="0"/>
      <w:marRight w:val="0"/>
      <w:marTop w:val="0"/>
      <w:marBottom w:val="0"/>
      <w:divBdr>
        <w:top w:val="none" w:sz="0" w:space="0" w:color="auto"/>
        <w:left w:val="none" w:sz="0" w:space="0" w:color="auto"/>
        <w:bottom w:val="none" w:sz="0" w:space="0" w:color="auto"/>
        <w:right w:val="none" w:sz="0" w:space="0" w:color="auto"/>
      </w:divBdr>
      <w:divsChild>
        <w:div w:id="1178736419">
          <w:marLeft w:val="480"/>
          <w:marRight w:val="0"/>
          <w:marTop w:val="0"/>
          <w:marBottom w:val="0"/>
          <w:divBdr>
            <w:top w:val="none" w:sz="0" w:space="0" w:color="auto"/>
            <w:left w:val="none" w:sz="0" w:space="0" w:color="auto"/>
            <w:bottom w:val="none" w:sz="0" w:space="0" w:color="auto"/>
            <w:right w:val="none" w:sz="0" w:space="0" w:color="auto"/>
          </w:divBdr>
        </w:div>
        <w:div w:id="491457056">
          <w:marLeft w:val="480"/>
          <w:marRight w:val="0"/>
          <w:marTop w:val="0"/>
          <w:marBottom w:val="0"/>
          <w:divBdr>
            <w:top w:val="none" w:sz="0" w:space="0" w:color="auto"/>
            <w:left w:val="none" w:sz="0" w:space="0" w:color="auto"/>
            <w:bottom w:val="none" w:sz="0" w:space="0" w:color="auto"/>
            <w:right w:val="none" w:sz="0" w:space="0" w:color="auto"/>
          </w:divBdr>
        </w:div>
      </w:divsChild>
    </w:div>
    <w:div w:id="257951458">
      <w:bodyDiv w:val="1"/>
      <w:marLeft w:val="0"/>
      <w:marRight w:val="0"/>
      <w:marTop w:val="0"/>
      <w:marBottom w:val="0"/>
      <w:divBdr>
        <w:top w:val="none" w:sz="0" w:space="0" w:color="auto"/>
        <w:left w:val="none" w:sz="0" w:space="0" w:color="auto"/>
        <w:bottom w:val="none" w:sz="0" w:space="0" w:color="auto"/>
        <w:right w:val="none" w:sz="0" w:space="0" w:color="auto"/>
      </w:divBdr>
    </w:div>
    <w:div w:id="296108183">
      <w:bodyDiv w:val="1"/>
      <w:marLeft w:val="0"/>
      <w:marRight w:val="0"/>
      <w:marTop w:val="0"/>
      <w:marBottom w:val="0"/>
      <w:divBdr>
        <w:top w:val="none" w:sz="0" w:space="0" w:color="auto"/>
        <w:left w:val="none" w:sz="0" w:space="0" w:color="auto"/>
        <w:bottom w:val="none" w:sz="0" w:space="0" w:color="auto"/>
        <w:right w:val="none" w:sz="0" w:space="0" w:color="auto"/>
      </w:divBdr>
    </w:div>
    <w:div w:id="705788054">
      <w:bodyDiv w:val="1"/>
      <w:marLeft w:val="0"/>
      <w:marRight w:val="0"/>
      <w:marTop w:val="0"/>
      <w:marBottom w:val="0"/>
      <w:divBdr>
        <w:top w:val="none" w:sz="0" w:space="0" w:color="auto"/>
        <w:left w:val="none" w:sz="0" w:space="0" w:color="auto"/>
        <w:bottom w:val="none" w:sz="0" w:space="0" w:color="auto"/>
        <w:right w:val="none" w:sz="0" w:space="0" w:color="auto"/>
      </w:divBdr>
    </w:div>
    <w:div w:id="743069157">
      <w:bodyDiv w:val="1"/>
      <w:marLeft w:val="0"/>
      <w:marRight w:val="0"/>
      <w:marTop w:val="0"/>
      <w:marBottom w:val="0"/>
      <w:divBdr>
        <w:top w:val="none" w:sz="0" w:space="0" w:color="auto"/>
        <w:left w:val="none" w:sz="0" w:space="0" w:color="auto"/>
        <w:bottom w:val="none" w:sz="0" w:space="0" w:color="auto"/>
        <w:right w:val="none" w:sz="0" w:space="0" w:color="auto"/>
      </w:divBdr>
    </w:div>
    <w:div w:id="747963928">
      <w:bodyDiv w:val="1"/>
      <w:marLeft w:val="0"/>
      <w:marRight w:val="0"/>
      <w:marTop w:val="0"/>
      <w:marBottom w:val="0"/>
      <w:divBdr>
        <w:top w:val="none" w:sz="0" w:space="0" w:color="auto"/>
        <w:left w:val="none" w:sz="0" w:space="0" w:color="auto"/>
        <w:bottom w:val="none" w:sz="0" w:space="0" w:color="auto"/>
        <w:right w:val="none" w:sz="0" w:space="0" w:color="auto"/>
      </w:divBdr>
      <w:divsChild>
        <w:div w:id="2069453995">
          <w:marLeft w:val="480"/>
          <w:marRight w:val="0"/>
          <w:marTop w:val="0"/>
          <w:marBottom w:val="0"/>
          <w:divBdr>
            <w:top w:val="none" w:sz="0" w:space="0" w:color="auto"/>
            <w:left w:val="none" w:sz="0" w:space="0" w:color="auto"/>
            <w:bottom w:val="none" w:sz="0" w:space="0" w:color="auto"/>
            <w:right w:val="none" w:sz="0" w:space="0" w:color="auto"/>
          </w:divBdr>
        </w:div>
        <w:div w:id="970326752">
          <w:marLeft w:val="480"/>
          <w:marRight w:val="0"/>
          <w:marTop w:val="0"/>
          <w:marBottom w:val="0"/>
          <w:divBdr>
            <w:top w:val="none" w:sz="0" w:space="0" w:color="auto"/>
            <w:left w:val="none" w:sz="0" w:space="0" w:color="auto"/>
            <w:bottom w:val="none" w:sz="0" w:space="0" w:color="auto"/>
            <w:right w:val="none" w:sz="0" w:space="0" w:color="auto"/>
          </w:divBdr>
        </w:div>
        <w:div w:id="1601797437">
          <w:marLeft w:val="480"/>
          <w:marRight w:val="0"/>
          <w:marTop w:val="0"/>
          <w:marBottom w:val="0"/>
          <w:divBdr>
            <w:top w:val="none" w:sz="0" w:space="0" w:color="auto"/>
            <w:left w:val="none" w:sz="0" w:space="0" w:color="auto"/>
            <w:bottom w:val="none" w:sz="0" w:space="0" w:color="auto"/>
            <w:right w:val="none" w:sz="0" w:space="0" w:color="auto"/>
          </w:divBdr>
        </w:div>
        <w:div w:id="918948165">
          <w:marLeft w:val="480"/>
          <w:marRight w:val="0"/>
          <w:marTop w:val="0"/>
          <w:marBottom w:val="0"/>
          <w:divBdr>
            <w:top w:val="none" w:sz="0" w:space="0" w:color="auto"/>
            <w:left w:val="none" w:sz="0" w:space="0" w:color="auto"/>
            <w:bottom w:val="none" w:sz="0" w:space="0" w:color="auto"/>
            <w:right w:val="none" w:sz="0" w:space="0" w:color="auto"/>
          </w:divBdr>
        </w:div>
        <w:div w:id="342509664">
          <w:marLeft w:val="480"/>
          <w:marRight w:val="0"/>
          <w:marTop w:val="0"/>
          <w:marBottom w:val="0"/>
          <w:divBdr>
            <w:top w:val="none" w:sz="0" w:space="0" w:color="auto"/>
            <w:left w:val="none" w:sz="0" w:space="0" w:color="auto"/>
            <w:bottom w:val="none" w:sz="0" w:space="0" w:color="auto"/>
            <w:right w:val="none" w:sz="0" w:space="0" w:color="auto"/>
          </w:divBdr>
        </w:div>
      </w:divsChild>
    </w:div>
    <w:div w:id="1671829788">
      <w:bodyDiv w:val="1"/>
      <w:marLeft w:val="0"/>
      <w:marRight w:val="0"/>
      <w:marTop w:val="0"/>
      <w:marBottom w:val="0"/>
      <w:divBdr>
        <w:top w:val="none" w:sz="0" w:space="0" w:color="auto"/>
        <w:left w:val="none" w:sz="0" w:space="0" w:color="auto"/>
        <w:bottom w:val="none" w:sz="0" w:space="0" w:color="auto"/>
        <w:right w:val="none" w:sz="0" w:space="0" w:color="auto"/>
      </w:divBdr>
    </w:div>
    <w:div w:id="1694847032">
      <w:bodyDiv w:val="1"/>
      <w:marLeft w:val="0"/>
      <w:marRight w:val="0"/>
      <w:marTop w:val="0"/>
      <w:marBottom w:val="0"/>
      <w:divBdr>
        <w:top w:val="none" w:sz="0" w:space="0" w:color="auto"/>
        <w:left w:val="none" w:sz="0" w:space="0" w:color="auto"/>
        <w:bottom w:val="none" w:sz="0" w:space="0" w:color="auto"/>
        <w:right w:val="none" w:sz="0" w:space="0" w:color="auto"/>
      </w:divBdr>
      <w:divsChild>
        <w:div w:id="1219241221">
          <w:marLeft w:val="480"/>
          <w:marRight w:val="0"/>
          <w:marTop w:val="0"/>
          <w:marBottom w:val="0"/>
          <w:divBdr>
            <w:top w:val="none" w:sz="0" w:space="0" w:color="auto"/>
            <w:left w:val="none" w:sz="0" w:space="0" w:color="auto"/>
            <w:bottom w:val="none" w:sz="0" w:space="0" w:color="auto"/>
            <w:right w:val="none" w:sz="0" w:space="0" w:color="auto"/>
          </w:divBdr>
        </w:div>
        <w:div w:id="1396855599">
          <w:marLeft w:val="480"/>
          <w:marRight w:val="0"/>
          <w:marTop w:val="0"/>
          <w:marBottom w:val="0"/>
          <w:divBdr>
            <w:top w:val="none" w:sz="0" w:space="0" w:color="auto"/>
            <w:left w:val="none" w:sz="0" w:space="0" w:color="auto"/>
            <w:bottom w:val="none" w:sz="0" w:space="0" w:color="auto"/>
            <w:right w:val="none" w:sz="0" w:space="0" w:color="auto"/>
          </w:divBdr>
        </w:div>
      </w:divsChild>
    </w:div>
    <w:div w:id="1824930071">
      <w:bodyDiv w:val="1"/>
      <w:marLeft w:val="0"/>
      <w:marRight w:val="0"/>
      <w:marTop w:val="0"/>
      <w:marBottom w:val="0"/>
      <w:divBdr>
        <w:top w:val="none" w:sz="0" w:space="0" w:color="auto"/>
        <w:left w:val="none" w:sz="0" w:space="0" w:color="auto"/>
        <w:bottom w:val="none" w:sz="0" w:space="0" w:color="auto"/>
        <w:right w:val="none" w:sz="0" w:space="0" w:color="auto"/>
      </w:divBdr>
      <w:divsChild>
        <w:div w:id="546183292">
          <w:marLeft w:val="480"/>
          <w:marRight w:val="0"/>
          <w:marTop w:val="0"/>
          <w:marBottom w:val="0"/>
          <w:divBdr>
            <w:top w:val="none" w:sz="0" w:space="0" w:color="auto"/>
            <w:left w:val="none" w:sz="0" w:space="0" w:color="auto"/>
            <w:bottom w:val="none" w:sz="0" w:space="0" w:color="auto"/>
            <w:right w:val="none" w:sz="0" w:space="0" w:color="auto"/>
          </w:divBdr>
        </w:div>
      </w:divsChild>
    </w:div>
    <w:div w:id="1856530214">
      <w:bodyDiv w:val="1"/>
      <w:marLeft w:val="0"/>
      <w:marRight w:val="0"/>
      <w:marTop w:val="0"/>
      <w:marBottom w:val="0"/>
      <w:divBdr>
        <w:top w:val="none" w:sz="0" w:space="0" w:color="auto"/>
        <w:left w:val="none" w:sz="0" w:space="0" w:color="auto"/>
        <w:bottom w:val="none" w:sz="0" w:space="0" w:color="auto"/>
        <w:right w:val="none" w:sz="0" w:space="0" w:color="auto"/>
      </w:divBdr>
    </w:div>
    <w:div w:id="1986273428">
      <w:bodyDiv w:val="1"/>
      <w:marLeft w:val="0"/>
      <w:marRight w:val="0"/>
      <w:marTop w:val="0"/>
      <w:marBottom w:val="0"/>
      <w:divBdr>
        <w:top w:val="none" w:sz="0" w:space="0" w:color="auto"/>
        <w:left w:val="none" w:sz="0" w:space="0" w:color="auto"/>
        <w:bottom w:val="none" w:sz="0" w:space="0" w:color="auto"/>
        <w:right w:val="none" w:sz="0" w:space="0" w:color="auto"/>
      </w:divBdr>
    </w:div>
    <w:div w:id="2064526702">
      <w:bodyDiv w:val="1"/>
      <w:marLeft w:val="0"/>
      <w:marRight w:val="0"/>
      <w:marTop w:val="0"/>
      <w:marBottom w:val="0"/>
      <w:divBdr>
        <w:top w:val="none" w:sz="0" w:space="0" w:color="auto"/>
        <w:left w:val="none" w:sz="0" w:space="0" w:color="auto"/>
        <w:bottom w:val="none" w:sz="0" w:space="0" w:color="auto"/>
        <w:right w:val="none" w:sz="0" w:space="0" w:color="auto"/>
      </w:divBdr>
      <w:divsChild>
        <w:div w:id="1780375480">
          <w:marLeft w:val="480"/>
          <w:marRight w:val="0"/>
          <w:marTop w:val="0"/>
          <w:marBottom w:val="0"/>
          <w:divBdr>
            <w:top w:val="none" w:sz="0" w:space="0" w:color="auto"/>
            <w:left w:val="none" w:sz="0" w:space="0" w:color="auto"/>
            <w:bottom w:val="none" w:sz="0" w:space="0" w:color="auto"/>
            <w:right w:val="none" w:sz="0" w:space="0" w:color="auto"/>
          </w:divBdr>
        </w:div>
        <w:div w:id="994793883">
          <w:marLeft w:val="480"/>
          <w:marRight w:val="0"/>
          <w:marTop w:val="0"/>
          <w:marBottom w:val="0"/>
          <w:divBdr>
            <w:top w:val="none" w:sz="0" w:space="0" w:color="auto"/>
            <w:left w:val="none" w:sz="0" w:space="0" w:color="auto"/>
            <w:bottom w:val="none" w:sz="0" w:space="0" w:color="auto"/>
            <w:right w:val="none" w:sz="0" w:space="0" w:color="auto"/>
          </w:divBdr>
        </w:div>
        <w:div w:id="671831693">
          <w:marLeft w:val="480"/>
          <w:marRight w:val="0"/>
          <w:marTop w:val="0"/>
          <w:marBottom w:val="0"/>
          <w:divBdr>
            <w:top w:val="none" w:sz="0" w:space="0" w:color="auto"/>
            <w:left w:val="none" w:sz="0" w:space="0" w:color="auto"/>
            <w:bottom w:val="none" w:sz="0" w:space="0" w:color="auto"/>
            <w:right w:val="none" w:sz="0" w:space="0" w:color="auto"/>
          </w:divBdr>
        </w:div>
      </w:divsChild>
    </w:div>
    <w:div w:id="2090492268">
      <w:bodyDiv w:val="1"/>
      <w:marLeft w:val="0"/>
      <w:marRight w:val="0"/>
      <w:marTop w:val="0"/>
      <w:marBottom w:val="0"/>
      <w:divBdr>
        <w:top w:val="none" w:sz="0" w:space="0" w:color="auto"/>
        <w:left w:val="none" w:sz="0" w:space="0" w:color="auto"/>
        <w:bottom w:val="none" w:sz="0" w:space="0" w:color="auto"/>
        <w:right w:val="none" w:sz="0" w:space="0" w:color="auto"/>
      </w:divBdr>
      <w:divsChild>
        <w:div w:id="5600280">
          <w:marLeft w:val="480"/>
          <w:marRight w:val="0"/>
          <w:marTop w:val="0"/>
          <w:marBottom w:val="0"/>
          <w:divBdr>
            <w:top w:val="none" w:sz="0" w:space="0" w:color="auto"/>
            <w:left w:val="none" w:sz="0" w:space="0" w:color="auto"/>
            <w:bottom w:val="none" w:sz="0" w:space="0" w:color="auto"/>
            <w:right w:val="none" w:sz="0" w:space="0" w:color="auto"/>
          </w:divBdr>
        </w:div>
        <w:div w:id="1792551343">
          <w:marLeft w:val="480"/>
          <w:marRight w:val="0"/>
          <w:marTop w:val="0"/>
          <w:marBottom w:val="0"/>
          <w:divBdr>
            <w:top w:val="none" w:sz="0" w:space="0" w:color="auto"/>
            <w:left w:val="none" w:sz="0" w:space="0" w:color="auto"/>
            <w:bottom w:val="none" w:sz="0" w:space="0" w:color="auto"/>
            <w:right w:val="none" w:sz="0" w:space="0" w:color="auto"/>
          </w:divBdr>
        </w:div>
        <w:div w:id="681860983">
          <w:marLeft w:val="480"/>
          <w:marRight w:val="0"/>
          <w:marTop w:val="0"/>
          <w:marBottom w:val="0"/>
          <w:divBdr>
            <w:top w:val="none" w:sz="0" w:space="0" w:color="auto"/>
            <w:left w:val="none" w:sz="0" w:space="0" w:color="auto"/>
            <w:bottom w:val="none" w:sz="0" w:space="0" w:color="auto"/>
            <w:right w:val="none" w:sz="0" w:space="0" w:color="auto"/>
          </w:divBdr>
        </w:div>
        <w:div w:id="46078541">
          <w:marLeft w:val="480"/>
          <w:marRight w:val="0"/>
          <w:marTop w:val="0"/>
          <w:marBottom w:val="0"/>
          <w:divBdr>
            <w:top w:val="none" w:sz="0" w:space="0" w:color="auto"/>
            <w:left w:val="none" w:sz="0" w:space="0" w:color="auto"/>
            <w:bottom w:val="none" w:sz="0" w:space="0" w:color="auto"/>
            <w:right w:val="none" w:sz="0" w:space="0" w:color="auto"/>
          </w:divBdr>
        </w:div>
        <w:div w:id="28385259">
          <w:marLeft w:val="480"/>
          <w:marRight w:val="0"/>
          <w:marTop w:val="0"/>
          <w:marBottom w:val="0"/>
          <w:divBdr>
            <w:top w:val="none" w:sz="0" w:space="0" w:color="auto"/>
            <w:left w:val="none" w:sz="0" w:space="0" w:color="auto"/>
            <w:bottom w:val="none" w:sz="0" w:space="0" w:color="auto"/>
            <w:right w:val="none" w:sz="0" w:space="0" w:color="auto"/>
          </w:divBdr>
        </w:div>
      </w:divsChild>
    </w:div>
    <w:div w:id="2100904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9313152.2024.2318967" TargetMode="External"/><Relationship Id="rId18" Type="http://schemas.openxmlformats.org/officeDocument/2006/relationships/hyperlink" Target="https://data.europa.eu/doi/10.2801/215705" TargetMode="External"/><Relationship Id="rId26" Type="http://schemas.openxmlformats.org/officeDocument/2006/relationships/hyperlink" Target="https://doi.org/10.4324/9781003115328" TargetMode="External"/><Relationship Id="rId39" Type="http://schemas.openxmlformats.org/officeDocument/2006/relationships/footer" Target="footer2.xml"/><Relationship Id="rId21" Type="http://schemas.openxmlformats.org/officeDocument/2006/relationships/hyperlink" Target="https://doi.org/10.1080/13636820.2021.1998793" TargetMode="External"/><Relationship Id="rId34" Type="http://schemas.openxmlformats.org/officeDocument/2006/relationships/hyperlink" Target="https://doi.org/10.4324/978100318015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2331186X.2023.2199107" TargetMode="External"/><Relationship Id="rId20" Type="http://schemas.openxmlformats.org/officeDocument/2006/relationships/hyperlink" Target="https://doi.org/10.1002/curj.21" TargetMode="External"/><Relationship Id="rId29" Type="http://schemas.openxmlformats.org/officeDocument/2006/relationships/hyperlink" Target="https://doi.org/10.1080/13636820.2023.225849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2331186X.2023.2195747" TargetMode="External"/><Relationship Id="rId24" Type="http://schemas.openxmlformats.org/officeDocument/2006/relationships/hyperlink" Target="https://doi.org/10.1787/28551a79-en" TargetMode="External"/><Relationship Id="rId32" Type="http://schemas.openxmlformats.org/officeDocument/2006/relationships/hyperlink" Target="https://doi.org/10.1093/oso/9780197691915.001.0001"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80/00220272.2021.1899290" TargetMode="External"/><Relationship Id="rId23" Type="http://schemas.openxmlformats.org/officeDocument/2006/relationships/hyperlink" Target="https://doi.org/10.1080/03323315.2023.2253202" TargetMode="External"/><Relationship Id="rId28" Type="http://schemas.openxmlformats.org/officeDocument/2006/relationships/hyperlink" Target="https://doi.org/10.1007/978-3-031-35422-9_2" TargetMode="External"/><Relationship Id="rId36" Type="http://schemas.openxmlformats.org/officeDocument/2006/relationships/header" Target="header1.xml"/><Relationship Id="rId10" Type="http://schemas.openxmlformats.org/officeDocument/2006/relationships/hyperlink" Target="https://doi.org/10.1080/13636820.2022.2029546" TargetMode="External"/><Relationship Id="rId19" Type="http://schemas.openxmlformats.org/officeDocument/2006/relationships/hyperlink" Target="https://doi.org/10.1111/1467-9752.12673" TargetMode="External"/><Relationship Id="rId31" Type="http://schemas.openxmlformats.org/officeDocument/2006/relationships/hyperlink" Target="https://doi.org/10.1007/978-3-031-21155-3" TargetMode="External"/><Relationship Id="rId4" Type="http://schemas.openxmlformats.org/officeDocument/2006/relationships/settings" Target="settings.xml"/><Relationship Id="rId9" Type="http://schemas.openxmlformats.org/officeDocument/2006/relationships/hyperlink" Target="https://doi.org/10.15294/lik.v53i1.2652" TargetMode="External"/><Relationship Id="rId14" Type="http://schemas.openxmlformats.org/officeDocument/2006/relationships/hyperlink" Target="https://doi.org/10.1080/1360144X.2020.1842744" TargetMode="External"/><Relationship Id="rId22" Type="http://schemas.openxmlformats.org/officeDocument/2006/relationships/hyperlink" Target="https://doi.org/10.1080/13636820.2021.2018227" TargetMode="External"/><Relationship Id="rId27" Type="http://schemas.openxmlformats.org/officeDocument/2006/relationships/hyperlink" Target="https://doi.org/10.1080/13636820.2022.2148118" TargetMode="External"/><Relationship Id="rId30" Type="http://schemas.openxmlformats.org/officeDocument/2006/relationships/hyperlink" Target="https://doi.org/10.4324/9781003115342" TargetMode="External"/><Relationship Id="rId35" Type="http://schemas.openxmlformats.org/officeDocument/2006/relationships/hyperlink" Target="https://doi.org/10.1080/13636820.2020.1833078" TargetMode="External"/><Relationship Id="rId8" Type="http://schemas.openxmlformats.org/officeDocument/2006/relationships/hyperlink" Target="mailto:sobari.bari626@upi.edu" TargetMode="External"/><Relationship Id="rId3" Type="http://schemas.openxmlformats.org/officeDocument/2006/relationships/styles" Target="styles.xml"/><Relationship Id="rId12" Type="http://schemas.openxmlformats.org/officeDocument/2006/relationships/hyperlink" Target="https://doi.org/10.1007/978-3-030-52032-8_2" TargetMode="External"/><Relationship Id="rId17" Type="http://schemas.openxmlformats.org/officeDocument/2006/relationships/hyperlink" Target="http://data.europa.eu/doi/10.2801/615021" TargetMode="External"/><Relationship Id="rId25" Type="http://schemas.openxmlformats.org/officeDocument/2006/relationships/hyperlink" Target="https://doi.org/10.1093/ser/mwab053" TargetMode="External"/><Relationship Id="rId33" Type="http://schemas.openxmlformats.org/officeDocument/2006/relationships/hyperlink" Target="https://doi.org/10.1002/curj.155"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BB997A3-9E4D-417D-A116-A5EE0CF2D75E}"/>
      </w:docPartPr>
      <w:docPartBody>
        <w:p w:rsidR="00054A1A" w:rsidRDefault="00B5761C">
          <w:r w:rsidRPr="00D830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1C"/>
    <w:rsid w:val="00054A1A"/>
    <w:rsid w:val="00191DBE"/>
    <w:rsid w:val="00646A40"/>
    <w:rsid w:val="008304D2"/>
    <w:rsid w:val="008868F3"/>
    <w:rsid w:val="00887DE8"/>
    <w:rsid w:val="008C7C1F"/>
    <w:rsid w:val="00B5761C"/>
    <w:rsid w:val="00CC3CEC"/>
    <w:rsid w:val="00F1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6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B0A7DF-86B5-4303-801B-1A92DE3C66E7}">
  <we:reference id="wa104382081" version="1.55.1.0" store="id-ID" storeType="OMEX"/>
  <we:alternateReferences>
    <we:reference id="WA104382081" version="1.55.1.0" store="" storeType="OMEX"/>
  </we:alternateReferences>
  <we:properties>
    <we:property name="MENDELEY_CITATIONS" value="[{&quot;citationID&quot;:&quot;MENDELEY_CITATION_ae9afec7-78d5-4ea8-8639-b937e4da89af&quot;,&quot;properties&quot;:{&quot;noteIndex&quot;:0},&quot;isEdited&quot;:false,&quot;manualOverride&quot;:{&quot;isManuallyOverridden&quot;:false,&quot;citeprocText&quot;:&quot;(Özel, 2022)&quot;,&quot;manualOverrideText&quot;:&quot;&quot;},&quot;citationTag&quot;:&quot;MENDELEY_CITATION_v3_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&quot;,&quot;citationItems&quot;:[{&quot;id&quot;:&quot;e52f2de0-307f-35df-81e9-5f89f53cb2e6&quot;,&quot;itemData&quot;:{&quot;type&quot;:&quot;article-journal&quot;,&quot;id&quot;:&quot;e52f2de0-307f-35df-81e9-5f89f53cb2e6&quot;,&quot;title&quot;:&quot;Politics of delegated governance: reforming vocational education and training&quot;,&quot;author&quot;:[{&quot;family&quot;:&quot;Özel&quot;,&quot;given&quot;:&quot;Isik D&quot;,&quot;parse-names&quot;:false,&quot;dropping-particle&quot;:&quot;&quot;,&quot;non-dropping-particle&quot;:&quot;&quot;}],&quot;container-title&quot;:&quot;Socio-Economic Review&quot;,&quot;container-title-short&quot;:&quot;Socioecon Rev&quot;,&quot;DOI&quot;:&quot;10.1093/ser/mwab053&quot;,&quot;ISSN&quot;:&quot;1475-1461&quot;,&quot;URL&quot;:&quot;https://academic.oup.com/ser/article/20/3/1361/6428113&quot;,&quot;issued&quot;:{&quot;date-parts&quot;:[[2022,9,29]]},&quot;page&quot;:&quot;1361-1394&quot;,&quot;abstract&quot;:&quot;&lt;p&gt;Following decades-long inertia, many countries started reforming vocational education and training (VET). Yet, respective reform processes that entail certain traits of the German dual system face challenges linked to domestic constraints. Focusing on secondary education and drawing on the Turkish case, this article examines VET’s transformation from a centralized, school-based, state-dominated system to a system based on school–industry collaboration. It suggests that effective adoption of VET reforms may be facilitated by bipartite coordination between government and employers’ organizations representing small- and medium-sized enterprises (SMEs). It unveils how such coordination led an institutional transformation, fostered by a broad cross-class VET coalition formed in a polarized fashion. Highlighting the role of political ownership and organizational capacity in VET reforms, it traces how the Justice and Development Party (AKP) accommodated SMEs’ demands, while sidelining labor. The article undertakes a power-distributional analysis tackling political conflicts and coalitions as drivers of institutional change and continuity.&lt;/p&gt;&quot;,&quot;issue&quot;:&quot;3&quot;,&quot;volume&quot;:&quot;20&quot;},&quot;isTemporary&quot;:false}]},{&quot;citationID&quot;:&quot;MENDELEY_CITATION_ec6bdd85-f10e-464a-b544-ea033742d429&quot;,&quot;properties&quot;:{&quot;noteIndex&quot;:0},&quot;isEdited&quot;:false,&quot;manualOverride&quot;:{&quot;isManuallyOverridden&quot;:true,&quot;citeprocText&quot;:&quot;(Print, 2020)&quot;,&quot;manualOverrideText&quot;:&quot;Print, (2020)&quot;},&quot;citationTag&quot;:&quot;MENDELEY_CITATION_v3_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&quot;,&quot;citationItems&quot;:[{&quot;id&quot;:&quot;8644da05-094b-3f1b-8641-44acdb3c32df&quot;,&quot;itemData&quot;:{&quot;type&quot;:&quot;book&quot;,&quot;id&quot;:&quot;8644da05-094b-3f1b-8641-44acdb3c32df&quot;,&quot;title&quot;:&quot;Curriculum Development and Design&quot;,&quot;author&quot;:[{&quot;family&quot;:&quot;Print&quot;,&quot;given&quot;:&quot;Murray&quot;,&quot;parse-names&quot;:false,&quot;dropping-particle&quot;:&quot;&quot;,&quot;non-dropping-particle&quot;:&quot;&quot;}],&quot;DOI&quot;:&quot;10.4324/9781003115328&quot;,&quot;ISBN&quot;:&quot;9781003115328&quot;,&quot;issued&quot;:{&quot;date-parts&quot;:[[2020,8,6]]},&quot;publisher&quot;:&quot;Routledge&quot;,&quot;container-title-short&quot;:&quot;&quot;},&quot;isTemporary&quot;:false}]},{&quot;citationID&quot;:&quot;MENDELEY_CITATION_75cfa5e5-1cdb-4d09-b50f-c83e1a74b431&quot;,&quot;properties&quot;:{&quot;noteIndex&quot;:0},&quot;isEdited&quot;:false,&quot;manualOverride&quot;:{&quot;isManuallyOverridden&quot;:false,&quot;citeprocText&quot;:&quot;(Özel, 2022)&quot;,&quot;manualOverrideText&quot;:&quot;&quot;},&quot;citationTag&quot;:&quot;MENDELEY_CITATION_v3_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&quot;,&quot;citationItems&quot;:[{&quot;id&quot;:&quot;e52f2de0-307f-35df-81e9-5f89f53cb2e6&quot;,&quot;itemData&quot;:{&quot;type&quot;:&quot;article-journal&quot;,&quot;id&quot;:&quot;e52f2de0-307f-35df-81e9-5f89f53cb2e6&quot;,&quot;title&quot;:&quot;Politics of delegated governance: reforming vocational education and training&quot;,&quot;author&quot;:[{&quot;family&quot;:&quot;Özel&quot;,&quot;given&quot;:&quot;Isik D&quot;,&quot;parse-names&quot;:false,&quot;dropping-particle&quot;:&quot;&quot;,&quot;non-dropping-particle&quot;:&quot;&quot;}],&quot;container-title&quot;:&quot;Socio-Economic Review&quot;,&quot;container-title-short&quot;:&quot;Socioecon Rev&quot;,&quot;DOI&quot;:&quot;10.1093/ser/mwab053&quot;,&quot;ISSN&quot;:&quot;1475-1461&quot;,&quot;URL&quot;:&quot;https://academic.oup.com/ser/article/20/3/1361/6428113&quot;,&quot;issued&quot;:{&quot;date-parts&quot;:[[2022,9,29]]},&quot;page&quot;:&quot;1361-1394&quot;,&quot;abstract&quot;:&quot;&lt;p&gt;Following decades-long inertia, many countries started reforming vocational education and training (VET). Yet, respective reform processes that entail certain traits of the German dual system face challenges linked to domestic constraints. Focusing on secondary education and drawing on the Turkish case, this article examines VET’s transformation from a centralized, school-based, state-dominated system to a system based on school–industry collaboration. It suggests that effective adoption of VET reforms may be facilitated by bipartite coordination between government and employers’ organizations representing small- and medium-sized enterprises (SMEs). It unveils how such coordination led an institutional transformation, fostered by a broad cross-class VET coalition formed in a polarized fashion. Highlighting the role of political ownership and organizational capacity in VET reforms, it traces how the Justice and Development Party (AKP) accommodated SMEs’ demands, while sidelining labor. The article undertakes a power-distributional analysis tackling political conflicts and coalitions as drivers of institutional change and continuity.&lt;/p&gt;&quot;,&quot;issue&quot;:&quot;3&quot;,&quot;volume&quot;:&quot;20&quot;},&quot;isTemporary&quot;:false}]},{&quot;citationID&quot;:&quot;MENDELEY_CITATION_24e6d7e8-3f72-49bd-afd7-b259c49dff2b&quot;,&quot;properties&quot;:{&quot;noteIndex&quot;:0},&quot;isEdited&quot;:false,&quot;manualOverride&quot;:{&quot;isManuallyOverridden&quot;:false,&quot;citeprocText&quot;:&quot;(Leeman et al., 2020)&quot;,&quot;manualOverrideText&quot;:&quot;&quot;},&quot;citationTag&quot;:&quot;MENDELEY_CITATION_v3_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&quot;,&quot;citationItems&quot;:[{&quot;id&quot;:&quot;3d9bde49-59cf-3d84-8635-1577022bf837&quot;,&quot;itemData&quot;:{&quot;type&quot;:&quot;article-journal&quot;,&quot;id&quot;:&quot;3d9bde49-59cf-3d84-8635-1577022bf837&quot;,&quot;title&quot;:&quot;Teachers as curriculum‐makers: the case of citizenship education in Dutch schools&quot;,&quot;author&quot;:[{&quot;family&quot;:&quot;Leeman&quot;,&quot;given&quot;:&quot;Y.&quot;,&quot;parse-names&quot;:false,&quot;dropping-particle&quot;:&quot;&quot;,&quot;non-dropping-particle&quot;:&quot;&quot;},{&quot;family&quot;:&quot;Nieveen&quot;,&quot;given&quot;:&quot;N.&quot;,&quot;parse-names&quot;:false,&quot;dropping-particle&quot;:&quot;&quot;,&quot;non-dropping-particle&quot;:&quot;&quot;},{&quot;family&quot;:&quot;Beer&quot;,&quot;given&quot;:&quot;F.&quot;,&quot;parse-names&quot;:false,&quot;dropping-particle&quot;:&quot;&quot;,&quot;non-dropping-particle&quot;:&quot;de&quot;},{&quot;family&quot;:&quot;Steen&quot;,&quot;given&quot;:&quot;J.&quot;,&quot;parse-names&quot;:false,&quot;dropping-particle&quot;:&quot;&quot;,&quot;non-dropping-particle&quot;:&quot;van der&quot;}],&quot;container-title&quot;:&quot;The Curriculum Journal&quot;,&quot;container-title-short&quot;:&quot;Curric J&quot;,&quot;DOI&quot;:&quot;10.1002/curj.21&quot;,&quot;ISSN&quot;:&quot;0958-5176&quot;,&quot;issued&quot;:{&quot;date-parts&quot;:[[2020,9,14]]},&quot;page&quot;:&quot;495-516&quot;,&quot;abstract&quot;:&quot;&lt;p&gt;Due to socio‐political issues in Dutch society, citizenship education (CE) became obligatory by law in the Netherlands in 2006. Schools were to decide on their local CE curriculum. This contribution intends to open up the black box of school‐based curriculum‐making efforts for CE. It reports on a four‐year study in four schools for secondary education. In each school, teachers designed (parts of) their CE curriculum with guidance during weekly coaching sessions. The central question is, what are the professional experiences and results of teachers who are involved in guided school‐based CE curriculum‐making? The qualitative data set comprised of interview and focus group data as well as artefacts such as CE‐activities designed by teachers. Findings show teachers' preference for broad and integrated approaches to CE, and that teachers needed guidance not only to improve their CE‐knowledge and design abilities, but also to increase their socio‐political skills for school‐wide implementation. These results are discussed in view of the current tendency in the Netherlands to define CE in a more centralised and content‐specific manner and in doing so limiting the space for teachers as curriculum‐makers.&lt;/p&gt;&quot;,&quot;issue&quot;:&quot;3&quot;,&quot;volume&quot;:&quot;31&quot;},&quot;isTemporary&quot;:false}]},{&quot;citationID&quot;:&quot;MENDELEY_CITATION_28319a8a-c794-4a0d-8645-2ce0cd197864&quot;,&quot;properties&quot;:{&quot;noteIndex&quot;:0},&quot;isEdited&quot;:false,&quot;manualOverride&quot;:{&quot;isManuallyOverridden&quot;:false,&quot;citeprocText&quot;:&quot;(Stevenson, 2020)&quot;,&quot;manualOverrideText&quot;:&quot;&quot;},&quot;citationTag&quot;:&quot;MENDELEY_CITATION_v3_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&quot;,&quot;citationItems&quot;:[{&quot;id&quot;:&quot;ef78d4d7-4044-3fb9-baa9-a323f8d6e8c6&quot;,&quot;itemData&quot;:{&quot;type&quot;:&quot;book&quot;,&quot;id&quot;:&quot;ef78d4d7-4044-3fb9-baa9-a323f8d6e8c6&quot;,&quot;title&quot;:&quot;Developing Vocational Expertise&quot;,&quot;author&quot;:[{&quot;family&quot;:&quot;Stevenson&quot;,&quot;given&quot;:&quot;John&quot;,&quot;parse-names&quot;:false,&quot;dropping-particle&quot;:&quot;&quot;,&quot;non-dropping-particle&quot;:&quot;&quot;}],&quot;editor&quot;:[{&quot;family&quot;:&quot;Stevenson&quot;,&quot;given&quot;:&quot;John&quot;,&quot;parse-names&quot;:false,&quot;dropping-particle&quot;:&quot;&quot;,&quot;non-dropping-particle&quot;:&quot;&quot;}],&quot;DOI&quot;:&quot;10.4324/9781003115342&quot;,&quot;ISBN&quot;:&quot;9781003115342&quot;,&quot;URL&quot;:&quot;https://www.taylorfrancis.com/books/9781000249217&quot;,&quot;issued&quot;:{&quot;date-parts&quot;:[[2020,8,4]]},&quot;number-of-pages&quot;:&quot;1-288&quot;,&quot;publisher&quot;:&quot;Routledge&quot;,&quot;volume&quot;:&quot;1st Edition&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CC44-3B36-4C8E-8513-D0375799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Kartikasari</dc:creator>
  <cp:lastModifiedBy>imam shofwan</cp:lastModifiedBy>
  <cp:revision>11</cp:revision>
  <cp:lastPrinted>2023-01-30T22:32:00Z</cp:lastPrinted>
  <dcterms:created xsi:type="dcterms:W3CDTF">2024-04-22T16:48:00Z</dcterms:created>
  <dcterms:modified xsi:type="dcterms:W3CDTF">2024-05-08T04:24:00Z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Adobe InDesign 15.0 (Macintosh)</vt:lpwstr>
  </property>
  <property fmtid="{D5CDD505-2E9C-101B-9397-08002B2CF9AE}" pid="4" name="LastSaved">
    <vt:filetime>2022-04-07T00:00:00Z</vt:filetime>
  </property>
</Properties>
</file>