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4A41" w14:textId="77777777" w:rsidR="007D7E8C" w:rsidRPr="00690BF7" w:rsidRDefault="007D7E8C" w:rsidP="00180D3E">
      <w:pPr>
        <w:jc w:val="center"/>
        <w:rPr>
          <w:rFonts w:ascii="Constantia" w:eastAsia="Times New Roman" w:hAnsi="Constantia" w:cs="Angsana New"/>
          <w:kern w:val="0"/>
          <w:sz w:val="41"/>
          <w:szCs w:val="41"/>
          <w:lang w:eastAsia="id-ID"/>
          <w14:ligatures w14:val="none"/>
        </w:rPr>
      </w:pPr>
      <w:r w:rsidRPr="00690BF7">
        <w:rPr>
          <w:rFonts w:ascii="Constantia" w:eastAsia="Times New Roman" w:hAnsi="Constantia" w:cs="Angsana New"/>
          <w:kern w:val="0"/>
          <w:sz w:val="41"/>
          <w:szCs w:val="41"/>
          <w:lang w:eastAsia="id-ID"/>
          <w14:ligatures w14:val="none"/>
        </w:rPr>
        <w:t>HISTORIA PEDAGOGIA</w:t>
      </w:r>
    </w:p>
    <w:p w14:paraId="54A6A489" w14:textId="77777777" w:rsidR="007D7E8C" w:rsidRPr="00690BF7" w:rsidRDefault="007D7E8C" w:rsidP="00180D3E">
      <w:pPr>
        <w:jc w:val="center"/>
        <w:rPr>
          <w:rFonts w:ascii="Constantia" w:eastAsia="Times New Roman" w:hAnsi="Constantia" w:cs="Angsana New"/>
          <w:kern w:val="0"/>
          <w:sz w:val="26"/>
          <w:szCs w:val="26"/>
          <w:lang w:eastAsia="id-ID"/>
          <w14:ligatures w14:val="none"/>
        </w:rPr>
      </w:pPr>
      <w:r w:rsidRPr="00690BF7">
        <w:rPr>
          <w:rFonts w:ascii="Constantia" w:eastAsia="Times New Roman" w:hAnsi="Constantia" w:cs="Angsana New"/>
          <w:kern w:val="0"/>
          <w:sz w:val="26"/>
          <w:szCs w:val="26"/>
          <w:lang w:eastAsia="id-ID"/>
          <w14:ligatures w14:val="none"/>
        </w:rPr>
        <w:t>Jurnal Penelitian dan Inovasi Pendidikan Sejarah</w:t>
      </w:r>
    </w:p>
    <w:p w14:paraId="32434038" w14:textId="41C16DC8" w:rsidR="007D7E8C" w:rsidRPr="00690BF7" w:rsidRDefault="007D7E8C" w:rsidP="00180D3E">
      <w:pPr>
        <w:jc w:val="center"/>
        <w:rPr>
          <w:rFonts w:ascii="Constantia" w:hAnsi="Constantia"/>
          <w:sz w:val="20"/>
          <w:szCs w:val="20"/>
        </w:rPr>
      </w:pPr>
      <w:r w:rsidRPr="00690BF7">
        <w:rPr>
          <w:rFonts w:ascii="Constantia" w:hAnsi="Constantia"/>
          <w:noProof/>
          <w:lang w:eastAsia="id-ID"/>
        </w:rPr>
        <mc:AlternateContent>
          <mc:Choice Requires="wps">
            <w:drawing>
              <wp:anchor distT="0" distB="0" distL="114300" distR="114300" simplePos="0" relativeHeight="251659264" behindDoc="0" locked="0" layoutInCell="1" allowOverlap="1" wp14:anchorId="5B52DA49" wp14:editId="54259B3E">
                <wp:simplePos x="0" y="0"/>
                <wp:positionH relativeFrom="column">
                  <wp:posOffset>773723</wp:posOffset>
                </wp:positionH>
                <wp:positionV relativeFrom="paragraph">
                  <wp:posOffset>45818</wp:posOffset>
                </wp:positionV>
                <wp:extent cx="4167554" cy="0"/>
                <wp:effectExtent l="0" t="0" r="10795" b="12700"/>
                <wp:wrapNone/>
                <wp:docPr id="1235249177" name="Konektor Lurus 2"/>
                <wp:cNvGraphicFramePr/>
                <a:graphic xmlns:a="http://schemas.openxmlformats.org/drawingml/2006/main">
                  <a:graphicData uri="http://schemas.microsoft.com/office/word/2010/wordprocessingShape">
                    <wps:wsp>
                      <wps:cNvCnPr/>
                      <wps:spPr>
                        <a:xfrm>
                          <a:off x="0" y="0"/>
                          <a:ext cx="41675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376FD3" id="Konektor Luru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9pt,3.6pt" to="38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" strokecolor="#156082 [3204]" strokeweight=".5pt">
                <v:stroke joinstyle="miter"/>
              </v:line>
            </w:pict>
          </mc:Fallback>
        </mc:AlternateContent>
      </w:r>
    </w:p>
    <w:p w14:paraId="47DF7755" w14:textId="1F4B81B1" w:rsidR="007D7E8C" w:rsidRPr="00690BF7" w:rsidRDefault="007D7E8C" w:rsidP="00180D3E">
      <w:pPr>
        <w:jc w:val="center"/>
        <w:rPr>
          <w:rFonts w:ascii="Constantia" w:hAnsi="Constantia"/>
          <w:sz w:val="20"/>
          <w:szCs w:val="20"/>
        </w:rPr>
      </w:pPr>
      <w:r w:rsidRPr="00690BF7">
        <w:rPr>
          <w:rFonts w:ascii="Constantia" w:hAnsi="Constantia"/>
          <w:sz w:val="20"/>
          <w:szCs w:val="20"/>
        </w:rPr>
        <w:t>Vol.</w:t>
      </w:r>
      <w:r w:rsidR="0038327B">
        <w:rPr>
          <w:rFonts w:ascii="Constantia" w:hAnsi="Constantia"/>
          <w:sz w:val="20"/>
          <w:szCs w:val="20"/>
        </w:rPr>
        <w:t xml:space="preserve"> 14, Nomor 02, Tahun 2025</w:t>
      </w:r>
    </w:p>
    <w:p w14:paraId="06359003" w14:textId="12AFEEE6" w:rsidR="007D7E8C" w:rsidRPr="00690BF7" w:rsidRDefault="007D7E8C" w:rsidP="00180D3E">
      <w:pPr>
        <w:jc w:val="center"/>
        <w:rPr>
          <w:rFonts w:ascii="Constantia" w:hAnsi="Constantia"/>
          <w:sz w:val="20"/>
          <w:szCs w:val="20"/>
        </w:rPr>
      </w:pPr>
      <w:r w:rsidRPr="00690BF7">
        <w:rPr>
          <w:rFonts w:ascii="Constantia" w:hAnsi="Constantia"/>
          <w:sz w:val="20"/>
          <w:szCs w:val="20"/>
        </w:rPr>
        <w:t>https://journal.unnes.ac.id/journals/hp</w:t>
      </w:r>
    </w:p>
    <w:p w14:paraId="3EC300A6" w14:textId="77777777" w:rsidR="007D7E8C" w:rsidRPr="00690BF7" w:rsidRDefault="007D7E8C" w:rsidP="00180D3E">
      <w:pPr>
        <w:jc w:val="center"/>
        <w:rPr>
          <w:rFonts w:ascii="Constantia" w:hAnsi="Constantia"/>
        </w:rPr>
      </w:pPr>
    </w:p>
    <w:p w14:paraId="5E63EE08" w14:textId="5CEB98EF" w:rsidR="007103F4" w:rsidRDefault="0038327B" w:rsidP="00180D3E">
      <w:pPr>
        <w:jc w:val="center"/>
        <w:rPr>
          <w:rFonts w:ascii="Constantia" w:hAnsi="Constantia"/>
          <w:b/>
          <w:bCs/>
        </w:rPr>
      </w:pPr>
      <w:r w:rsidRPr="0038327B">
        <w:rPr>
          <w:rFonts w:ascii="Constantia" w:hAnsi="Constantia"/>
          <w:b/>
          <w:bCs/>
        </w:rPr>
        <w:t>Analisis Historis Kebijakan Ekonomi Orde Baru dan Dampaknya terhadap Transformasi Struktur Perekonomian Indonesia (1966-1998)</w:t>
      </w:r>
    </w:p>
    <w:p w14:paraId="249AE140" w14:textId="77777777" w:rsidR="0038327B" w:rsidRPr="00690BF7" w:rsidRDefault="0038327B" w:rsidP="00180D3E">
      <w:pPr>
        <w:jc w:val="center"/>
        <w:rPr>
          <w:rFonts w:ascii="Constantia" w:hAnsi="Constantia"/>
        </w:rPr>
      </w:pPr>
    </w:p>
    <w:p w14:paraId="5B1C9415" w14:textId="196288A4" w:rsidR="007D7E8C" w:rsidRPr="0038327B" w:rsidRDefault="0038327B" w:rsidP="00180D3E">
      <w:pPr>
        <w:jc w:val="center"/>
        <w:rPr>
          <w:rFonts w:ascii="Constantia" w:hAnsi="Constantia"/>
          <w:vertAlign w:val="superscript"/>
        </w:rPr>
      </w:pPr>
      <w:r>
        <w:rPr>
          <w:rFonts w:ascii="Constantia" w:hAnsi="Constantia"/>
        </w:rPr>
        <w:t>Muhammad Bagas Riyanto</w:t>
      </w:r>
      <w:r w:rsidR="003117F0" w:rsidRPr="00690BF7">
        <w:rPr>
          <w:rStyle w:val="FootnoteReference"/>
          <w:rFonts w:ascii="Constantia" w:hAnsi="Constantia"/>
        </w:rPr>
        <w:footnoteReference w:id="1"/>
      </w:r>
      <w:r>
        <w:rPr>
          <w:rFonts w:ascii="Constantia" w:hAnsi="Constantia"/>
        </w:rPr>
        <w:t xml:space="preserve">, </w:t>
      </w:r>
      <w:r w:rsidRPr="0038327B">
        <w:rPr>
          <w:rFonts w:ascii="Constantia" w:hAnsi="Constantia"/>
        </w:rPr>
        <w:t>Muhammad Rizalul Umam</w:t>
      </w:r>
      <w:r w:rsidRPr="0038327B">
        <w:rPr>
          <w:rFonts w:ascii="Constantia" w:hAnsi="Constantia"/>
          <w:vertAlign w:val="superscript"/>
        </w:rPr>
        <w:t>2</w:t>
      </w:r>
      <w:r w:rsidRPr="0038327B">
        <w:rPr>
          <w:rFonts w:ascii="Constantia" w:hAnsi="Constantia"/>
        </w:rPr>
        <w:t>, Hanny Syifa Fauziyah</w:t>
      </w:r>
      <w:r w:rsidRPr="0038327B">
        <w:rPr>
          <w:rFonts w:ascii="Constantia" w:hAnsi="Constantia"/>
          <w:vertAlign w:val="superscript"/>
        </w:rPr>
        <w:t>3</w:t>
      </w:r>
      <w:r w:rsidRPr="0038327B">
        <w:rPr>
          <w:rFonts w:ascii="Constantia" w:hAnsi="Constantia"/>
        </w:rPr>
        <w:t>, Muhammad Rafi Rafsanjani</w:t>
      </w:r>
      <w:r w:rsidRPr="0038327B">
        <w:rPr>
          <w:rFonts w:ascii="Constantia" w:hAnsi="Constantia"/>
          <w:vertAlign w:val="superscript"/>
        </w:rPr>
        <w:t>4</w:t>
      </w:r>
      <w:r w:rsidRPr="0038327B">
        <w:rPr>
          <w:rFonts w:ascii="Constantia" w:hAnsi="Constantia"/>
        </w:rPr>
        <w:t>, Shofwatul Mala</w:t>
      </w:r>
      <w:r w:rsidRPr="0038327B">
        <w:rPr>
          <w:rFonts w:ascii="Constantia" w:hAnsi="Constantia"/>
          <w:vertAlign w:val="superscript"/>
        </w:rPr>
        <w:t>5</w:t>
      </w:r>
    </w:p>
    <w:p w14:paraId="378C90C4" w14:textId="77777777" w:rsidR="007D7E8C" w:rsidRPr="00690BF7" w:rsidRDefault="007D7E8C" w:rsidP="00180D3E">
      <w:pPr>
        <w:jc w:val="center"/>
        <w:rPr>
          <w:rFonts w:ascii="Constantia" w:hAnsi="Constantia"/>
        </w:rPr>
      </w:pPr>
    </w:p>
    <w:p w14:paraId="5CB9D993" w14:textId="77777777" w:rsidR="00512A1A" w:rsidRPr="00690BF7" w:rsidRDefault="00512A1A" w:rsidP="00180D3E">
      <w:pPr>
        <w:jc w:val="center"/>
        <w:rPr>
          <w:rFonts w:ascii="Constantia" w:hAnsi="Constantia"/>
        </w:rPr>
      </w:pPr>
    </w:p>
    <w:p w14:paraId="604332DF" w14:textId="77777777" w:rsidR="00512A1A" w:rsidRPr="00690BF7" w:rsidRDefault="00512A1A" w:rsidP="00180D3E">
      <w:pPr>
        <w:ind w:left="567"/>
        <w:jc w:val="center"/>
        <w:rPr>
          <w:rFonts w:ascii="Constantia" w:hAnsi="Constantia"/>
          <w:b/>
          <w:bCs/>
          <w:sz w:val="22"/>
          <w:szCs w:val="22"/>
        </w:rPr>
      </w:pPr>
      <w:r w:rsidRPr="00690BF7">
        <w:rPr>
          <w:rFonts w:ascii="Constantia" w:hAnsi="Constantia"/>
          <w:b/>
          <w:bCs/>
          <w:sz w:val="22"/>
          <w:szCs w:val="22"/>
        </w:rPr>
        <w:t>ABSTRACT</w:t>
      </w:r>
    </w:p>
    <w:p w14:paraId="34D88E5E" w14:textId="1BD85FFA" w:rsidR="0019317D" w:rsidRPr="00690BF7" w:rsidRDefault="0038327B" w:rsidP="00690BF7">
      <w:pPr>
        <w:spacing w:line="276" w:lineRule="auto"/>
        <w:ind w:left="567"/>
        <w:jc w:val="both"/>
        <w:rPr>
          <w:rFonts w:ascii="Constantia" w:hAnsi="Constantia"/>
          <w:szCs w:val="22"/>
        </w:rPr>
      </w:pPr>
      <w:r w:rsidRPr="0038327B">
        <w:rPr>
          <w:rFonts w:ascii="Constantia" w:hAnsi="Constantia"/>
          <w:szCs w:val="22"/>
        </w:rPr>
        <w:t>This study aims to analyze the economic policies of the New Order in a historical context and assess their impact on Indonesia's economic transformation during the period 1966–1998. Starting from the acute economic crisis at the end of the Old Order, marked by extreme inflation, fiscal deficits, and the decline of the agricultural and industrial sectors, the New Order government implemented a series of stabilization and development policies coordinated by technocratic economists. This study employs a descriptive qualitative method, incorporating a literature review approach, and follows Kuntowijoyo's historical research stages, which include heuristics, source criticism, interpretation, and historiography. The contribution of this research lies in its holistic mapping of the dynamics of New Order economic policy, from the stabilization phase through oil-boom-based development expansion, export-oriented industrialization, to the 1997 Asian financial crisis, which marked the collapse of this development model. The results of the study show that Indonesia's economic transformation from agriculture to industry and services has successfully driven high growth, macroeconomic stability, and increased food production. However, this success was built on a fragile foundation, including dependence on oil, foreign capital, foreign debt, and weak economic institutions. This study emphasizes that sustainable development requires institutional reform and economic strategies that are not only growth-oriented but also environmentally and socially responsible.</w:t>
      </w:r>
    </w:p>
    <w:p w14:paraId="5B102EF5" w14:textId="4C6801E2" w:rsidR="004C21F6" w:rsidRPr="0038327B" w:rsidRDefault="0019317D" w:rsidP="0038327B">
      <w:pPr>
        <w:spacing w:line="276" w:lineRule="auto"/>
        <w:ind w:left="567"/>
        <w:jc w:val="both"/>
        <w:rPr>
          <w:rFonts w:ascii="Constantia" w:hAnsi="Constantia"/>
          <w:b/>
          <w:szCs w:val="22"/>
        </w:rPr>
      </w:pPr>
      <w:r w:rsidRPr="00690BF7">
        <w:rPr>
          <w:rFonts w:ascii="Constantia" w:hAnsi="Constantia"/>
          <w:b/>
          <w:szCs w:val="22"/>
        </w:rPr>
        <w:t xml:space="preserve">Keywords: </w:t>
      </w:r>
      <w:r w:rsidR="0038327B" w:rsidRPr="0038327B">
        <w:rPr>
          <w:rFonts w:ascii="Constantia" w:hAnsi="Constantia"/>
          <w:b/>
          <w:i/>
          <w:szCs w:val="22"/>
        </w:rPr>
        <w:t xml:space="preserve"> Old Order,  New Order,  Economy, National Development, and Monetary Crisis</w:t>
      </w:r>
    </w:p>
    <w:p w14:paraId="3B34DA5C" w14:textId="4D1D2B4E" w:rsidR="003E0585" w:rsidRPr="00690BF7" w:rsidRDefault="003E0585" w:rsidP="00690BF7">
      <w:pPr>
        <w:jc w:val="both"/>
        <w:rPr>
          <w:rFonts w:ascii="Constantia" w:hAnsi="Constantia"/>
          <w:b/>
          <w:bCs/>
        </w:rPr>
        <w:sectPr w:rsidR="003E0585" w:rsidRPr="00690BF7" w:rsidSect="0098169D">
          <w:footerReference w:type="default" r:id="rId8"/>
          <w:type w:val="continuous"/>
          <w:pgSz w:w="11906" w:h="16838"/>
          <w:pgMar w:top="1440" w:right="1440" w:bottom="1440" w:left="1440" w:header="708" w:footer="708" w:gutter="0"/>
          <w:cols w:space="708"/>
          <w:titlePg/>
          <w:docGrid w:linePitch="360"/>
        </w:sectPr>
      </w:pPr>
    </w:p>
    <w:p w14:paraId="2C2219DA" w14:textId="77777777" w:rsidR="003E0585" w:rsidRPr="00690BF7" w:rsidRDefault="003E0585" w:rsidP="00690BF7">
      <w:pPr>
        <w:jc w:val="both"/>
        <w:rPr>
          <w:rFonts w:ascii="Constantia" w:hAnsi="Constantia"/>
          <w:b/>
          <w:bCs/>
        </w:rPr>
      </w:pPr>
      <w:r w:rsidRPr="00690BF7">
        <w:rPr>
          <w:rFonts w:ascii="Constantia" w:hAnsi="Constantia"/>
          <w:b/>
          <w:bCs/>
        </w:rPr>
        <w:lastRenderedPageBreak/>
        <w:t>PENDAHULUAN</w:t>
      </w:r>
    </w:p>
    <w:p w14:paraId="2D1121A9" w14:textId="77777777" w:rsidR="0038327B" w:rsidRPr="0038327B" w:rsidRDefault="0038327B" w:rsidP="0038327B">
      <w:pPr>
        <w:jc w:val="both"/>
        <w:rPr>
          <w:rFonts w:ascii="Constantia" w:hAnsi="Constantia"/>
        </w:rPr>
      </w:pPr>
      <w:r w:rsidRPr="0038327B">
        <w:rPr>
          <w:rFonts w:ascii="Constantia" w:hAnsi="Constantia"/>
        </w:rPr>
        <w:t xml:space="preserve">Pada akhir masa pemerintahan Orde Lama (1960–1965), Indonesia mengalami krisis ekonomi yang sangat buruk dan rumit. Ekonomi negara hampir hancur, inflasi bisa mencapai lebih dari 600 persen pada tahun 1965. Nilai rupiah turun tajam, cadangan devisa negara hampir habis, sehingga pemerintah kesulitan untuk mengimpor kebutuhan dasar seperti beras, gula, dan bahan bakar (Pratiwi, 2024). Di bawah kondisi ini, masyarakat mengalami kesulitan mendapatkan barang-barang penting dan harga barang meningkat sangat tinggi, menyebabkan kemampuan beli masyarakat turun drastis. Masalah krisis ini tidak hanya disebabkan oleh faktor moneter saja, tetapi juga menunjukkan kelemahan struktural dan pengelolaan ekonomi nasional yang tidak memadai. Pemerintahan Soekarno pada masa itu lebih fokus pada aspek politik dan ideologi daripada pada pembangunan ekonomi yang berkelanjutan (Ricklefs, 2008). Proyek-proyek besar seperti stadion utama gelora bung karno, monumen nasional, dan berbagai proyek simbolik lainnya memang menunjukkan semangat nasionalisme dan rasa bangga terhadap bangsa, tetapi dari sisi ekonomi, proyek-proyek tersebut tidak memberikan manfaat langsung terhadap peningkatan produktivitas nasional. Akibatnya, defisit anggaran terus membesar, sedangkan sektor-sektor utama seperti pertanian dan industri dasar tidak mendapat perhatian yang cukup (Yuliantri, 2021). Situasi semakin memburuk karena adanya ketegangan politik antara kelompok nasionalis, agama, dan komunis yang menyebabkan ketidakstabilan sosial dan politik di dalam negeri (Rajab, 2022). Persaingan ideologi ini merusak kepercayaan masyarakat terhadap pemerintah, serta </w:t>
      </w:r>
      <w:r w:rsidRPr="0038327B">
        <w:rPr>
          <w:rFonts w:ascii="Constantia" w:hAnsi="Constantia"/>
        </w:rPr>
        <w:t>menghambat pelaksanaan kebijakan ekonomi yang konsisten. Sektor pertanian yang merupakan tulang punggung perekonomian Indonesia tidak berkembang karena kurangnya investasi, rendahnya kemajuan teknologi, serta sistem distribusi yang tidak efisien. Produksi beras tidak meningkat, sementara kebutuhan pangan terus bertambah seiring pertumbuhan populasi (Andrianto, 2023). Di sisi lain, industri manufaktur hampir berhenti beroperasi karena kelangkaan bahan baku dan suku cadang, yang tidak bisa diimpor karena keterbatasan devisa dan kebijakan konfrontasi terhadap luar negeri.</w:t>
      </w:r>
    </w:p>
    <w:p w14:paraId="05451901" w14:textId="77777777" w:rsidR="0038327B" w:rsidRPr="0038327B" w:rsidRDefault="0038327B" w:rsidP="0038327B">
      <w:pPr>
        <w:jc w:val="both"/>
        <w:rPr>
          <w:rFonts w:ascii="Constantia" w:hAnsi="Constantia"/>
        </w:rPr>
      </w:pPr>
      <w:r w:rsidRPr="0038327B">
        <w:rPr>
          <w:rFonts w:ascii="Constantia" w:hAnsi="Constantia"/>
        </w:rPr>
        <w:t xml:space="preserve">Kebijakan konfrontasi terhadap Malaysia (Konfrontasi Dwikora) serta sikap anti-Barat yang diambil pemerintah Soekarno menyebabkan hubungan ekonomi dengan dunia internasional semakin buruk. Indonesia menjadi terisolasi dari jalur perdagangan global dan kehilangan banyak peluang investasi. Ketika pemerintahan Orde Baru mulai berkuasa pada tahun 1966, kondisi ekonomi Indonesia yang sangat rusak menjadi perhatian utama (Marsudi, &amp; Purbasari, 2022). Pemerintah, yang dipimpin oleh Soeharto, langsung memulai berbagai program besar untuk menstabilkan dan memulihkan ekonomi nasional. Program ini dirancang oleh sekelompok ekonom muda yang lulus dari Universitas Indonesia dan Universitas California, Berkeley, dan mereka dikenal sebagai “Mafia Berkeley” (Fikri &amp; Hasudungan, 2021). Beberapa tokoh utama di antaranya adalah Widjojo Nitisastro, Emil Salim, Ali Wardhana, dan Mohammad Sadli. Mereka berperan penting dalam menyusun kebijakan ekonomi baru yang fokus pada stabilitas dan pertumbuhan. Mereka juga mengubah pandangan </w:t>
      </w:r>
      <w:r w:rsidRPr="0038327B">
        <w:rPr>
          <w:rFonts w:ascii="Constantia" w:hAnsi="Constantia"/>
        </w:rPr>
        <w:lastRenderedPageBreak/>
        <w:t xml:space="preserve">ekonomi Indonesia dari yang sebelumnya berlandaskan ideologi menjadi lebih pragmatis dan rasional (Padiatra, 2023). Program stabilisasi ekonomi orde baru mencakup berbagai langkah, seperti perubahan kebijakan fiskal, moneter, perdagangan, dan birokrasi ekonomi.  Dalam bidang fiskal, pemerintah berusaha keras untuk mengurangi defisit anggaran dengan memangkas pengeluaran yang tidak efektif, termasuk proyek-proyek simbolik yang ditinggalkan oleh masa orde lama. Selain itu, pemerintah juga meningkatkan pendapatan negara dengan mereformasi sistem pajak dan bea masuk (Janges &amp; Pangestu, 2021). </w:t>
      </w:r>
    </w:p>
    <w:p w14:paraId="46F7F678" w14:textId="77777777" w:rsidR="0038327B" w:rsidRDefault="0038327B" w:rsidP="0038327B">
      <w:pPr>
        <w:jc w:val="both"/>
        <w:rPr>
          <w:rFonts w:ascii="Constantia" w:hAnsi="Constantia"/>
        </w:rPr>
      </w:pPr>
      <w:r w:rsidRPr="0038327B">
        <w:rPr>
          <w:rFonts w:ascii="Constantia" w:hAnsi="Constantia"/>
        </w:rPr>
        <w:t xml:space="preserve">Di bidang moneter, pemerintah mengambil langkah tegas dengan membatasi jumlah uang yang beredar guna menekan laju inflasi yang sebelumnya sangat tinggi. Upaya ini berhasil memberikan hasil yang cepat, di mana inflasi yang mencapai 650 persen pada tahun 1966 berhasil ditekan menjadi sekitar 120 persen pada tahun 1967, dan terus menurun pada tahun-tahun berikutnya. Di bidang perdagangan, pemerintah memulihkan hubungan luar negeri dengan membuka kembali perdagangan internasional, khususnya dengan negara-negara barat dan Jepang (Djoened &amp; Notosusanto). Kurs rupiah yang sebelumnya tidak realistis terhadap dolar AS diperbaiki agar lebih sesuai dengan kondisi pasar. Selain itu, pemerintah juga membuka kembali impor bahan-bahan pokok dan bahan baku industri untuk mendorong kembali aktivitas produksi di dalam negeri. Dalam bidang birokrasi ekonomi, pemerintah membentuk lembaga koordinasi ekonomi nasional untuk memastikan kebijakan fiskal dan moneter bekerja sama secara efektif, serta menghapus kebijakan ekonomi yang bersifat ideologis dan membatasi </w:t>
      </w:r>
      <w:r w:rsidRPr="0038327B">
        <w:rPr>
          <w:rFonts w:ascii="Constantia" w:hAnsi="Constantia"/>
        </w:rPr>
        <w:t xml:space="preserve">masuknya modal asing (Hisyam, 2025). Perubahan ini menunjukkan peralihan dari ekonomi yang berbasis politik dan ideologi di masa orde lama menuju ekonomi yang berbasis pembangunan dan pragmatis di masa orde baru. Pertama kali program stabilisasi ekonomi orde baru berhasil berkat bantuan dari lembaga donor internasional seperti IMF, Bank Dunia, serta kelompok negara-negara donor yang tergabung dalam IGGI (Inter-Governmental Group for Indonesia) (Ardana, &amp; Syamsiyah, 2023). Setelah Indonesia kembali bergabung dengan IMF (International Monetary Fund) dan bank dunia pada tahun 1966, kedua lembaga tersebut memberikan bantuan keuangan jangka pendek untuk membantu menstabilkan neraca pembayaran dan memberikan bantuan teknis dalam perencanaan serta pelaksanaan program ekonomi. Pada tahun 1967, dibentuk IGGI yang dipimpin oleh Belanda sebagai forum utama para pemberi bantuan luar negeri bagi Indonesia (Firdaus &amp; Megantara, 2022).. IGGI menyalurkan pinjaman lunak dari berbagai negara barat dan Jepang yang digunakan untuk membiayai impor barang pokok, memperbaiki infrastruktur seperti jalan dan pelabuhan, serta merehabilitasi industri yang sempat lumpuh. Bantuan dari IGGI sangat penting bagi berlangsungnya program stabilisasi orde baru, karena membantu pemerintah menutup defisit anggaran dan mendorong kembali perekonomian nasional. Namun, sejak tahun 1992, IGGI dibubarkan dan digantikan oleh CGI (Consultative Group on Indonesia) di bawah pimpinan bank dunia, yang melanjutkan tugas serupa sebagai lembaga koordinasi bantuan luar negeri (Kurniawan, 2025). </w:t>
      </w:r>
    </w:p>
    <w:p w14:paraId="5AE12AA5" w14:textId="77777777" w:rsidR="0038327B" w:rsidRDefault="0038327B" w:rsidP="0038327B">
      <w:pPr>
        <w:jc w:val="both"/>
        <w:rPr>
          <w:rFonts w:ascii="Constantia" w:hAnsi="Constantia"/>
        </w:rPr>
      </w:pPr>
    </w:p>
    <w:p w14:paraId="6924F3FB" w14:textId="7B70CB82" w:rsidR="00D84A70" w:rsidRPr="00690BF7" w:rsidRDefault="00D84A70" w:rsidP="0038327B">
      <w:pPr>
        <w:jc w:val="both"/>
        <w:rPr>
          <w:rFonts w:ascii="Constantia" w:hAnsi="Constantia"/>
          <w:b/>
          <w:bCs/>
        </w:rPr>
      </w:pPr>
      <w:r w:rsidRPr="00690BF7">
        <w:rPr>
          <w:rFonts w:ascii="Constantia" w:hAnsi="Constantia"/>
          <w:b/>
          <w:bCs/>
        </w:rPr>
        <w:lastRenderedPageBreak/>
        <w:t xml:space="preserve">METODE </w:t>
      </w:r>
    </w:p>
    <w:p w14:paraId="6FD6917B" w14:textId="77777777" w:rsidR="0038327B" w:rsidRDefault="0038327B" w:rsidP="00690BF7">
      <w:pPr>
        <w:spacing w:line="276" w:lineRule="auto"/>
        <w:jc w:val="both"/>
        <w:rPr>
          <w:rFonts w:ascii="Constantia" w:hAnsi="Constantia"/>
        </w:rPr>
      </w:pPr>
      <w:r w:rsidRPr="0038327B">
        <w:rPr>
          <w:rFonts w:ascii="Constantia" w:hAnsi="Constantia"/>
        </w:rPr>
        <w:t xml:space="preserve">Penelitian ini menggunakan metode kualitatif deskriptif dengan pendekatan kajian literatur. Metode kualitatif deskriptif merupakan metode yang bertujuan untuk mendeskripsikan dan mengintegrasikan data sejarah berdasarkan keabsahan dan keotentikan sumber sejarah melalui sumber literatur berdasarkan teori penulisan sejarah. Kajian literatur merupakan sebuah langkah penyusunan data deskriptif berupa narasi tertulis yang berasal dari sumber literatur yang relevan dengan penelitian. Tahapan dalam penelitian ini menggunakan tahapan penelitian sejarah yang disampaikan oleh Kuntowijoyo (2005), terdiri dari lima tahapan: (1) pemilihan topik, (2) Heuristik, (3) Kritik Sumber, (4) Interpretasi, dan (5) Historiografi. Pada tahap pemilihan topik, penulis menentukan topik yang akan diteliti dalam artikel yang akan ditulis dengan mempertimbangkan kebenaran data dan sumber sejarah. Pada artikel ini topik yang diangkat mengenai analisis historis kebijakan ekonomi orde baru dan dampaknya terhadap transformasi struktur perekonomian Indonesia (1966-1998). Selanjutnya, tahap heuristik yaitu pengumpulan data dan sumber sejarah yang terkait dengan kajian yang akan dibahas dalam artikel ini.  Pengumpulan data ini dilaksanakan dengan kajian literatur dan studi dokumentasi. Pada tahap kritik sumber peneliti memastikan sumber data sejarah yang digunakan sesuai dengan kebenaran data sejarah. Kemudian, interpretasi merupakan tahap penafsiran dan </w:t>
      </w:r>
      <w:r w:rsidRPr="0038327B">
        <w:rPr>
          <w:rFonts w:ascii="Constantia" w:hAnsi="Constantia"/>
        </w:rPr>
        <w:t xml:space="preserve">analisis mengenai sumber dan data sejarah yang didapatkan. Tahap terakhir merupakan tahap historiografi sebagai langkah terakhir dalam penyusunan artikel melalui sumber dan data sejarah yang telah dikaji. Teknik analisis data terdiri dari 4 tahapan: Pengumpulan data, reduksi data, penyajian data dan penarikan kesimpulan. Proses analisis data kualitatif dilakukan secara interaktif dan terus berulang hingga penelitian mencapai tingkat kejenuhan data. Tahapan analisis ini meliputi reduksi data, penyajian data, dan penarikan kesimpulan atau verifikasi (Miles &amp; Huberman, 1984 dalam Sugiyono, 2013). </w:t>
      </w:r>
    </w:p>
    <w:p w14:paraId="72314EAD" w14:textId="313C42AC" w:rsidR="00E13FDA" w:rsidRPr="00690BF7" w:rsidRDefault="00E13FDA" w:rsidP="00690BF7">
      <w:pPr>
        <w:spacing w:line="276" w:lineRule="auto"/>
        <w:jc w:val="both"/>
        <w:rPr>
          <w:rFonts w:ascii="Constantia" w:hAnsi="Constantia"/>
          <w:b/>
          <w:bCs/>
        </w:rPr>
      </w:pPr>
      <w:r w:rsidRPr="00690BF7">
        <w:rPr>
          <w:rFonts w:ascii="Constantia" w:hAnsi="Constantia"/>
          <w:b/>
          <w:bCs/>
        </w:rPr>
        <w:t>HASIL DAN PEMBAHASAN</w:t>
      </w:r>
    </w:p>
    <w:p w14:paraId="33831550" w14:textId="77777777" w:rsidR="0038327B" w:rsidRPr="00665C6B" w:rsidRDefault="0038327B" w:rsidP="0038327B">
      <w:pPr>
        <w:jc w:val="both"/>
        <w:rPr>
          <w:rFonts w:ascii="Constantia" w:hAnsi="Constantia"/>
          <w:b/>
          <w:bCs/>
        </w:rPr>
      </w:pPr>
      <w:r w:rsidRPr="00665C6B">
        <w:rPr>
          <w:rFonts w:ascii="Constantia" w:hAnsi="Constantia"/>
          <w:b/>
          <w:bCs/>
        </w:rPr>
        <w:t xml:space="preserve">Perkembangan Ekonomi Orde Baru dari Masa ke Masa serta Dampaknya </w:t>
      </w:r>
    </w:p>
    <w:p w14:paraId="46D57A86" w14:textId="77777777" w:rsidR="0038327B" w:rsidRPr="00665C6B" w:rsidRDefault="0038327B" w:rsidP="0038327B">
      <w:pPr>
        <w:jc w:val="both"/>
        <w:rPr>
          <w:rFonts w:ascii="Constantia" w:hAnsi="Constantia"/>
          <w:b/>
          <w:bCs/>
        </w:rPr>
      </w:pPr>
      <w:r w:rsidRPr="00665C6B">
        <w:rPr>
          <w:rFonts w:ascii="Constantia" w:hAnsi="Constantia"/>
          <w:b/>
          <w:bCs/>
        </w:rPr>
        <w:t>Periode awal Orde Baru (1966–1973)</w:t>
      </w:r>
    </w:p>
    <w:p w14:paraId="06CA4611" w14:textId="77777777" w:rsidR="0038327B" w:rsidRPr="0038327B" w:rsidRDefault="0038327B" w:rsidP="0038327B">
      <w:pPr>
        <w:jc w:val="both"/>
        <w:rPr>
          <w:rFonts w:ascii="Constantia" w:hAnsi="Constantia"/>
        </w:rPr>
      </w:pPr>
      <w:r w:rsidRPr="0038327B">
        <w:rPr>
          <w:rFonts w:ascii="Constantia" w:hAnsi="Constantia"/>
        </w:rPr>
        <w:t xml:space="preserve">Pemulihan ekonomi Indonesia pada 1966 - 1973 sering digambarkan sebagai fase stabilisasi yang rasional dan teknokratis. Jika ditelusuri melalui kajian-kajian akademik, periode ini sesungguhnya merupakan fase rekonstruksi politik dan sosial yang berkelindan dengan transformasi ekonomi pedesaan. Program revolusi hijau tidak berdiri sebagai inovasi teknologi belaka ia merupakan proyek negara untuk menata ulang relasi antara pemerintah orde baru dan masyarakat desa, terutama petani kecil yang menjadi fondasi legitimasi politik rezim. Sumantri dan Firdaus (2024) revolusi hijau dirancang sebagai instrumen untuk menata ulang struktur agraria nasional. Dalam narasi mereka, modernisasi pertanian menjadi simbol bahwa negara hadir sebagai penyelamat di tengah kekacauan ekonomi pasca orde lama. Teknologi seperti benih </w:t>
      </w:r>
      <w:r w:rsidRPr="0038327B">
        <w:rPr>
          <w:rFonts w:ascii="Constantia" w:hAnsi="Constantia"/>
        </w:rPr>
        <w:lastRenderedPageBreak/>
        <w:t>unggul, pupuk urea, dan irigasi teknis diproyeksikan bukan hanya untuk meningkatkan produksi beras, tetapi juga untuk membentuk citra negara kuat dan efisien yang mampu memastikan ketahanan pangan rakyat. Dalam konteks ini, pembangunan pertanian menjadi alat politik untuk membangun kesetiaan masyarakat desa kepada negara. Narasi keberhasilan yang dibangun rezim ternyata tidak sepenuhnya selaras dengan realitas sosial-ekonomi di lapangan.</w:t>
      </w:r>
    </w:p>
    <w:p w14:paraId="18EEB66C" w14:textId="77777777" w:rsidR="0038327B" w:rsidRPr="0038327B" w:rsidRDefault="0038327B" w:rsidP="0038327B">
      <w:pPr>
        <w:jc w:val="both"/>
        <w:rPr>
          <w:rFonts w:ascii="Constantia" w:hAnsi="Constantia"/>
        </w:rPr>
      </w:pPr>
      <w:r w:rsidRPr="0038327B">
        <w:rPr>
          <w:rFonts w:ascii="Constantia" w:hAnsi="Constantia"/>
        </w:rPr>
        <w:t xml:space="preserve">Gultom dan Harianto (2021) Revolusi Hijau tidak hanya menghasilkan peningkatan produksi, tetapi juga menciptakan ketergantungan struktural terhadap input-input modern. Input modern menjadi prasyarat baru produksi, sehingga petani kecil memasuki lingkaran dependensi ekonomi, tulis mereka. Artinya, teknologi baru memang meningkatkan hasil panen, tetapi menuntut biaya produksi yang terus meningkat, sehingga sebagian petani justru terjebak dalam kredit dan meningkatnya tekanan ekonomi. Styawan (2022) menemukan bahwa tidak semua petani siap menghadapi modernisasi. Sebagian tetap bertahan pada pola subsisten, sehingga hanya kelompok tertentu yang mampu mengecap manfaat revolusi hijau. Repelita 1 dilaksanakan sejak 1 April 1969 yang memiliki sasaran utama dalam pengembangan perekonomian dalam aspek pertanian. Untuk memberi biaya terlaksananya repelita 1 digali dari berbagai sumber keuangan dan tabungan pemerintah, kredit jangka menengah, dan kredit jangka panjang dari perbankan, penanaman modal dan reinvestasi oleh perusahaan swasta nasional, perusahan asing dan perusahan negara serta bantuan luar negeri. Landasan utama yang dipakai dalam pelaksanaan repelita 1 didasarkan </w:t>
      </w:r>
      <w:r w:rsidRPr="0038327B">
        <w:rPr>
          <w:rFonts w:ascii="Constantia" w:hAnsi="Constantia"/>
        </w:rPr>
        <w:t>pada kemampuan sendiri, berarti sumber-sumber keuangan dalam negeri harus dimobilisasikan sebanyak mungkin, sedangkan sumber-sumber luar negeri hanya dibutuhkan untuk mengisi kekurangan yang diperlukan. Repelita 1 berakhir pada 31 maret 1974. Modernisasi tidak menghilangkan kultur agraris tradisional, dan justru mempertegas stratifikasi sosial antara petani pemilik modal dan petani kecil. Dimensi ekologis juga menjadi peringatan penting dalam menilai fase ini. Dewi (2024) secara tegas menyebut revolusi hijau sebagai proses yang menghasilkan ketimpangan ekologi dan kerentanan berkelanjutan, terutama karena penggunaan pupuk kimia dan pestisida secara masif. Dalam perspektif ini, program pertanian orde baru tidak hanya modernisasi pedesaan, tetapi sekaligus membangun dasar masalah lingkungan yang baru, yang dampaknya masih terlihat hingga abad ke-21. Pemulihan ekonomi 1966-1973 dapat dipahami bukan hanya sebagai strategi teknokratis, tetapi juga sebagai praktik hegemonik negara yang menggunakan pertanian sebagai wahana legitimasi kekuasaan. Kenaikan produksi dan stabilitas pangan memang menjadi capaian nyata, tetapi dibalik itu terdapat problem ketergantungan teknologi, ketimpangan sosial, serta dampak ekologis yang terakumulasi. Periode ini menjadi fondasi penting bagi pembangunan orde baru, tetapi juga menyimpan paradoks yang menjadi isu struktural hingga masa kini (Ardianto, Kurniawan, &amp; Ciciria, 2022).</w:t>
      </w:r>
    </w:p>
    <w:p w14:paraId="18D90236" w14:textId="77777777" w:rsidR="0038327B" w:rsidRPr="00665C6B" w:rsidRDefault="0038327B" w:rsidP="0038327B">
      <w:pPr>
        <w:jc w:val="both"/>
        <w:rPr>
          <w:rFonts w:ascii="Constantia" w:hAnsi="Constantia"/>
        </w:rPr>
      </w:pPr>
      <w:r w:rsidRPr="00665C6B">
        <w:rPr>
          <w:rFonts w:ascii="Constantia" w:hAnsi="Constantia"/>
          <w:b/>
          <w:bCs/>
        </w:rPr>
        <w:t>Boom Minyak dan Industrialisasi Awal (1974–1982)</w:t>
      </w:r>
      <w:r w:rsidRPr="00665C6B">
        <w:rPr>
          <w:rFonts w:ascii="Constantia" w:hAnsi="Constantia"/>
        </w:rPr>
        <w:t xml:space="preserve"> </w:t>
      </w:r>
    </w:p>
    <w:p w14:paraId="58369534" w14:textId="77777777" w:rsidR="0038327B" w:rsidRPr="0038327B" w:rsidRDefault="0038327B" w:rsidP="0038327B">
      <w:pPr>
        <w:jc w:val="both"/>
        <w:rPr>
          <w:rFonts w:ascii="Constantia" w:hAnsi="Constantia"/>
        </w:rPr>
      </w:pPr>
      <w:r w:rsidRPr="0038327B">
        <w:rPr>
          <w:rFonts w:ascii="Constantia" w:hAnsi="Constantia"/>
        </w:rPr>
        <w:t xml:space="preserve">Ledakan harga minyak pada 1973 yang dipicu embargo OPEC terhadap negara-negara Barat mengubah secara drastis wajah ekonomi Indonesia. Rahmawati (2022) periode ini menandai lonjakan </w:t>
      </w:r>
      <w:r w:rsidRPr="0038327B">
        <w:rPr>
          <w:rFonts w:ascii="Constantia" w:hAnsi="Constantia"/>
        </w:rPr>
        <w:lastRenderedPageBreak/>
        <w:t>fiskal terbesar dalam sejarah ekonomi Indonesia modern. Pada saat hampir semua negara berkembang mengalami tekanan ekonomi akibat krisis energi, Indonesia justru menikmati peningkatan pendapatan negara yang luar biasa, karena statusnya sebagai eksportir minyak dan anggota OPEC. Fenomena ini kemudian dikenal sebagai oil boom atau boom minyak pertama Indonesia. Lonjakan pendapatan tersebut menggeser orientasi pembangunan orde baru dari sekadar stabilisasi menuju ekspansi besar-besaran dalam pembangunan industri, infrastruktur, dan program sosial nasional. Boom minyak ini tidak sekadar fenomena ekonomi, melainkan menjadi katalis pembentukan struktur kekuasaan orde baru yang semakin terpusat. Dengan anggaran negara yang meningkat berlipat ganda, pemerintah mampu membiayai proyek pembangunan dalam skala besar yang sebelumnya tidak terbayangkan. Hartanto (2021) dalam studi tentang pembangunan pertanian di Simalungun, dana minyak memungkinkan pemerintah memperluas proyek intensifikasi pertanian, pembangunan irigasi, dan mekanisasi, sehingga produktivitas pertanian meningkat tajam. Keberhasilan ini tidak merata wilayah yang dekat dengan pusat administrasi menerima manfaat jauh lebih besar dibandingkan daerah terpencil. Dengan kata lain, boom minyak menciptakan kemajuan, tetapi sekaligus memperdalam ketimpangan struktural.</w:t>
      </w:r>
    </w:p>
    <w:p w14:paraId="4106BF96" w14:textId="77777777" w:rsidR="0038327B" w:rsidRPr="0038327B" w:rsidRDefault="0038327B" w:rsidP="0038327B">
      <w:pPr>
        <w:jc w:val="both"/>
        <w:rPr>
          <w:rFonts w:ascii="Constantia" w:hAnsi="Constantia"/>
        </w:rPr>
      </w:pPr>
      <w:r w:rsidRPr="0038327B">
        <w:rPr>
          <w:rFonts w:ascii="Constantia" w:hAnsi="Constantia"/>
        </w:rPr>
        <w:t xml:space="preserve">Ketika Repelita II dimulai pada 1 April 1974, ekonomi Indonesia berada pada puncak optimisme akibat melimpahnya pemasukan minyak. Sasaran Repelita II bukan hanya teknis, tetapi mencerminkan ambisi Orde Baru membangun legitimasi politik melalui </w:t>
      </w:r>
      <w:r w:rsidRPr="0038327B">
        <w:rPr>
          <w:rFonts w:ascii="Constantia" w:hAnsi="Constantia"/>
        </w:rPr>
        <w:t>keberhasilan pembangunan. Fokus pada pemenuhan kebutuhan pokok pangan, sandang, perumahan serta pembangunan sarana prasarana merupakan cerminan dari basic needs approach yang banyak dikembangkan lembaga internasional pada era 1970-an. Rahmawati (2022) Repelita II membawa perubahan mendasar dalam cara negara mengelola pembangunan, dari pembangunan berbasis anggaran minimal menjadi pembangunan berbasis surplus fiskal. Ini tampak pada ekspansi besar proyek irigasi, jalan raya, penyediaan fasilitas kesehatan, dan pembangunan perumahan rakyat. Pemerintah menargetkan bahwa hasil pembangunan tidak hanya meningkatkan pertumbuhan ekonomi, tetapi juga menaikkan taraf hidup rakyat secara langsung. Keberhasilan pembangunan dalam Repelita II dibangun di atas ketergantungan tunggal pada harga minyak. Dalam kerangka ini, kemajuan yang dicapai bukan sepenuhnya hasil peningkatan produktivitas ekonomi nasional, melainkan bersumber dari pendapatan minyak yang fluktuatif secara global. Dengan kata lain, Repelita II mengalami resource-led development yang kuat, tanpa disertai diversifikasi struktural yang memadai.</w:t>
      </w:r>
    </w:p>
    <w:p w14:paraId="3AF0B336" w14:textId="77777777" w:rsidR="0038327B" w:rsidRPr="0038327B" w:rsidRDefault="0038327B" w:rsidP="0038327B">
      <w:pPr>
        <w:jc w:val="both"/>
        <w:rPr>
          <w:rFonts w:ascii="Constantia" w:hAnsi="Constantia"/>
        </w:rPr>
      </w:pPr>
      <w:r w:rsidRPr="0038327B">
        <w:rPr>
          <w:rFonts w:ascii="Constantia" w:hAnsi="Constantia"/>
        </w:rPr>
        <w:t xml:space="preserve">Repelita III dimulai pada 1 April 1979, ketika harga minyak masih tinggi, tetapi mulai menunjukkan tanda-tanda ketidakstabilan. Pada periode inilah pemerintah secara eksplisit menjadikan pemerataan sebagai fokus utama pembangunan. Delapan jalur pemerataan dalam Repelita III menunjukkan bahwa orde baru menyadari bahwa pertumbuhan tinggi pada era Repelita II tidak menghasilkan keadilan sosial secara luas. Penelitian Amirudin &amp; Leksana (2023) program pemerataan bukan hanya bentuk koreksi </w:t>
      </w:r>
      <w:r w:rsidRPr="0038327B">
        <w:rPr>
          <w:rFonts w:ascii="Constantia" w:hAnsi="Constantia"/>
        </w:rPr>
        <w:lastRenderedPageBreak/>
        <w:t xml:space="preserve">ekonomi, tetapi merupakan instrumen penetrasi negara ke dalam masyarakat desa. Melalui berbagai proyek pembangunan desa, layanan kesehatan, pendidikan, hingga program kerja, pemerintah menstrukturkan ulang hubungan sosial-politik desa. Dengan demikian, pembangunan bukan hanya tindakan ekonomis, tetapi proyek politik untuk memperkuat sentralisasi kekuasaan orde baru. Hal ini menunjukkan paradoks besar pembangunan orde baru semakin banyak pembangunan dilakukan, semakin kuat kontrol negara melekat dalam kehidupan sosial masyarakat desa. Pembangunan menjadi aparatus depolitikasi yang menata ulang otoritas lokal agar sejalan dengan kepentingan pusat. Boom minyak juga mendanai industrialisasi awal. Industri pupuk, baja, semen, dan petrokimia berkembang pesat karena didukung investasi negara yang sangat besar. Kajian-kajian ekonomi dan sejarah menunjukkan bahwa industrialisasi ini bersifat tidak berkelanjutan. Industri besar tumbuh bukan karena daya saing, tetapi karena subsidi besar dari pendapatan minyak. Ketika harga minyak mulai jatuh pada awal 1980-an, sejumlah proyek industri strategis berjalan di bawah kapasitas, bahkan tidak produktif. Di sinilah paradoks pembangunan orde baru menjadi jelas yakni pembangunan industri berhasil dibangun, tetapi tidak berakar kuat karena terlalu mengandalkan minyak. </w:t>
      </w:r>
    </w:p>
    <w:p w14:paraId="3F17F0AA" w14:textId="77777777" w:rsidR="0038327B" w:rsidRPr="00665C6B" w:rsidRDefault="0038327B" w:rsidP="0038327B">
      <w:pPr>
        <w:jc w:val="both"/>
        <w:rPr>
          <w:rFonts w:ascii="Constantia" w:hAnsi="Constantia"/>
          <w:b/>
          <w:bCs/>
        </w:rPr>
      </w:pPr>
      <w:r w:rsidRPr="00665C6B">
        <w:rPr>
          <w:rFonts w:ascii="Constantia" w:hAnsi="Constantia"/>
          <w:b/>
          <w:bCs/>
        </w:rPr>
        <w:t>Periode (1983–1996)</w:t>
      </w:r>
    </w:p>
    <w:p w14:paraId="14787FA1" w14:textId="77777777" w:rsidR="0038327B" w:rsidRPr="0038327B" w:rsidRDefault="0038327B" w:rsidP="0038327B">
      <w:pPr>
        <w:jc w:val="both"/>
        <w:rPr>
          <w:rFonts w:ascii="Constantia" w:hAnsi="Constantia"/>
        </w:rPr>
      </w:pPr>
      <w:r w:rsidRPr="0038327B">
        <w:rPr>
          <w:rFonts w:ascii="Constantia" w:hAnsi="Constantia"/>
        </w:rPr>
        <w:t xml:space="preserve">Ketika harga minyak dunia jatuh pada awal 1980-an, Indonesia dihadapkan pada kenyataan bahwa model pembangunan berbasis rente minyak tidak lagi mampu menopang stabilitas ekonomi jangka panjang. Krisis harga tersebut menjadi titik balik lahirnya era baru yakni diversifikasi ekonomi dan </w:t>
      </w:r>
      <w:r w:rsidRPr="0038327B">
        <w:rPr>
          <w:rFonts w:ascii="Constantia" w:hAnsi="Constantia"/>
        </w:rPr>
        <w:t xml:space="preserve">industrialisasi berbasis ekspor akantetapi sebagaimana ditunjukkan berbagai penelitian, transformasi ini tidak berlangsung sebagai proses linear yang bebas dari ketegangan ekonomi-politik. Arsyad dan Detajanna (1993) pertumbuhan industri manufaktur sejak pertengahan 1980-an didorong secara kuat oleh deregulasi dan insentif negara. Kebijakan negara saat itu secara sistematis merekayasa restrukturisasi industri menuju orientasi ekspor. Reformasi perbankan 1983, deregulasi perdagangan 1985-1986, serta liberalisasi investasi 1988 adalah tonggak kebijakan yang membuka pintu masuk modal asing dan mempercepat pertumbuhan sektor-sektor padat karya seperti tekstil, garmen, sepatu, dan elektronik. Narasi akademik ini memperlihatkan bahwa negara bukan sekadar fasilitator, tetapi arsitek utama dalam membentuk wajah industrialisasi Indonesia. Industrialisasi ini tidak sepenuhnya menghasilkan struktur ekonomi yang kokoh. Margiansyah (2023) perkembangan industri orde baru menghadapi inferioritas teknologi, yakni ketergantungan besar terhadap teknologi impor dan minimnya transfer kemampuan teknis kepada industri nasional. Industri manufaktur yang tumbuh pesat ternyata lebih merupakan industri perakitan, bukan industri berbasis inovasi. industrialisasi Indonesia pada masa ini lebih bersifat semu: pertumbuhan tinggi, tetapi tanpa pendalaman teknologi (shallow industrialization). Persoalan struktural ini menimbulkan implikasi ekonomi yang signifikan. Ketika industri tumbuh tanpa basis teknologi domestik, nilai tambah nasional menjadi rendah, sementara ketergantungan terhadap modal asing dan pasar global terus meningkat. Konsekuensinya, guncangan eksternal dengan mudah menggoyahkan </w:t>
      </w:r>
      <w:r w:rsidRPr="0038327B">
        <w:rPr>
          <w:rFonts w:ascii="Constantia" w:hAnsi="Constantia"/>
        </w:rPr>
        <w:lastRenderedPageBreak/>
        <w:t>fondasi industri, sebagaimana terlihat menjelang krisis 1997/1998. Shaleha, Selviana, dan Muharman (2024) kebijakan ekonomi orde baru pada 1980–1990-an dibangun dalam kerangka negara-pengusaha yang saling menopang, di mana kelompok bisnis tertentu mendapatkan akses istimewa terhadap kredit dan proyek-proyek industri. Artinya, industrialisasi tidak hanya merupakan transformasi ekonomi, melainkan juga proses konsolidasi kekuasaan antara negara dan oligarki ekonomi. Model pembangunan ini berhasil meningkatkan pertumbuhan dan memodernisasi kota-kota besar, tetapi meninggalkan ketimpangan wilayah dan memperlemah struktur ekonomi nasional. Periode ini dapat dibaca sebagai fase kemajuan yang rapuh. Indonesia berhasil melakukan diversifikasi ekonomi, mengurangi ketergantungan pada minyak, dan menjadi pemain penting dalam ekspor manufaktur Asia Tenggara. Namun industrialisasi yang bergantung pada modal asing, teknologi impor, dan kebijakan negara yang tidak merata menjadikan struktur ekonomi rentan terhadap krisis. Periode 1983-1996 adalah masa pertumbuhan, tetapi juga masa ketika pondasi kerentanan masa depan sedang dibangun.</w:t>
      </w:r>
    </w:p>
    <w:p w14:paraId="6DC4FD1B" w14:textId="77777777" w:rsidR="0038327B" w:rsidRPr="00665C6B" w:rsidRDefault="0038327B" w:rsidP="0038327B">
      <w:pPr>
        <w:jc w:val="both"/>
        <w:rPr>
          <w:rFonts w:ascii="Constantia" w:hAnsi="Constantia"/>
          <w:b/>
          <w:bCs/>
        </w:rPr>
      </w:pPr>
      <w:r w:rsidRPr="00665C6B">
        <w:rPr>
          <w:rFonts w:ascii="Constantia" w:hAnsi="Constantia"/>
          <w:b/>
          <w:bCs/>
        </w:rPr>
        <w:t>Krisis Ekonomi Asia (1997–1998)</w:t>
      </w:r>
    </w:p>
    <w:p w14:paraId="392EE8CC" w14:textId="77777777" w:rsidR="0038327B" w:rsidRPr="0038327B" w:rsidRDefault="0038327B" w:rsidP="0038327B">
      <w:pPr>
        <w:jc w:val="both"/>
        <w:rPr>
          <w:rFonts w:ascii="Constantia" w:hAnsi="Constantia"/>
        </w:rPr>
      </w:pPr>
      <w:r w:rsidRPr="0038327B">
        <w:rPr>
          <w:rFonts w:ascii="Constantia" w:hAnsi="Constantia"/>
        </w:rPr>
        <w:t xml:space="preserve">Merupakan salah satu titik balik paling menentukan dalam sejarah ekonomi Indonesia karena tidak hanya mengguncang stabilitas pembangunan orde baru, tetapi juga memperlihatkan rapuhnya struktur kelembagaan ekonomi yang selama ini terlihat kokoh di permukaan. Jurnal-jurnal Indonesia menegaskan bahwa krisis ini merupakan hasil dari kombinasi faktor eksternal dan internal yang saling memperkuat. Penelitian Sunardi dkk. (2024) </w:t>
      </w:r>
      <w:r w:rsidRPr="0038327B">
        <w:rPr>
          <w:rFonts w:ascii="Constantia" w:hAnsi="Constantia"/>
        </w:rPr>
        <w:t>menunjukkan bahwa guncangan eksternal berupa pelemahan baht Thailand hanyalah pemicu awal faktor internal seperti lemahnya fundamental ekonomi, ketergantungan pada utang luar negeri, dan sistem perbankan yang tidak sehat menjadi penyebab utama mengapa Indonesia mengalami kejatuhan lebih dalam dibandingkan negara Asia lainnya. Pada dekade 1990-an, pembangunan ekonomi Indonesia memang tampak stabil, namun stabilitas ini berdiri di atas fondasi rapuh. Deregulasi finansial melalui Pakto 1988 menyebabkan ekspansi kredit dan pertumbuhan bank yang sangat cepat, tetapi tidak diimbangi oleh pengawasan perbankan yang memadai. Sunardi dkk. (2024) menemukan bahwa praktik connected lending pemberian kredit oleh bank kepada kelompok usaha yang masih satu jaringan kepemilikan merupakan salah satu sumber kerentanan utama.</w:t>
      </w:r>
    </w:p>
    <w:p w14:paraId="57A5BAD7" w14:textId="77777777" w:rsidR="0038327B" w:rsidRPr="0038327B" w:rsidRDefault="0038327B" w:rsidP="0038327B">
      <w:pPr>
        <w:jc w:val="both"/>
        <w:rPr>
          <w:rFonts w:ascii="Constantia" w:hAnsi="Constantia"/>
        </w:rPr>
      </w:pPr>
      <w:r w:rsidRPr="0038327B">
        <w:rPr>
          <w:rFonts w:ascii="Constantia" w:hAnsi="Constantia"/>
        </w:rPr>
        <w:t xml:space="preserve">Ketika nilai tukar rupiah terjun bebas, perusahaan-perusahaan yang berhutang dalam valuta asing kehilangan kemampuan bayar, sementara bank-bank kehilangan likuiditas. Situasi ini memperlihatkan bahwa sektor perbankan Indonesia mengalami apa yang disebut para peneliti sebagai structural fragility, yakni rapuh secara sistemik meskipun tampak berkembang. Shaleha, Selviana, dan Muharman (2024). </w:t>
      </w:r>
    </w:p>
    <w:p w14:paraId="65B56A00" w14:textId="472603BC" w:rsidR="0038327B" w:rsidRPr="0038327B" w:rsidRDefault="0038327B" w:rsidP="0038327B">
      <w:pPr>
        <w:jc w:val="both"/>
        <w:rPr>
          <w:rFonts w:ascii="Constantia" w:hAnsi="Constantia"/>
        </w:rPr>
      </w:pPr>
      <w:r w:rsidRPr="0038327B">
        <w:rPr>
          <w:rFonts w:ascii="Constantia" w:hAnsi="Constantia"/>
        </w:rPr>
        <w:t xml:space="preserve">pola pembangunan orde baru yang berorientasi pada pertumbuhan cepat dengan dukungan modal asing jangka pendek menjadikan Indonesia sangat rentan terhadap gejolak eksternal. Ketergantungan pada utang luar negeri bukan hanya terjadi pada sektor swasta, tetapi juga mengakar dalam strategi pembangunan nasional. Ketika rupiah jatuh dan suku bunga melonjak, beban utang luar negeri meningkat drastis, </w:t>
      </w:r>
      <w:r w:rsidRPr="0038327B">
        <w:rPr>
          <w:rFonts w:ascii="Constantia" w:hAnsi="Constantia"/>
        </w:rPr>
        <w:lastRenderedPageBreak/>
        <w:t>memicu tekanan berantai pada sektor industri, manufaktur, dan keuangan. Analisis ini menegaskan bahwa krisis 1997–1998 bukan sekadar peristiwa keuangan, tetapi mencerminkan kegagalan strategi pembangunan jangka panjang. Bank Indonesia pada masa itu berada dalam dilema kebijakan menaikkan suku bunga untuk menahan pelarian modal memperburuk krisis kredit domestik, sementara mempertahankan suku bunga rendah mempercepat depresiasi rupiah. Inkonsistensi kebijakan ini memperburuk ketidakpercayaan pasar, yang kemudian memicu self-fulfilling crisis krisis yang diperburuk oleh ekspektasi negatif publik dan investor. Dampak sosial-ekonomi dari krisis sangat luas. Sunardi dkk. (2024) menunjukkan bahwa lebih dari 20 juta pekerja kehilangan pekerjaan, sementara kemiskinan meningkat tajam akibat lonjakan harga kebutuhan pokok. Krisis yang pada awalnya bersifat finansial berubah menjadi krisis kemanusiaan. Rumah tangga kehilangan daya beli, perusahaan menutup operasi, dan sistem perbankan lumpuh. Di sejumlah wilayah perkotaan, antrean panjang untuk mendapatkan bahan pangan mencerminkan betapa dalamnya krisis tersebut memukul struktur sosial Indonesia.</w:t>
      </w:r>
    </w:p>
    <w:p w14:paraId="7BB06307" w14:textId="77777777" w:rsidR="0038327B" w:rsidRPr="0038327B" w:rsidRDefault="0038327B" w:rsidP="0038327B">
      <w:pPr>
        <w:jc w:val="both"/>
        <w:rPr>
          <w:rFonts w:ascii="Constantia" w:hAnsi="Constantia"/>
          <w:b/>
          <w:bCs/>
        </w:rPr>
      </w:pPr>
      <w:r w:rsidRPr="0038327B">
        <w:rPr>
          <w:rFonts w:ascii="Constantia" w:hAnsi="Constantia"/>
          <w:b/>
          <w:bCs/>
        </w:rPr>
        <w:t>Perubahan Struktur Ekonomi (Pertanian, Industri, Jasa)</w:t>
      </w:r>
    </w:p>
    <w:p w14:paraId="38D40C5D" w14:textId="77777777" w:rsidR="0038327B" w:rsidRPr="0038327B" w:rsidRDefault="0038327B" w:rsidP="0038327B">
      <w:pPr>
        <w:jc w:val="both"/>
        <w:rPr>
          <w:rFonts w:ascii="Constantia" w:hAnsi="Constantia"/>
        </w:rPr>
      </w:pPr>
      <w:r w:rsidRPr="0038327B">
        <w:rPr>
          <w:rFonts w:ascii="Constantia" w:hAnsi="Constantia"/>
        </w:rPr>
        <w:t xml:space="preserve">Presiden Soeharto berhasil membawa Indonesia bangkit dari jurang kebangkrutan dalam bidang ekonomi dan menjadi salah satu “Macan Asia” dengan pertumbuhan ekonomi yang pesat. Transformasi ini ditandai dengan pergeseran struktur ekonomi dari yang berbasis pertanian (agrarian) menuju ekonomi yang lebih didominasi oleh industri manufaktur dan jasa (Sutadi, 2021). Dibawah kepemimpinan </w:t>
      </w:r>
      <w:r w:rsidRPr="0038327B">
        <w:rPr>
          <w:rFonts w:ascii="Constantia" w:hAnsi="Constantia"/>
        </w:rPr>
        <w:t xml:space="preserve">Soeharto, terdapat beberapa kebijakan ekonomi yang diambil untuk mendorong pertumbuhan ekonomi secara tinggi dan menjaga stabilitas politik Indonesia. Kebijakan tersebut meliputi beberapa aspek utama yaitu perbaikan sektor perbankan dan sektor riil, penarikan investasi asing secara langsung, serta melakukan promosi mengenai ekspor sehingga dapat mendorong laju pertumbuhan ekonomi yang lebih baik dari periode sebelumnya (Aprianto, 2021). Presiden Soeharto memanggil beberapa ekonom muda dari Fakultas Ekonomi Universitas Indonesia (FEUI) untuk memperhitungkan seberapa besar masalah yang ditimbulkan dan bagaimana langkah strategis yang dalam mengatasi masalah yang timbul. Kemerosotan ekonomi ini mengakibatkan pemerintah mengesahkan serta menetapkan undang-undang nomor 1 Tahun 1967 mengenai penanaman modal asing untuk masuk ke dalam negeri. Dalam penetapan undang-undang penanaman modal ini memberikan peluang yang begitu luas bagi pemodal baik dari dalam negeri maupun luar negeri untuk menanamkan modalnya di Indonesia. Dengan adanya kebijakan ini menandai dimulainya tumbuh industrialisasi di masa orde baru. Dengan adanya kebijakan ini terjadilah pertumbuhan ekonomi yang menunjukkan hasil yang sangat memuaskan pada rentang keadaan yang kurang stabil. Keadaan ini ditambah lagi dengan naiknya angka pertanian sekitar 1,4% dalam 1 tahun serta terjadi selama 5 tahun,  beberapa tahun kemudian disusul dari sektor pertambangan yang melonjak dari 3,7% menjadi 12% (Rizqi, 2022). </w:t>
      </w:r>
    </w:p>
    <w:p w14:paraId="7780616D" w14:textId="77777777" w:rsidR="0038327B" w:rsidRDefault="0038327B" w:rsidP="0038327B">
      <w:pPr>
        <w:jc w:val="both"/>
        <w:rPr>
          <w:rFonts w:ascii="Constantia" w:hAnsi="Constantia"/>
        </w:rPr>
      </w:pPr>
      <w:r w:rsidRPr="0038327B">
        <w:rPr>
          <w:rFonts w:ascii="Constantia" w:hAnsi="Constantia"/>
        </w:rPr>
        <w:t xml:space="preserve">Pemerintah orde baru melakukan perjanjian penundaan pembayaran hutang-hutang negara asing &amp; usaha untuk mendapatkan kredit baru. </w:t>
      </w:r>
      <w:r w:rsidRPr="0038327B">
        <w:rPr>
          <w:rFonts w:ascii="Constantia" w:hAnsi="Constantia"/>
        </w:rPr>
        <w:lastRenderedPageBreak/>
        <w:t xml:space="preserve">pemerintah orde baru juga memiliki program yang tersusun untuk mengatasi ketidakstabilan perekonomian di Indonesia. Program PELITA pada dua tahap pembangunan Lima Tahun pertama dapat dikatakan cukup memuaskan karena indeks kinerja perekonomian (economic performance) dapat menumbuhkan ekonomi secara signifikan hingga angka 7 persen rata-rata per tahun (Khairani, Suprayitno &amp; Warjio, 2022). Program ini disusun oleh pemerintah orde baru dalam menunjang pembangunan negara dengan jangka waktu (25-30 tahun). Dengan indeks tersebut mendorong investor untuk berinvestasi sehingga investasi pada masa orde baru semakin meroket, hal ini ditunjukkan dari angka 11% menjadi 24% produk domestik bruto (PDB) selama kurun waktu 10 tahun. Sejak itu perlahan lahan pemerintah orde baru mulai merubah haluan beban kegiatan ekonomi dari sektor agraria ke sektor industri swasta untuk terlibat melalui deregulasi perbankan.  Disisi lain pertumbuhan ini diikuti dengan terus meningkatnya tabungan negara yang pada tahun fiskal 1969/1970 hanya 23% berubah menjadi 55% di tahun 1973/1974 (Piliang, 2023). Pertumbuhan ini dapat dikatakan sangat membanggakan, karena setidaknya pada indeks macro perekonomian Indonesia dapat diukur berupa tingkat pendapatan per kapita dan laju pertumbuhan PDB per tahunnya. Dengan laju perbaikan perekonomian yang signifikan dan terbukanya lahan investasi di Indonesia menyebabkan pergeseran kontribusi PDB dari sektor agraris menjadi sektor industri melalui penanaman saham dari investor (dalam negeri atau luar negeri) (Sufriadi, 2022). Dengan adanya pergeseran ini menyerap tenaga kerja Indonesia untuk bekerja di perusahan-perusahan industri yang berinvestasi di </w:t>
      </w:r>
      <w:r w:rsidRPr="0038327B">
        <w:rPr>
          <w:rFonts w:ascii="Constantia" w:hAnsi="Constantia"/>
        </w:rPr>
        <w:t>Indonesia. Kebijakan ini membawa dampak yang signifikan serta memperbaiki sedikit demi sedikit arah perekonomian negara. Dengan semakin banyaknya industri yang berkembang, maka semakin banyak peluang kerja yang dapat dihadirkan didalamnya. Pola ini membawa perekonomian semakin membaik dan stabil dari masa sebelumnya. Dengan demikian perekonomian Indonesia pada masa orde baru lebih difokuskan pada stabilitas domestik, pertahanan serta keamanan negara (Hermansyah &amp; Faznur, 2025). Situasi negara yang tidak menentu diiringi warisan inflasi ekonomi yang tinggi mengakibatkan beberapa kebijakan diambil untuk menekan laju pertumbuhan ekonomi. Indonesia sebagai negara yang menerapkan politik bebas aktif mendorong keterbukaan investor dari asing dan perbankan yang memiliki peran sentral dalam membangun ketahanan nasional. Pada kondisi ini Presiden Soeharto mengambil kebijakan baru yang mengubah wajah ekonomi Indonesia lebih baik lagi yaitu Undang-Undang Penanaman Modal Asing (PMA) tahun 1967 yang memungkinkan untuk perusahaan asing maupun dalam negeri dapat mendirikan dan membuka perusahaan di Indonesia. Pada dasarnya Undang-Undang PMA dibuat dengan tujuan mendorong pergerakan perekonomian yang berorientasi pada pasar, mengingat perekonomian Indonesia sebelumnya bergantung pada sektor perminyakan.</w:t>
      </w:r>
    </w:p>
    <w:p w14:paraId="3ADD994F" w14:textId="6B215DE1" w:rsidR="00AE3DC1" w:rsidRPr="00690BF7" w:rsidRDefault="0038327B" w:rsidP="0038327B">
      <w:pPr>
        <w:jc w:val="both"/>
        <w:rPr>
          <w:rFonts w:ascii="Constantia" w:hAnsi="Constantia"/>
          <w:b/>
          <w:bCs/>
        </w:rPr>
      </w:pPr>
      <w:r>
        <w:rPr>
          <w:rFonts w:ascii="Constantia" w:hAnsi="Constantia"/>
          <w:b/>
          <w:bCs/>
        </w:rPr>
        <w:t>KESIMPULAN</w:t>
      </w:r>
    </w:p>
    <w:p w14:paraId="7BA013D6" w14:textId="321AF84A" w:rsidR="0038327B" w:rsidRPr="00665C6B" w:rsidRDefault="0038327B" w:rsidP="00690BF7">
      <w:pPr>
        <w:jc w:val="both"/>
        <w:rPr>
          <w:rFonts w:ascii="Constantia" w:hAnsi="Constantia"/>
        </w:rPr>
      </w:pPr>
      <w:r w:rsidRPr="0038327B">
        <w:rPr>
          <w:rFonts w:ascii="Constantia" w:hAnsi="Constantia"/>
        </w:rPr>
        <w:t xml:space="preserve">Kajian terhadap perjalanan ekonomi Indonesia pada masa orde baru menunjukkan bahwa keberhasilan pembangunan tidak dapat dilepaskan dari strategi stabilitas makro dan orientasi pada pertumbuhan tinggi. Pemerintah mampu menurunkan </w:t>
      </w:r>
      <w:r w:rsidRPr="0038327B">
        <w:rPr>
          <w:rFonts w:ascii="Constantia" w:hAnsi="Constantia"/>
        </w:rPr>
        <w:lastRenderedPageBreak/>
        <w:t xml:space="preserve">inflasi, menata ulang kebijakan fiskal moneter, serta mencapai capaian penting seperti swasembada pangan dan ekspansi sektor manufaktur. Namun, penelitian ini mengungkap bahwa pertumbuhan tersebut dibangun di atas fondasi struktural yang rapuh, yakni ketergantungan pada minyak, utang luar negeri, dan modal asing, serta lemahnya institusi ekonomi dan pengawasan sektor keuangan. Kebijakan industrialisasi yang berorientasi ekspor memang mendorong transformasi ekonomi, tetapi tidak diimbangi dengan tata kelola pemerintahan yang akuntabel dan upaya pemerataan yang memadai. Akibatnya, ketimpangan sosial dan regional melebar, sementara praktik korupsi, kolusi, dan nepotisme mengakar dalam birokrasi. Krisis Asia 1997 menjadi titik kulminasi yang memperlihatkan kerapuhan struktur ekonomi orde baru dan menunjukkan bahwa pertumbuhan tanpa reformasi kelembagaan tidak mampu bertahan menghadapi gejolak eksternal. Model pembangunan orde baru mengandung paradoks yakni keberhasilan jangka pendek justru melahirkan kerentanan jangka panjang. Implikasi temuan ini menunjukkan pentingnya memperkuat institusi ekonomi, meningkatkan transparansi, serta mendorong pembangunan yang berorientasi pemerataan dan keberlanjutan. Dengan demikian, studi ini memberikan landasan bagi analisis lebih lanjut mengenai bagaimana reformasi pasca-1998 berupaya menjawab kegagalan struktural tersebut, serta membuka ruang penelitian lanjutan terkait ketahanan ekonomi Indonesia dalam menghadapi krisis global di masa depan. </w:t>
      </w:r>
    </w:p>
    <w:p w14:paraId="5F13657A" w14:textId="406B9E2E" w:rsidR="00AE3DC1" w:rsidRPr="00690BF7" w:rsidRDefault="00AE3DC1" w:rsidP="00690BF7">
      <w:pPr>
        <w:jc w:val="both"/>
        <w:rPr>
          <w:rFonts w:ascii="Constantia" w:hAnsi="Constantia"/>
          <w:b/>
          <w:bCs/>
        </w:rPr>
      </w:pPr>
      <w:r w:rsidRPr="00690BF7">
        <w:rPr>
          <w:rFonts w:ascii="Constantia" w:hAnsi="Constantia"/>
          <w:b/>
          <w:bCs/>
        </w:rPr>
        <w:t>DAFTAR PUSTAKA</w:t>
      </w:r>
    </w:p>
    <w:p w14:paraId="55FBB411" w14:textId="77777777" w:rsidR="0038327B" w:rsidRPr="0038327B" w:rsidRDefault="0038327B" w:rsidP="0038327B">
      <w:pPr>
        <w:ind w:left="567" w:hanging="567"/>
        <w:jc w:val="both"/>
        <w:rPr>
          <w:rFonts w:ascii="Constantia" w:hAnsi="Constantia"/>
        </w:rPr>
      </w:pPr>
      <w:r w:rsidRPr="0038327B">
        <w:rPr>
          <w:rFonts w:ascii="Constantia" w:hAnsi="Constantia"/>
        </w:rPr>
        <w:t xml:space="preserve">Afiyah, M. S. (2021). Reformasi Ekonomi Habibie 1998-1999: Sebuah Kebijakan Atasi Krisis Ekonomi </w:t>
      </w:r>
      <w:r w:rsidRPr="0038327B">
        <w:rPr>
          <w:rFonts w:ascii="Constantia" w:hAnsi="Constantia"/>
        </w:rPr>
        <w:t>Orde Baru. Sejarah dan Budaya, 15(2), 249–262.</w:t>
      </w:r>
    </w:p>
    <w:p w14:paraId="3437C140" w14:textId="77777777" w:rsidR="0038327B" w:rsidRPr="0038327B" w:rsidRDefault="0038327B" w:rsidP="0038327B">
      <w:pPr>
        <w:ind w:left="567" w:hanging="567"/>
        <w:jc w:val="both"/>
        <w:rPr>
          <w:rFonts w:ascii="Constantia" w:hAnsi="Constantia"/>
        </w:rPr>
      </w:pPr>
      <w:r w:rsidRPr="0038327B">
        <w:rPr>
          <w:rFonts w:ascii="Constantia" w:hAnsi="Constantia"/>
        </w:rPr>
        <w:t>Amirudin, M. R., &amp; Leksana, G. T. (2023). Perubahan Desa dan Penerapan Kebijakan Orde Baru di Blitar Barat (1969–1983). Historia: Jurnal Sejarah, 22(1).</w:t>
      </w:r>
    </w:p>
    <w:p w14:paraId="59FD7C41" w14:textId="77777777" w:rsidR="0038327B" w:rsidRPr="0038327B" w:rsidRDefault="0038327B" w:rsidP="0038327B">
      <w:pPr>
        <w:ind w:left="567" w:hanging="567"/>
        <w:jc w:val="both"/>
        <w:rPr>
          <w:rFonts w:ascii="Constantia" w:hAnsi="Constantia"/>
        </w:rPr>
      </w:pPr>
      <w:r w:rsidRPr="0038327B">
        <w:rPr>
          <w:rFonts w:ascii="Constantia" w:hAnsi="Constantia"/>
        </w:rPr>
        <w:t>Andrianto, A. D. (2023). Transformasi Pertanian Masa Orde Baru dalam Mewujudkan Kemandirian Pangan. Jurnal Sosial Ekonomi Pertanian, 11(2), 14-20.</w:t>
      </w:r>
    </w:p>
    <w:p w14:paraId="6C94B8CE" w14:textId="77777777" w:rsidR="0038327B" w:rsidRPr="0038327B" w:rsidRDefault="0038327B" w:rsidP="0038327B">
      <w:pPr>
        <w:ind w:left="567" w:hanging="567"/>
        <w:jc w:val="both"/>
        <w:rPr>
          <w:rFonts w:ascii="Constantia" w:hAnsi="Constantia"/>
        </w:rPr>
      </w:pPr>
      <w:r w:rsidRPr="0038327B">
        <w:rPr>
          <w:rFonts w:ascii="Constantia" w:hAnsi="Constantia"/>
        </w:rPr>
        <w:t>Aprianto, T. C. (2021). Pelaksanaan agenda reforma agraria awal masa orde baru (1967-1973). Historia, 3(2), 397-414.</w:t>
      </w:r>
    </w:p>
    <w:p w14:paraId="2082A5F5" w14:textId="77777777" w:rsidR="0038327B" w:rsidRPr="0038327B" w:rsidRDefault="0038327B" w:rsidP="0038327B">
      <w:pPr>
        <w:ind w:left="567" w:hanging="567"/>
        <w:jc w:val="both"/>
        <w:rPr>
          <w:rFonts w:ascii="Constantia" w:hAnsi="Constantia"/>
        </w:rPr>
      </w:pPr>
      <w:r w:rsidRPr="0038327B">
        <w:rPr>
          <w:rFonts w:ascii="Constantia" w:hAnsi="Constantia"/>
        </w:rPr>
        <w:t>Ardana, Y., &amp; Syamsiyah, N. (2023). Perekonomian Indonesia. Penerbit NEM.</w:t>
      </w:r>
    </w:p>
    <w:p w14:paraId="4F2569DE" w14:textId="77777777" w:rsidR="0038327B" w:rsidRPr="0038327B" w:rsidRDefault="0038327B" w:rsidP="0038327B">
      <w:pPr>
        <w:ind w:left="567" w:hanging="567"/>
        <w:jc w:val="both"/>
        <w:rPr>
          <w:rFonts w:ascii="Constantia" w:hAnsi="Constantia"/>
        </w:rPr>
      </w:pPr>
      <w:r w:rsidRPr="0038327B">
        <w:rPr>
          <w:rFonts w:ascii="Constantia" w:hAnsi="Constantia"/>
        </w:rPr>
        <w:t>Ardianto, Y., Kurniawan, P. W., &amp; Ciciria, D. (2022). Keterlibatan Militer dalam Ekonomi Indonesia Pada Tahun 1965-1998. Palapa: Jurnal Ilmiah Mahasiswa Pendidikan Sejarah, 4(1), 1-11.</w:t>
      </w:r>
    </w:p>
    <w:p w14:paraId="695B3686" w14:textId="77777777" w:rsidR="0038327B" w:rsidRPr="0038327B" w:rsidRDefault="0038327B" w:rsidP="0038327B">
      <w:pPr>
        <w:ind w:left="567" w:hanging="567"/>
        <w:jc w:val="both"/>
        <w:rPr>
          <w:rFonts w:ascii="Constantia" w:hAnsi="Constantia"/>
        </w:rPr>
      </w:pPr>
      <w:r w:rsidRPr="0038327B">
        <w:rPr>
          <w:rFonts w:ascii="Constantia" w:hAnsi="Constantia"/>
        </w:rPr>
        <w:t xml:space="preserve">Arsyad, L., &amp; Detajanna, A. (1993). Pola Pengembangan Industri Manufaktur di Indonesia, 1976-1993. Journal of Indonesian Economy and Business (JIEB). </w:t>
      </w:r>
    </w:p>
    <w:p w14:paraId="6B479A74" w14:textId="77777777" w:rsidR="0038327B" w:rsidRPr="0038327B" w:rsidRDefault="0038327B" w:rsidP="0038327B">
      <w:pPr>
        <w:ind w:left="567" w:hanging="567"/>
        <w:jc w:val="both"/>
        <w:rPr>
          <w:rFonts w:ascii="Constantia" w:hAnsi="Constantia"/>
        </w:rPr>
      </w:pPr>
      <w:r w:rsidRPr="0038327B">
        <w:rPr>
          <w:rFonts w:ascii="Constantia" w:hAnsi="Constantia"/>
        </w:rPr>
        <w:t>Dewi, T. C. J. (2024). Revolusi Hijau Ditinjau Berdasarkan Konstruksi Sejarah dan Problematika Program Ketahanan Pangan di Indonesia. Hibrida: Jurnal Pertanian, Peternakan, Perikanan, 3(1).</w:t>
      </w:r>
    </w:p>
    <w:p w14:paraId="34FD43EF" w14:textId="77777777" w:rsidR="0038327B" w:rsidRPr="0038327B" w:rsidRDefault="0038327B" w:rsidP="0038327B">
      <w:pPr>
        <w:ind w:left="567" w:hanging="567"/>
        <w:jc w:val="both"/>
        <w:rPr>
          <w:rFonts w:ascii="Constantia" w:hAnsi="Constantia"/>
        </w:rPr>
      </w:pPr>
      <w:r w:rsidRPr="0038327B">
        <w:rPr>
          <w:rFonts w:ascii="Constantia" w:hAnsi="Constantia"/>
        </w:rPr>
        <w:t>Djoened, M., &amp; Notosusanto, N. (n.d.). Sejarah Nasional Indonesia Jilid 6: Zaman Jepang dan Zaman Republik. Balai Pustaka.</w:t>
      </w:r>
    </w:p>
    <w:p w14:paraId="732401F6" w14:textId="77777777" w:rsidR="0038327B" w:rsidRPr="0038327B" w:rsidRDefault="0038327B" w:rsidP="0038327B">
      <w:pPr>
        <w:ind w:left="567" w:hanging="567"/>
        <w:jc w:val="both"/>
        <w:rPr>
          <w:rFonts w:ascii="Constantia" w:hAnsi="Constantia"/>
        </w:rPr>
      </w:pPr>
      <w:r w:rsidRPr="0038327B">
        <w:rPr>
          <w:rFonts w:ascii="Constantia" w:hAnsi="Constantia"/>
        </w:rPr>
        <w:t xml:space="preserve">Fikri, A., &amp; Hasudungan, A. N. (2021). Nasionalisasi-Investasi Perusahaan Asing, Mafia Berkeley dan Berakhirnya Rezim Presiden Soekarno. Yupa: Historical Studies Journal, 5(2), 46-60. </w:t>
      </w:r>
    </w:p>
    <w:p w14:paraId="476C27EA" w14:textId="77777777" w:rsidR="0038327B" w:rsidRPr="0038327B" w:rsidRDefault="0038327B" w:rsidP="0038327B">
      <w:pPr>
        <w:ind w:left="567" w:hanging="567"/>
        <w:jc w:val="both"/>
        <w:rPr>
          <w:rFonts w:ascii="Constantia" w:hAnsi="Constantia"/>
        </w:rPr>
      </w:pPr>
      <w:r w:rsidRPr="0038327B">
        <w:rPr>
          <w:rFonts w:ascii="Constantia" w:hAnsi="Constantia"/>
        </w:rPr>
        <w:lastRenderedPageBreak/>
        <w:t>Firdaus, D. W., &amp; Megantara, T. (2022). Hubungan Bank Dunia Dengan Kegagalan Ekonomi Di Indonesia Pada Masa Orde Baru.</w:t>
      </w:r>
    </w:p>
    <w:p w14:paraId="1B440511" w14:textId="77777777" w:rsidR="0038327B" w:rsidRPr="0038327B" w:rsidRDefault="0038327B" w:rsidP="0038327B">
      <w:pPr>
        <w:ind w:left="567" w:hanging="567"/>
        <w:jc w:val="both"/>
        <w:rPr>
          <w:rFonts w:ascii="Constantia" w:hAnsi="Constantia"/>
        </w:rPr>
      </w:pPr>
      <w:r w:rsidRPr="0038327B">
        <w:rPr>
          <w:rFonts w:ascii="Constantia" w:hAnsi="Constantia"/>
        </w:rPr>
        <w:t xml:space="preserve">Gultom, F., &amp; Harianto, S. (2021). Revolusi Hijau Merubah Sosial-Ekonomi Masyarakat Petani. TEMALI: Jurnal Pembangunan Sosial, 4(2), 145–154. </w:t>
      </w:r>
    </w:p>
    <w:p w14:paraId="1B83147A" w14:textId="77777777" w:rsidR="0038327B" w:rsidRPr="0038327B" w:rsidRDefault="0038327B" w:rsidP="0038327B">
      <w:pPr>
        <w:ind w:left="567" w:hanging="567"/>
        <w:jc w:val="both"/>
        <w:rPr>
          <w:rFonts w:ascii="Constantia" w:hAnsi="Constantia"/>
        </w:rPr>
      </w:pPr>
      <w:r w:rsidRPr="0038327B">
        <w:rPr>
          <w:rFonts w:ascii="Constantia" w:hAnsi="Constantia"/>
        </w:rPr>
        <w:t>Hartanto, D. (2021). Pembangunan Pertanian di Kabupaten Simalungun pada Masa Orde Baru. Mukadimah: Jurnal Pendidikan, Sejarah, dan Ilmu-ilmu Sosial, 5(2).</w:t>
      </w:r>
    </w:p>
    <w:p w14:paraId="0EB541BF" w14:textId="77777777" w:rsidR="0038327B" w:rsidRPr="0038327B" w:rsidRDefault="0038327B" w:rsidP="0038327B">
      <w:pPr>
        <w:ind w:left="567" w:hanging="567"/>
        <w:jc w:val="both"/>
        <w:rPr>
          <w:rFonts w:ascii="Constantia" w:hAnsi="Constantia"/>
        </w:rPr>
      </w:pPr>
      <w:r w:rsidRPr="0038327B">
        <w:rPr>
          <w:rFonts w:ascii="Constantia" w:hAnsi="Constantia"/>
        </w:rPr>
        <w:t>Hermansyah, U., &amp; Faznur, R. S. (2025). Akhir Era Orde Baru Dan Awal Reformasi Di Indonesia. Nusantara: Jurnal Pendidikan, Seni, Sains dan Sosial Humaniora, 2(02).</w:t>
      </w:r>
    </w:p>
    <w:p w14:paraId="5AA8036B" w14:textId="77777777" w:rsidR="0038327B" w:rsidRPr="0038327B" w:rsidRDefault="0038327B" w:rsidP="0038327B">
      <w:pPr>
        <w:ind w:left="567" w:hanging="567"/>
        <w:jc w:val="both"/>
        <w:rPr>
          <w:rFonts w:ascii="Constantia" w:hAnsi="Constantia"/>
        </w:rPr>
      </w:pPr>
      <w:r w:rsidRPr="0038327B">
        <w:rPr>
          <w:rFonts w:ascii="Constantia" w:hAnsi="Constantia"/>
        </w:rPr>
        <w:t>Hisyam, M. (Ed.). (2025). Krisis masa kini dan orde baru. Yayasan Obor Indonesia.</w:t>
      </w:r>
    </w:p>
    <w:p w14:paraId="7A980133" w14:textId="77777777" w:rsidR="0038327B" w:rsidRPr="0038327B" w:rsidRDefault="0038327B" w:rsidP="0038327B">
      <w:pPr>
        <w:ind w:left="567" w:hanging="567"/>
        <w:jc w:val="both"/>
        <w:rPr>
          <w:rFonts w:ascii="Constantia" w:hAnsi="Constantia"/>
        </w:rPr>
      </w:pPr>
      <w:r w:rsidRPr="0038327B">
        <w:rPr>
          <w:rFonts w:ascii="Constantia" w:hAnsi="Constantia"/>
        </w:rPr>
        <w:t xml:space="preserve">Janges, Z. P., &amp; Pangestu, I. A. (2021). Eksistensi pajak bagi pembangunan nasional. Supremasi hukum, 17(01), 43-54. </w:t>
      </w:r>
    </w:p>
    <w:p w14:paraId="3472FFDC" w14:textId="77777777" w:rsidR="0038327B" w:rsidRPr="0038327B" w:rsidRDefault="0038327B" w:rsidP="0038327B">
      <w:pPr>
        <w:ind w:left="567" w:hanging="567"/>
        <w:jc w:val="both"/>
        <w:rPr>
          <w:rFonts w:ascii="Constantia" w:hAnsi="Constantia"/>
        </w:rPr>
      </w:pPr>
      <w:r w:rsidRPr="0038327B">
        <w:rPr>
          <w:rFonts w:ascii="Constantia" w:hAnsi="Constantia"/>
        </w:rPr>
        <w:t>Khairani, P., Suprayitno, S., &amp; Warjio, W. (2022). Sejarah Pembangunan Pertanian di Kabupaten Deli Serdang pada masa Orde Baru (1968-1998). Yupa: Historical Studies Journal, 6(1), 76-89.</w:t>
      </w:r>
    </w:p>
    <w:p w14:paraId="3ACE57FD" w14:textId="77777777" w:rsidR="0038327B" w:rsidRPr="0038327B" w:rsidRDefault="0038327B" w:rsidP="0038327B">
      <w:pPr>
        <w:ind w:left="567" w:hanging="567"/>
        <w:jc w:val="both"/>
        <w:rPr>
          <w:rFonts w:ascii="Constantia" w:hAnsi="Constantia"/>
        </w:rPr>
      </w:pPr>
      <w:r w:rsidRPr="0038327B">
        <w:rPr>
          <w:rFonts w:ascii="Constantia" w:hAnsi="Constantia"/>
        </w:rPr>
        <w:t>Kuntowijoyo. (2005). Pengantar ilmu sejarah. Yogyakarta: Bentang Pustaka.</w:t>
      </w:r>
    </w:p>
    <w:p w14:paraId="1912602D" w14:textId="77777777" w:rsidR="0038327B" w:rsidRPr="0038327B" w:rsidRDefault="0038327B" w:rsidP="0038327B">
      <w:pPr>
        <w:ind w:left="567" w:hanging="567"/>
        <w:jc w:val="both"/>
        <w:rPr>
          <w:rFonts w:ascii="Constantia" w:hAnsi="Constantia"/>
        </w:rPr>
      </w:pPr>
      <w:r w:rsidRPr="0038327B">
        <w:rPr>
          <w:rFonts w:ascii="Constantia" w:hAnsi="Constantia"/>
        </w:rPr>
        <w:t>Kurniawan, D. (2025). Soeharto: Pahlawan Pembangunan dan Diktator yang Dikenang. Afdan Rojabi, Publisher.</w:t>
      </w:r>
    </w:p>
    <w:p w14:paraId="71005AF6" w14:textId="77777777" w:rsidR="0038327B" w:rsidRPr="0038327B" w:rsidRDefault="0038327B" w:rsidP="0038327B">
      <w:pPr>
        <w:ind w:left="567" w:hanging="567"/>
        <w:jc w:val="both"/>
        <w:rPr>
          <w:rFonts w:ascii="Constantia" w:hAnsi="Constantia"/>
        </w:rPr>
      </w:pPr>
      <w:r w:rsidRPr="0038327B">
        <w:rPr>
          <w:rFonts w:ascii="Constantia" w:hAnsi="Constantia"/>
        </w:rPr>
        <w:t>Lubis, M. A., Abdilla, M. F., &amp; Berutu, S. S. (2024). Reformasi Agraria dan Dampaknya terhadap Perekonomian Indonesia pada Era Orde Lama dan Orde Baru. Analisis Sejarah: Mencari Jalan Sejarah, 14.2</w:t>
      </w:r>
    </w:p>
    <w:p w14:paraId="35AE8D8C" w14:textId="77777777" w:rsidR="0038327B" w:rsidRPr="0038327B" w:rsidRDefault="0038327B" w:rsidP="0038327B">
      <w:pPr>
        <w:ind w:left="567" w:hanging="567"/>
        <w:jc w:val="both"/>
        <w:rPr>
          <w:rFonts w:ascii="Constantia" w:hAnsi="Constantia"/>
        </w:rPr>
      </w:pPr>
      <w:r w:rsidRPr="0038327B">
        <w:rPr>
          <w:rFonts w:ascii="Constantia" w:hAnsi="Constantia"/>
        </w:rPr>
        <w:t>Marsudi, K. E. R., &amp; Purbasari, V. A. (2022). Implementasi Sistem Ekonomi Pancasila dalam Kebijakan Pemerintah Indonesia. Indonesian Journal of Islamic Economics and Finance, 2(1), 27-42.</w:t>
      </w:r>
    </w:p>
    <w:p w14:paraId="04790935" w14:textId="77777777" w:rsidR="0038327B" w:rsidRPr="0038327B" w:rsidRDefault="0038327B" w:rsidP="0038327B">
      <w:pPr>
        <w:ind w:left="567" w:hanging="567"/>
        <w:jc w:val="both"/>
        <w:rPr>
          <w:rFonts w:ascii="Constantia" w:hAnsi="Constantia"/>
        </w:rPr>
      </w:pPr>
      <w:r w:rsidRPr="0038327B">
        <w:rPr>
          <w:rFonts w:ascii="Constantia" w:hAnsi="Constantia"/>
        </w:rPr>
        <w:t>Padiatra, A. M. (2023). MELAWAN DENGAN PENA: Harian Pedoman dan Kisah Korupsi Awal Orde Baru 1968–1974. Aditia Muara Padiatra.</w:t>
      </w:r>
    </w:p>
    <w:p w14:paraId="3262E576" w14:textId="77777777" w:rsidR="0038327B" w:rsidRPr="0038327B" w:rsidRDefault="0038327B" w:rsidP="0038327B">
      <w:pPr>
        <w:ind w:left="567" w:hanging="567"/>
        <w:jc w:val="both"/>
        <w:rPr>
          <w:rFonts w:ascii="Constantia" w:hAnsi="Constantia"/>
        </w:rPr>
      </w:pPr>
      <w:r w:rsidRPr="0038327B">
        <w:rPr>
          <w:rFonts w:ascii="Constantia" w:hAnsi="Constantia"/>
        </w:rPr>
        <w:t>Piliang, M. Z. (2023). Pengelolaan Ekonomi Indonesia: Pengalaman Orde Baru.</w:t>
      </w:r>
    </w:p>
    <w:p w14:paraId="1709A3FB" w14:textId="77777777" w:rsidR="0038327B" w:rsidRPr="0038327B" w:rsidRDefault="0038327B" w:rsidP="0038327B">
      <w:pPr>
        <w:ind w:left="567" w:hanging="567"/>
        <w:jc w:val="both"/>
        <w:rPr>
          <w:rFonts w:ascii="Constantia" w:hAnsi="Constantia"/>
        </w:rPr>
      </w:pPr>
      <w:r w:rsidRPr="0038327B">
        <w:rPr>
          <w:rFonts w:ascii="Constantia" w:hAnsi="Constantia"/>
        </w:rPr>
        <w:t>Pratiwi, M. Y. (2024). Perkembangan Sistem Ekonomi pada Masa Orde Baru (Rezim Soeharto) Terhadap Sektor Perekonomian Indonesia. Historia Vitae, 4(1), 79-88.</w:t>
      </w:r>
    </w:p>
    <w:p w14:paraId="67E48BEE" w14:textId="77777777" w:rsidR="0038327B" w:rsidRPr="0038327B" w:rsidRDefault="0038327B" w:rsidP="0038327B">
      <w:pPr>
        <w:ind w:left="567" w:hanging="567"/>
        <w:jc w:val="both"/>
        <w:rPr>
          <w:rFonts w:ascii="Constantia" w:hAnsi="Constantia"/>
        </w:rPr>
      </w:pPr>
      <w:r w:rsidRPr="0038327B">
        <w:rPr>
          <w:rFonts w:ascii="Constantia" w:hAnsi="Constantia"/>
        </w:rPr>
        <w:t>Rahmawati, R. (2022). REPELITA: Sejarah Pembangunan Nasional di Era Orde Baru. Etnohistori, 9(2).</w:t>
      </w:r>
    </w:p>
    <w:p w14:paraId="45D908B2" w14:textId="77777777" w:rsidR="0038327B" w:rsidRPr="0038327B" w:rsidRDefault="0038327B" w:rsidP="0038327B">
      <w:pPr>
        <w:ind w:left="567" w:hanging="567"/>
        <w:jc w:val="both"/>
        <w:rPr>
          <w:rFonts w:ascii="Constantia" w:hAnsi="Constantia"/>
        </w:rPr>
      </w:pPr>
      <w:r w:rsidRPr="0038327B">
        <w:rPr>
          <w:rFonts w:ascii="Constantia" w:hAnsi="Constantia"/>
        </w:rPr>
        <w:t>Rajab, B. (2022). Otoritarianisme-birokratik orde baru, krisis ekonomi dan politik, dan demokrasi formal masa reformasi. Jurnal Politik Indonesia, 8(1).</w:t>
      </w:r>
    </w:p>
    <w:p w14:paraId="322F6956" w14:textId="77777777" w:rsidR="0038327B" w:rsidRPr="0038327B" w:rsidRDefault="0038327B" w:rsidP="0038327B">
      <w:pPr>
        <w:ind w:left="567" w:hanging="567"/>
        <w:jc w:val="both"/>
        <w:rPr>
          <w:rFonts w:ascii="Constantia" w:hAnsi="Constantia"/>
        </w:rPr>
      </w:pPr>
      <w:r w:rsidRPr="0038327B">
        <w:rPr>
          <w:rFonts w:ascii="Constantia" w:hAnsi="Constantia"/>
        </w:rPr>
        <w:t>Ricklefs, M. C. (2008). Sejarah Indonesia Modern 1200-2008. Jakarta: Serambi Ilmu Semesta.</w:t>
      </w:r>
    </w:p>
    <w:p w14:paraId="5FE8C575" w14:textId="77777777" w:rsidR="0038327B" w:rsidRPr="0038327B" w:rsidRDefault="0038327B" w:rsidP="0038327B">
      <w:pPr>
        <w:ind w:left="567" w:hanging="567"/>
        <w:jc w:val="both"/>
        <w:rPr>
          <w:rFonts w:ascii="Constantia" w:hAnsi="Constantia"/>
        </w:rPr>
      </w:pPr>
      <w:r w:rsidRPr="0038327B">
        <w:rPr>
          <w:rFonts w:ascii="Constantia" w:hAnsi="Constantia"/>
        </w:rPr>
        <w:t>Rizqi, R. (2022). Efektifitas Penyederhanaan Partai Politik Era Orde Baru. BULLET: Jurnal Multidisiplin Ilmu, 1(03), 204-211.</w:t>
      </w:r>
    </w:p>
    <w:p w14:paraId="7FEC02B3" w14:textId="77777777" w:rsidR="0038327B" w:rsidRPr="0038327B" w:rsidRDefault="0038327B" w:rsidP="0038327B">
      <w:pPr>
        <w:ind w:left="567" w:hanging="567"/>
        <w:jc w:val="both"/>
        <w:rPr>
          <w:rFonts w:ascii="Constantia" w:hAnsi="Constantia"/>
        </w:rPr>
      </w:pPr>
      <w:r w:rsidRPr="0038327B">
        <w:rPr>
          <w:rFonts w:ascii="Constantia" w:hAnsi="Constantia"/>
        </w:rPr>
        <w:t>Sari, P. K., &amp; Fakhruddin, F. (2018). Identifikasi Penyebab Krisis Moneter dan Kebijakan Bank Sentral di Indonesia: Kasus Krisis Tahun 1997-1998 dan 2008. Jurnal Ilmiah Mahasiswa Ekonomi Pembangunan</w:t>
      </w:r>
    </w:p>
    <w:p w14:paraId="1C308E22" w14:textId="77777777" w:rsidR="0038327B" w:rsidRPr="0038327B" w:rsidRDefault="0038327B" w:rsidP="0038327B">
      <w:pPr>
        <w:ind w:left="567" w:hanging="567"/>
        <w:jc w:val="both"/>
        <w:rPr>
          <w:rFonts w:ascii="Constantia" w:hAnsi="Constantia"/>
        </w:rPr>
      </w:pPr>
      <w:r w:rsidRPr="0038327B">
        <w:rPr>
          <w:rFonts w:ascii="Constantia" w:hAnsi="Constantia"/>
        </w:rPr>
        <w:t xml:space="preserve">Sawali, R. G., &amp; Mulia, M. (2024). Gumelar Senjakala Pranata Mangsa: Transformasi Kognitif dan Perubahan Struktur Sosial Petani Jawa. Jurnal Kajian Agraria dan Kedaulatan Pangan, 3(1). </w:t>
      </w:r>
    </w:p>
    <w:p w14:paraId="0DC960A2" w14:textId="77777777" w:rsidR="0038327B" w:rsidRPr="0038327B" w:rsidRDefault="0038327B" w:rsidP="0038327B">
      <w:pPr>
        <w:ind w:left="567" w:hanging="567"/>
        <w:jc w:val="both"/>
        <w:rPr>
          <w:rFonts w:ascii="Constantia" w:hAnsi="Constantia"/>
        </w:rPr>
      </w:pPr>
      <w:r w:rsidRPr="0038327B">
        <w:rPr>
          <w:rFonts w:ascii="Constantia" w:hAnsi="Constantia"/>
        </w:rPr>
        <w:lastRenderedPageBreak/>
        <w:t>Shaleha, P. U., Selviana, A., &amp; Muharman, I. (2024). Sejarah Perkembangan Kebijakan Ekonomi Pada Masa Orde Baru dan Pengaruh Krisis Moneter terhadap Perekonomian Indonesia. Analisis Sejarah, 14(2).</w:t>
      </w:r>
    </w:p>
    <w:p w14:paraId="018CD5C3" w14:textId="77777777" w:rsidR="0038327B" w:rsidRPr="0038327B" w:rsidRDefault="0038327B" w:rsidP="0038327B">
      <w:pPr>
        <w:ind w:left="567" w:hanging="567"/>
        <w:jc w:val="both"/>
        <w:rPr>
          <w:rFonts w:ascii="Constantia" w:hAnsi="Constantia"/>
        </w:rPr>
      </w:pPr>
      <w:r w:rsidRPr="0038327B">
        <w:rPr>
          <w:rFonts w:ascii="Constantia" w:hAnsi="Constantia"/>
        </w:rPr>
        <w:t xml:space="preserve">Styawan, A. A. (2022). Pengaruh Revolusi Hijau Terhadap Perubahan Sosial Ekonomi Petani di Kabupaten Karanganyar Tahun 1969-1998. Kalpataru: Jurnal Sejarah dan Pembelajaran Sejarah, 8(2), 86–102. </w:t>
      </w:r>
    </w:p>
    <w:p w14:paraId="12F14214" w14:textId="77777777" w:rsidR="0038327B" w:rsidRPr="0038327B" w:rsidRDefault="0038327B" w:rsidP="0038327B">
      <w:pPr>
        <w:ind w:left="567" w:hanging="567"/>
        <w:jc w:val="both"/>
        <w:rPr>
          <w:rFonts w:ascii="Constantia" w:hAnsi="Constantia"/>
        </w:rPr>
      </w:pPr>
      <w:r w:rsidRPr="0038327B">
        <w:rPr>
          <w:rFonts w:ascii="Constantia" w:hAnsi="Constantia"/>
        </w:rPr>
        <w:t>Sufriadi, Y. (2022). Kebijakan Dan Praktek Kemitraan Era Orde Baru Serta Rekonstruksi Kebijakan Era Reformasi Di Indonesia. Jurnal Hukum Ius Quia Iustum, 29(1), 142-165.</w:t>
      </w:r>
    </w:p>
    <w:p w14:paraId="4C80C17F" w14:textId="77777777" w:rsidR="0038327B" w:rsidRPr="0038327B" w:rsidRDefault="0038327B" w:rsidP="0038327B">
      <w:pPr>
        <w:ind w:left="567" w:hanging="567"/>
        <w:jc w:val="both"/>
        <w:rPr>
          <w:rFonts w:ascii="Constantia" w:hAnsi="Constantia"/>
        </w:rPr>
      </w:pPr>
      <w:r w:rsidRPr="0038327B">
        <w:rPr>
          <w:rFonts w:ascii="Constantia" w:hAnsi="Constantia"/>
        </w:rPr>
        <w:t xml:space="preserve">Sugiyono. (2013). Metode Penelitian Pendidikan: Pendekatan Kuantitatif, Kualitatif, dan R&amp;D. Bandung: Alfabeta. </w:t>
      </w:r>
    </w:p>
    <w:p w14:paraId="028C0E61" w14:textId="77777777" w:rsidR="0038327B" w:rsidRPr="0038327B" w:rsidRDefault="0038327B" w:rsidP="0038327B">
      <w:pPr>
        <w:ind w:left="567" w:hanging="567"/>
        <w:jc w:val="both"/>
        <w:rPr>
          <w:rFonts w:ascii="Constantia" w:hAnsi="Constantia"/>
        </w:rPr>
      </w:pPr>
      <w:r w:rsidRPr="0038327B">
        <w:rPr>
          <w:rFonts w:ascii="Constantia" w:hAnsi="Constantia"/>
        </w:rPr>
        <w:t>Sumantri, W., &amp; Firdaus, D. W. (2024). Kebijakan Agraria Pada Masa Orde Baru: Implikasi Program Revolusi Hijau Terhadap Petani Indonesia. BIHARI: Jurnal Pendidikan Sejarah dan Ilmu Sejarah.</w:t>
      </w:r>
    </w:p>
    <w:p w14:paraId="521043F4" w14:textId="77777777" w:rsidR="0038327B" w:rsidRPr="0038327B" w:rsidRDefault="0038327B" w:rsidP="0038327B">
      <w:pPr>
        <w:ind w:left="567" w:hanging="567"/>
        <w:jc w:val="both"/>
        <w:rPr>
          <w:rFonts w:ascii="Constantia" w:hAnsi="Constantia"/>
        </w:rPr>
      </w:pPr>
      <w:r w:rsidRPr="0038327B">
        <w:rPr>
          <w:rFonts w:ascii="Constantia" w:hAnsi="Constantia"/>
        </w:rPr>
        <w:t>Sunardi, A., Afiah, W. N., Fadlah, S. N., &amp; Ribawati, E. (2024). Krisis Moneter 1997–1998: Akar Penyebab, Dampak Ekonomi, dan Kebijakan Penanganan di Indonesia. Sindoro: Cendikia Pendidikan, 5(7).</w:t>
      </w:r>
    </w:p>
    <w:p w14:paraId="550BC1A2" w14:textId="77777777" w:rsidR="0038327B" w:rsidRPr="0038327B" w:rsidRDefault="0038327B" w:rsidP="0038327B">
      <w:pPr>
        <w:ind w:left="567" w:hanging="567"/>
        <w:jc w:val="both"/>
        <w:rPr>
          <w:rFonts w:ascii="Constantia" w:hAnsi="Constantia"/>
        </w:rPr>
      </w:pPr>
      <w:r w:rsidRPr="0038327B">
        <w:rPr>
          <w:rFonts w:ascii="Constantia" w:hAnsi="Constantia"/>
        </w:rPr>
        <w:t>Sutadi, R. D. (2021). Kebijakan Reforma Agraria Di Indonesia (Kajian Komparatif Tiga Periode Pelaksanaan: Orde Lama, Orde Baru, dan Orde Reformasi) (Doctoral dissertation, Sekolah Tinggi Pertanahan Nasional).</w:t>
      </w:r>
    </w:p>
    <w:p w14:paraId="7F48FCE1" w14:textId="3F10341A" w:rsidR="006E075C" w:rsidRPr="00690BF7" w:rsidRDefault="0038327B" w:rsidP="0038327B">
      <w:pPr>
        <w:ind w:left="567" w:hanging="567"/>
        <w:jc w:val="both"/>
        <w:rPr>
          <w:rFonts w:ascii="Constantia" w:hAnsi="Constantia"/>
        </w:rPr>
      </w:pPr>
      <w:r w:rsidRPr="0038327B">
        <w:rPr>
          <w:rFonts w:ascii="Constantia" w:hAnsi="Constantia"/>
        </w:rPr>
        <w:t xml:space="preserve">Yuliantri, R. D. A. (2021). Menelusuri wacana kemandirian ekonomi di Indonesia (1920-1965). Jurnal </w:t>
      </w:r>
      <w:r w:rsidRPr="0038327B">
        <w:rPr>
          <w:rFonts w:ascii="Constantia" w:hAnsi="Constantia"/>
        </w:rPr>
        <w:t>Pendidikan Dan Sejarah, 7(1), 68-75.</w:t>
      </w:r>
    </w:p>
    <w:sectPr w:rsidR="006E075C" w:rsidRPr="00690BF7" w:rsidSect="0038327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B2F8" w14:textId="77777777" w:rsidR="00BE5889" w:rsidRDefault="00BE5889" w:rsidP="003117F0">
      <w:r>
        <w:separator/>
      </w:r>
    </w:p>
  </w:endnote>
  <w:endnote w:type="continuationSeparator" w:id="0">
    <w:p w14:paraId="44EB3805" w14:textId="77777777" w:rsidR="00BE5889" w:rsidRDefault="00BE5889" w:rsidP="0031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03702"/>
      <w:docPartObj>
        <w:docPartGallery w:val="Page Numbers (Bottom of Page)"/>
        <w:docPartUnique/>
      </w:docPartObj>
    </w:sdtPr>
    <w:sdtContent>
      <w:p w14:paraId="09EE72C3" w14:textId="7AE4AB49" w:rsidR="00D856B4" w:rsidRDefault="00D856B4">
        <w:pPr>
          <w:pStyle w:val="Footer"/>
          <w:jc w:val="right"/>
        </w:pPr>
        <w:r>
          <w:fldChar w:fldCharType="begin"/>
        </w:r>
        <w:r>
          <w:instrText>PAGE   \* MERGEFORMAT</w:instrText>
        </w:r>
        <w:r>
          <w:fldChar w:fldCharType="separate"/>
        </w:r>
        <w:r w:rsidR="0019317D">
          <w:rPr>
            <w:noProof/>
          </w:rPr>
          <w:t>3</w:t>
        </w:r>
        <w:r>
          <w:fldChar w:fldCharType="end"/>
        </w:r>
      </w:p>
    </w:sdtContent>
  </w:sdt>
  <w:p w14:paraId="5CE92B5E" w14:textId="29159034" w:rsidR="00D856B4" w:rsidRPr="004C21F6" w:rsidRDefault="00D856B4" w:rsidP="004C21F6">
    <w:pPr>
      <w:jc w:val="both"/>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2F2B" w14:textId="77777777" w:rsidR="00BE5889" w:rsidRDefault="00BE5889" w:rsidP="003117F0">
      <w:r>
        <w:separator/>
      </w:r>
    </w:p>
  </w:footnote>
  <w:footnote w:type="continuationSeparator" w:id="0">
    <w:p w14:paraId="6A699E51" w14:textId="77777777" w:rsidR="00BE5889" w:rsidRDefault="00BE5889" w:rsidP="003117F0">
      <w:r>
        <w:continuationSeparator/>
      </w:r>
    </w:p>
  </w:footnote>
  <w:footnote w:id="1">
    <w:p w14:paraId="63755EE5" w14:textId="4EE946D9" w:rsidR="00D856B4" w:rsidRDefault="00D856B4">
      <w:pPr>
        <w:pStyle w:val="FootnoteText"/>
        <w:rPr>
          <w:lang w:val="en-US"/>
        </w:rPr>
      </w:pPr>
      <w:r>
        <w:rPr>
          <w:rStyle w:val="FootnoteReference"/>
        </w:rPr>
        <w:footnoteRef/>
      </w:r>
      <w:r>
        <w:t xml:space="preserve"> </w:t>
      </w:r>
      <w:r w:rsidR="0038327B" w:rsidRPr="0038327B">
        <w:rPr>
          <w:lang w:val="en-US"/>
        </w:rPr>
        <w:t xml:space="preserve">Universitas Negeri Semarang, </w:t>
      </w:r>
      <w:hyperlink r:id="rId1" w:history="1">
        <w:r w:rsidR="0038327B" w:rsidRPr="00FA2B3D">
          <w:rPr>
            <w:rStyle w:val="Hyperlink"/>
            <w:lang w:val="en-US"/>
          </w:rPr>
          <w:t>bagas12riyanto@students.unnes.ac.id</w:t>
        </w:r>
      </w:hyperlink>
    </w:p>
    <w:p w14:paraId="74E2694C" w14:textId="0633D3E4" w:rsidR="0038327B" w:rsidRPr="0038327B" w:rsidRDefault="0038327B" w:rsidP="0038327B">
      <w:pPr>
        <w:pStyle w:val="FootnoteText"/>
        <w:rPr>
          <w:lang w:val="en-US"/>
        </w:rPr>
      </w:pPr>
      <w:r>
        <w:rPr>
          <w:vertAlign w:val="superscript"/>
          <w:lang w:val="en-US"/>
        </w:rPr>
        <w:t xml:space="preserve">2 </w:t>
      </w:r>
      <w:r w:rsidRPr="0038327B">
        <w:rPr>
          <w:lang w:val="en-US"/>
        </w:rPr>
        <w:t xml:space="preserve">Universitas Negeri Semarang, </w:t>
      </w:r>
      <w:hyperlink r:id="rId2" w:history="1">
        <w:r w:rsidRPr="00FA2B3D">
          <w:rPr>
            <w:rStyle w:val="Hyperlink"/>
            <w:lang w:val="en-US"/>
          </w:rPr>
          <w:t>rumam267@students.unnes.ac.id</w:t>
        </w:r>
      </w:hyperlink>
      <w:r>
        <w:rPr>
          <w:lang w:val="en-US"/>
        </w:rPr>
        <w:t xml:space="preserve"> </w:t>
      </w:r>
    </w:p>
    <w:p w14:paraId="2CEE7568" w14:textId="3458F6A3" w:rsidR="0038327B" w:rsidRPr="0038327B" w:rsidRDefault="0038327B" w:rsidP="0038327B">
      <w:pPr>
        <w:pStyle w:val="FootnoteText"/>
        <w:rPr>
          <w:lang w:val="en-US"/>
        </w:rPr>
      </w:pPr>
      <w:r>
        <w:rPr>
          <w:vertAlign w:val="superscript"/>
          <w:lang w:val="en-US"/>
        </w:rPr>
        <w:t xml:space="preserve">3 </w:t>
      </w:r>
      <w:r w:rsidRPr="0038327B">
        <w:rPr>
          <w:lang w:val="en-US"/>
        </w:rPr>
        <w:t xml:space="preserve">Universitas Negeri Semarang, </w:t>
      </w:r>
      <w:hyperlink r:id="rId3" w:history="1">
        <w:r w:rsidRPr="00FA2B3D">
          <w:rPr>
            <w:rStyle w:val="Hyperlink"/>
            <w:lang w:val="en-US"/>
          </w:rPr>
          <w:t>hannysyifa285@students.unnes.ac.id</w:t>
        </w:r>
      </w:hyperlink>
      <w:r>
        <w:rPr>
          <w:lang w:val="en-US"/>
        </w:rPr>
        <w:t xml:space="preserve"> </w:t>
      </w:r>
    </w:p>
    <w:p w14:paraId="531AE6BB" w14:textId="5B4B6726" w:rsidR="0038327B" w:rsidRPr="0038327B" w:rsidRDefault="0038327B" w:rsidP="0038327B">
      <w:pPr>
        <w:pStyle w:val="FootnoteText"/>
        <w:rPr>
          <w:lang w:val="en-US"/>
        </w:rPr>
      </w:pPr>
      <w:r>
        <w:rPr>
          <w:vertAlign w:val="superscript"/>
          <w:lang w:val="en-US"/>
        </w:rPr>
        <w:t xml:space="preserve">4 </w:t>
      </w:r>
      <w:r w:rsidRPr="0038327B">
        <w:rPr>
          <w:lang w:val="en-US"/>
        </w:rPr>
        <w:t xml:space="preserve">Universitas Negeri Semarang, </w:t>
      </w:r>
      <w:hyperlink r:id="rId4" w:history="1">
        <w:r w:rsidRPr="00FA2B3D">
          <w:rPr>
            <w:rStyle w:val="Hyperlink"/>
            <w:lang w:val="en-US"/>
          </w:rPr>
          <w:t>rafi11@students.unnes.ac.id</w:t>
        </w:r>
      </w:hyperlink>
      <w:r>
        <w:rPr>
          <w:lang w:val="en-US"/>
        </w:rPr>
        <w:t xml:space="preserve"> </w:t>
      </w:r>
    </w:p>
    <w:p w14:paraId="3079DC07" w14:textId="2992B57A" w:rsidR="0038327B" w:rsidRDefault="0038327B" w:rsidP="0038327B">
      <w:pPr>
        <w:pStyle w:val="FootnoteText"/>
        <w:rPr>
          <w:lang w:val="en-US"/>
        </w:rPr>
      </w:pPr>
      <w:r>
        <w:rPr>
          <w:vertAlign w:val="superscript"/>
          <w:lang w:val="en-US"/>
        </w:rPr>
        <w:t xml:space="preserve">5 </w:t>
      </w:r>
      <w:r w:rsidRPr="0038327B">
        <w:rPr>
          <w:lang w:val="en-US"/>
        </w:rPr>
        <w:t xml:space="preserve">SMA Negeri 1 </w:t>
      </w:r>
      <w:proofErr w:type="spellStart"/>
      <w:r w:rsidRPr="0038327B">
        <w:rPr>
          <w:lang w:val="en-US"/>
        </w:rPr>
        <w:t>Pecangaan</w:t>
      </w:r>
      <w:proofErr w:type="spellEnd"/>
      <w:r w:rsidRPr="0038327B">
        <w:rPr>
          <w:lang w:val="en-US"/>
        </w:rPr>
        <w:t xml:space="preserve">, </w:t>
      </w:r>
      <w:hyperlink r:id="rId5" w:history="1">
        <w:r w:rsidRPr="00FA2B3D">
          <w:rPr>
            <w:rStyle w:val="Hyperlink"/>
            <w:lang w:val="en-US"/>
          </w:rPr>
          <w:t>shofwatulmala686@gmail.com</w:t>
        </w:r>
      </w:hyperlink>
      <w:r>
        <w:rPr>
          <w:lang w:val="en-US"/>
        </w:rPr>
        <w:t xml:space="preserve"> </w:t>
      </w:r>
    </w:p>
    <w:p w14:paraId="1C6C4777" w14:textId="77777777" w:rsidR="00D856B4" w:rsidRPr="00E2611B" w:rsidRDefault="00D856B4" w:rsidP="00E2611B">
      <w:pPr>
        <w:rPr>
          <w:rFonts w:ascii="Arial" w:eastAsia="Times New Roman" w:hAnsi="Arial" w:cs="Arial"/>
          <w:kern w:val="0"/>
          <w:sz w:val="16"/>
          <w:szCs w:val="16"/>
          <w:lang w:eastAsia="id-ID"/>
          <w14:ligatures w14:val="none"/>
        </w:rPr>
      </w:pPr>
      <w:r w:rsidRPr="00E2611B">
        <w:rPr>
          <w:rFonts w:ascii="Arial" w:eastAsia="Times New Roman" w:hAnsi="Arial" w:cs="Arial"/>
          <w:kern w:val="0"/>
          <w:sz w:val="16"/>
          <w:szCs w:val="16"/>
          <w:lang w:eastAsia="id-ID"/>
          <w14:ligatures w14:val="none"/>
        </w:rPr>
        <w:t>©</w:t>
      </w:r>
      <w:r w:rsidRPr="00E2611B">
        <w:rPr>
          <w:rFonts w:ascii="Arial" w:eastAsia="Times New Roman" w:hAnsi="Arial" w:cs="Arial"/>
          <w:kern w:val="0"/>
          <w:sz w:val="16"/>
          <w:szCs w:val="16"/>
          <w:lang w:val="en-US" w:eastAsia="id-ID"/>
          <w14:ligatures w14:val="none"/>
        </w:rPr>
        <w:t xml:space="preserve"> </w:t>
      </w:r>
      <w:r w:rsidRPr="00E2611B">
        <w:rPr>
          <w:rFonts w:ascii="Arial" w:eastAsia="Times New Roman" w:hAnsi="Arial" w:cs="Arial"/>
          <w:kern w:val="0"/>
          <w:sz w:val="16"/>
          <w:szCs w:val="16"/>
          <w:lang w:eastAsia="id-ID"/>
          <w14:ligatures w14:val="none"/>
        </w:rPr>
        <w:t>All rights reserved</w:t>
      </w:r>
    </w:p>
    <w:p w14:paraId="00FE60D3" w14:textId="1416DEA4" w:rsidR="00D856B4" w:rsidRPr="00E2611B" w:rsidRDefault="00D856B4" w:rsidP="00E2611B">
      <w:pPr>
        <w:rPr>
          <w:rFonts w:ascii="Arial" w:eastAsia="Times New Roman" w:hAnsi="Arial" w:cs="Arial"/>
          <w:kern w:val="0"/>
          <w:sz w:val="16"/>
          <w:szCs w:val="16"/>
          <w:lang w:eastAsia="id-ID"/>
          <w14:ligatures w14:val="none"/>
        </w:rPr>
      </w:pPr>
      <w:r w:rsidRPr="00E2611B">
        <w:rPr>
          <w:rFonts w:ascii="Arial" w:eastAsia="Times New Roman" w:hAnsi="Arial" w:cs="Arial"/>
          <w:kern w:val="0"/>
          <w:sz w:val="16"/>
          <w:szCs w:val="16"/>
          <w:lang w:eastAsia="id-ID"/>
          <w14:ligatures w14:val="none"/>
        </w:rPr>
        <w:t>202</w:t>
      </w:r>
      <w:r w:rsidR="0038327B">
        <w:rPr>
          <w:rFonts w:ascii="Arial" w:eastAsia="Times New Roman" w:hAnsi="Arial" w:cs="Arial"/>
          <w:kern w:val="0"/>
          <w:sz w:val="16"/>
          <w:szCs w:val="16"/>
          <w:lang w:val="en-US" w:eastAsia="id-ID"/>
          <w14:ligatures w14:val="none"/>
        </w:rPr>
        <w:t>5</w:t>
      </w:r>
      <w:r w:rsidRPr="00E2611B">
        <w:rPr>
          <w:rFonts w:ascii="Arial" w:eastAsia="Times New Roman" w:hAnsi="Arial" w:cs="Arial"/>
          <w:kern w:val="0"/>
          <w:sz w:val="16"/>
          <w:szCs w:val="16"/>
          <w:lang w:eastAsia="id-ID"/>
          <w14:ligatures w14:val="none"/>
        </w:rPr>
        <w:t xml:space="preserve"> Departemen Sejarah FISIP UNNES</w:t>
      </w:r>
    </w:p>
    <w:p w14:paraId="39D521CB" w14:textId="77777777" w:rsidR="00D856B4" w:rsidRPr="00E2611B" w:rsidRDefault="00D856B4" w:rsidP="00E2611B">
      <w:pPr>
        <w:jc w:val="both"/>
        <w:rPr>
          <w:sz w:val="16"/>
          <w:szCs w:val="16"/>
          <w:lang w:val="en-US"/>
        </w:rPr>
      </w:pPr>
      <w:r w:rsidRPr="00E2611B">
        <w:rPr>
          <w:sz w:val="16"/>
          <w:szCs w:val="16"/>
          <w:lang w:val="en-US"/>
        </w:rPr>
        <w:t>Gedung C5 Lantai 1 FISIP UNNES</w:t>
      </w:r>
    </w:p>
    <w:p w14:paraId="1A3C754A" w14:textId="162A3491" w:rsidR="00D856B4" w:rsidRPr="00E2611B" w:rsidRDefault="00D856B4" w:rsidP="00E2611B">
      <w:pPr>
        <w:jc w:val="both"/>
        <w:rPr>
          <w:sz w:val="20"/>
          <w:szCs w:val="20"/>
          <w:lang w:val="en-US"/>
        </w:rPr>
      </w:pPr>
      <w:r w:rsidRPr="00E2611B">
        <w:rPr>
          <w:sz w:val="16"/>
          <w:szCs w:val="16"/>
          <w:lang w:val="en-US"/>
        </w:rPr>
        <w:t xml:space="preserve">Kampus Sekaran, </w:t>
      </w:r>
      <w:proofErr w:type="spellStart"/>
      <w:r w:rsidRPr="00E2611B">
        <w:rPr>
          <w:sz w:val="16"/>
          <w:szCs w:val="16"/>
          <w:lang w:val="en-US"/>
        </w:rPr>
        <w:t>Gunungpati</w:t>
      </w:r>
      <w:proofErr w:type="spellEnd"/>
      <w:r w:rsidRPr="00E2611B">
        <w:rPr>
          <w:sz w:val="16"/>
          <w:szCs w:val="16"/>
          <w:lang w:val="en-US"/>
        </w:rPr>
        <w:t>, Semarang, 50229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55A"/>
    <w:multiLevelType w:val="hybridMultilevel"/>
    <w:tmpl w:val="83363522"/>
    <w:lvl w:ilvl="0" w:tplc="DC00A2EC">
      <w:start w:val="1"/>
      <w:numFmt w:val="lowerLetter"/>
      <w:lvlText w:val="%1."/>
      <w:lvlJc w:val="left"/>
      <w:pPr>
        <w:ind w:left="948" w:hanging="360"/>
      </w:pPr>
      <w:rPr>
        <w:rFonts w:hint="default"/>
        <w:b w:val="0"/>
      </w:rPr>
    </w:lvl>
    <w:lvl w:ilvl="1" w:tplc="04210019" w:tentative="1">
      <w:start w:val="1"/>
      <w:numFmt w:val="lowerLetter"/>
      <w:lvlText w:val="%2."/>
      <w:lvlJc w:val="left"/>
      <w:pPr>
        <w:ind w:left="1668" w:hanging="360"/>
      </w:pPr>
    </w:lvl>
    <w:lvl w:ilvl="2" w:tplc="0421001B" w:tentative="1">
      <w:start w:val="1"/>
      <w:numFmt w:val="lowerRoman"/>
      <w:lvlText w:val="%3."/>
      <w:lvlJc w:val="right"/>
      <w:pPr>
        <w:ind w:left="2388" w:hanging="180"/>
      </w:pPr>
    </w:lvl>
    <w:lvl w:ilvl="3" w:tplc="0421000F" w:tentative="1">
      <w:start w:val="1"/>
      <w:numFmt w:val="decimal"/>
      <w:lvlText w:val="%4."/>
      <w:lvlJc w:val="left"/>
      <w:pPr>
        <w:ind w:left="3108" w:hanging="360"/>
      </w:pPr>
    </w:lvl>
    <w:lvl w:ilvl="4" w:tplc="04210019" w:tentative="1">
      <w:start w:val="1"/>
      <w:numFmt w:val="lowerLetter"/>
      <w:lvlText w:val="%5."/>
      <w:lvlJc w:val="left"/>
      <w:pPr>
        <w:ind w:left="3828" w:hanging="360"/>
      </w:pPr>
    </w:lvl>
    <w:lvl w:ilvl="5" w:tplc="0421001B" w:tentative="1">
      <w:start w:val="1"/>
      <w:numFmt w:val="lowerRoman"/>
      <w:lvlText w:val="%6."/>
      <w:lvlJc w:val="right"/>
      <w:pPr>
        <w:ind w:left="4548" w:hanging="180"/>
      </w:pPr>
    </w:lvl>
    <w:lvl w:ilvl="6" w:tplc="0421000F" w:tentative="1">
      <w:start w:val="1"/>
      <w:numFmt w:val="decimal"/>
      <w:lvlText w:val="%7."/>
      <w:lvlJc w:val="left"/>
      <w:pPr>
        <w:ind w:left="5268" w:hanging="360"/>
      </w:pPr>
    </w:lvl>
    <w:lvl w:ilvl="7" w:tplc="04210019" w:tentative="1">
      <w:start w:val="1"/>
      <w:numFmt w:val="lowerLetter"/>
      <w:lvlText w:val="%8."/>
      <w:lvlJc w:val="left"/>
      <w:pPr>
        <w:ind w:left="5988" w:hanging="360"/>
      </w:pPr>
    </w:lvl>
    <w:lvl w:ilvl="8" w:tplc="0421001B" w:tentative="1">
      <w:start w:val="1"/>
      <w:numFmt w:val="lowerRoman"/>
      <w:lvlText w:val="%9."/>
      <w:lvlJc w:val="right"/>
      <w:pPr>
        <w:ind w:left="6708" w:hanging="180"/>
      </w:pPr>
    </w:lvl>
  </w:abstractNum>
  <w:abstractNum w:abstractNumId="1" w15:restartNumberingAfterBreak="0">
    <w:nsid w:val="05B476F3"/>
    <w:multiLevelType w:val="hybridMultilevel"/>
    <w:tmpl w:val="D19C029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0780E9C"/>
    <w:multiLevelType w:val="hybridMultilevel"/>
    <w:tmpl w:val="207CA9B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7572C97"/>
    <w:multiLevelType w:val="hybridMultilevel"/>
    <w:tmpl w:val="7BFCE5B8"/>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1B269F9"/>
    <w:multiLevelType w:val="hybridMultilevel"/>
    <w:tmpl w:val="7BD645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2D50433"/>
    <w:multiLevelType w:val="hybridMultilevel"/>
    <w:tmpl w:val="643602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A9721FE"/>
    <w:multiLevelType w:val="hybridMultilevel"/>
    <w:tmpl w:val="A8A429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0DA5C5B"/>
    <w:multiLevelType w:val="hybridMultilevel"/>
    <w:tmpl w:val="AA7CDDF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857163C"/>
    <w:multiLevelType w:val="hybridMultilevel"/>
    <w:tmpl w:val="D228CE8A"/>
    <w:lvl w:ilvl="0" w:tplc="3809000F">
      <w:start w:val="1"/>
      <w:numFmt w:val="decimal"/>
      <w:lvlText w:val="%1."/>
      <w:lvlJc w:val="left"/>
      <w:pPr>
        <w:ind w:left="360" w:hanging="360"/>
      </w:pPr>
      <w:rPr>
        <w:rFonts w:hint="default"/>
      </w:rPr>
    </w:lvl>
    <w:lvl w:ilvl="1" w:tplc="38090019">
      <w:start w:val="1"/>
      <w:numFmt w:val="lowerLetter"/>
      <w:lvlText w:val="%2."/>
      <w:lvlJc w:val="left"/>
      <w:pPr>
        <w:ind w:left="36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3C000B86"/>
    <w:multiLevelType w:val="hybridMultilevel"/>
    <w:tmpl w:val="D19C029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47E67CEB"/>
    <w:multiLevelType w:val="hybridMultilevel"/>
    <w:tmpl w:val="09A6861A"/>
    <w:lvl w:ilvl="0" w:tplc="DC00A2E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9BC75E9"/>
    <w:multiLevelType w:val="multilevel"/>
    <w:tmpl w:val="B1CC672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0B035FE"/>
    <w:multiLevelType w:val="hybridMultilevel"/>
    <w:tmpl w:val="383A93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A8E36FC"/>
    <w:multiLevelType w:val="hybridMultilevel"/>
    <w:tmpl w:val="2FF2D370"/>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647E78A0"/>
    <w:multiLevelType w:val="hybridMultilevel"/>
    <w:tmpl w:val="A8A429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49C5982"/>
    <w:multiLevelType w:val="hybridMultilevel"/>
    <w:tmpl w:val="EB1E6CC2"/>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7594709D"/>
    <w:multiLevelType w:val="hybridMultilevel"/>
    <w:tmpl w:val="F124B1F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85368D5"/>
    <w:multiLevelType w:val="hybridMultilevel"/>
    <w:tmpl w:val="9BE04E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8D4396C"/>
    <w:multiLevelType w:val="hybridMultilevel"/>
    <w:tmpl w:val="A16C149A"/>
    <w:lvl w:ilvl="0" w:tplc="3809000F">
      <w:start w:val="1"/>
      <w:numFmt w:val="decimal"/>
      <w:lvlText w:val="%1."/>
      <w:lvlJc w:val="left"/>
      <w:pPr>
        <w:ind w:left="360" w:hanging="360"/>
      </w:pPr>
      <w:rPr>
        <w:rFonts w:hint="default"/>
      </w:rPr>
    </w:lvl>
    <w:lvl w:ilvl="1" w:tplc="DC00A2EC">
      <w:start w:val="1"/>
      <w:numFmt w:val="lowerLetter"/>
      <w:lvlText w:val="%2."/>
      <w:lvlJc w:val="left"/>
      <w:pPr>
        <w:ind w:left="360" w:hanging="360"/>
      </w:pPr>
      <w:rPr>
        <w:rFonts w:hint="default"/>
        <w:b w:val="0"/>
      </w:rPr>
    </w:lvl>
    <w:lvl w:ilvl="2" w:tplc="BEFE8F96">
      <w:start w:val="1"/>
      <w:numFmt w:val="upperLetter"/>
      <w:lvlText w:val="%3."/>
      <w:lvlJc w:val="left"/>
      <w:pPr>
        <w:ind w:left="36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951472137">
    <w:abstractNumId w:val="17"/>
  </w:num>
  <w:num w:numId="2" w16cid:durableId="801387228">
    <w:abstractNumId w:val="2"/>
  </w:num>
  <w:num w:numId="3" w16cid:durableId="359429559">
    <w:abstractNumId w:val="5"/>
  </w:num>
  <w:num w:numId="4" w16cid:durableId="269317207">
    <w:abstractNumId w:val="4"/>
  </w:num>
  <w:num w:numId="5" w16cid:durableId="1998335763">
    <w:abstractNumId w:val="18"/>
  </w:num>
  <w:num w:numId="6" w16cid:durableId="2021424570">
    <w:abstractNumId w:val="15"/>
  </w:num>
  <w:num w:numId="7" w16cid:durableId="869342464">
    <w:abstractNumId w:val="13"/>
  </w:num>
  <w:num w:numId="8" w16cid:durableId="524709394">
    <w:abstractNumId w:val="3"/>
  </w:num>
  <w:num w:numId="9" w16cid:durableId="448280498">
    <w:abstractNumId w:val="7"/>
  </w:num>
  <w:num w:numId="10" w16cid:durableId="215824284">
    <w:abstractNumId w:val="8"/>
  </w:num>
  <w:num w:numId="11" w16cid:durableId="1553493027">
    <w:abstractNumId w:val="1"/>
  </w:num>
  <w:num w:numId="12" w16cid:durableId="1256749642">
    <w:abstractNumId w:val="0"/>
  </w:num>
  <w:num w:numId="13" w16cid:durableId="638266150">
    <w:abstractNumId w:val="11"/>
  </w:num>
  <w:num w:numId="14" w16cid:durableId="1806049294">
    <w:abstractNumId w:val="6"/>
  </w:num>
  <w:num w:numId="15" w16cid:durableId="1240479317">
    <w:abstractNumId w:val="10"/>
  </w:num>
  <w:num w:numId="16" w16cid:durableId="1210456763">
    <w:abstractNumId w:val="12"/>
  </w:num>
  <w:num w:numId="17" w16cid:durableId="1380278076">
    <w:abstractNumId w:val="16"/>
  </w:num>
  <w:num w:numId="18" w16cid:durableId="2136560222">
    <w:abstractNumId w:val="9"/>
  </w:num>
  <w:num w:numId="19" w16cid:durableId="262079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E8C"/>
    <w:rsid w:val="00012F97"/>
    <w:rsid w:val="00046DB3"/>
    <w:rsid w:val="0008687B"/>
    <w:rsid w:val="000B7B8B"/>
    <w:rsid w:val="000F54C3"/>
    <w:rsid w:val="00137CCA"/>
    <w:rsid w:val="00145910"/>
    <w:rsid w:val="00146CC6"/>
    <w:rsid w:val="00152FBC"/>
    <w:rsid w:val="001703C0"/>
    <w:rsid w:val="00180D3E"/>
    <w:rsid w:val="00181830"/>
    <w:rsid w:val="00184783"/>
    <w:rsid w:val="00184C71"/>
    <w:rsid w:val="0019317D"/>
    <w:rsid w:val="00193D35"/>
    <w:rsid w:val="001A5E34"/>
    <w:rsid w:val="001C12A8"/>
    <w:rsid w:val="001D7757"/>
    <w:rsid w:val="001E3349"/>
    <w:rsid w:val="001E7402"/>
    <w:rsid w:val="00204391"/>
    <w:rsid w:val="002223C2"/>
    <w:rsid w:val="00235A03"/>
    <w:rsid w:val="00244ACA"/>
    <w:rsid w:val="00256FE9"/>
    <w:rsid w:val="00261F5D"/>
    <w:rsid w:val="00277E66"/>
    <w:rsid w:val="00286E23"/>
    <w:rsid w:val="00295689"/>
    <w:rsid w:val="002970E7"/>
    <w:rsid w:val="002B23C2"/>
    <w:rsid w:val="003117F0"/>
    <w:rsid w:val="003260FA"/>
    <w:rsid w:val="00340521"/>
    <w:rsid w:val="00371337"/>
    <w:rsid w:val="0038327B"/>
    <w:rsid w:val="00387A24"/>
    <w:rsid w:val="003C2F94"/>
    <w:rsid w:val="003E0585"/>
    <w:rsid w:val="004506F6"/>
    <w:rsid w:val="004B13DC"/>
    <w:rsid w:val="004B71EF"/>
    <w:rsid w:val="004C21F6"/>
    <w:rsid w:val="004C4C42"/>
    <w:rsid w:val="004D6A88"/>
    <w:rsid w:val="004D735C"/>
    <w:rsid w:val="00512A1A"/>
    <w:rsid w:val="00527022"/>
    <w:rsid w:val="005469AD"/>
    <w:rsid w:val="0059308E"/>
    <w:rsid w:val="005D0D27"/>
    <w:rsid w:val="00603984"/>
    <w:rsid w:val="00632025"/>
    <w:rsid w:val="00650772"/>
    <w:rsid w:val="00665C6B"/>
    <w:rsid w:val="00670E91"/>
    <w:rsid w:val="00690BF7"/>
    <w:rsid w:val="006A67E8"/>
    <w:rsid w:val="006B365B"/>
    <w:rsid w:val="006E075C"/>
    <w:rsid w:val="006E4C07"/>
    <w:rsid w:val="007103F4"/>
    <w:rsid w:val="00722EBD"/>
    <w:rsid w:val="00732782"/>
    <w:rsid w:val="00761D92"/>
    <w:rsid w:val="0076398D"/>
    <w:rsid w:val="007934CE"/>
    <w:rsid w:val="007D7E8C"/>
    <w:rsid w:val="007E5512"/>
    <w:rsid w:val="007F5439"/>
    <w:rsid w:val="00801AB5"/>
    <w:rsid w:val="008270AC"/>
    <w:rsid w:val="00882AFC"/>
    <w:rsid w:val="008D54A2"/>
    <w:rsid w:val="008F3729"/>
    <w:rsid w:val="0090777D"/>
    <w:rsid w:val="00910473"/>
    <w:rsid w:val="00913F7D"/>
    <w:rsid w:val="009164A3"/>
    <w:rsid w:val="00916FEF"/>
    <w:rsid w:val="009235C6"/>
    <w:rsid w:val="00941879"/>
    <w:rsid w:val="0098169D"/>
    <w:rsid w:val="00981A7E"/>
    <w:rsid w:val="009D4832"/>
    <w:rsid w:val="009E70AC"/>
    <w:rsid w:val="00A00CF8"/>
    <w:rsid w:val="00A346A9"/>
    <w:rsid w:val="00A45B1D"/>
    <w:rsid w:val="00A52D5D"/>
    <w:rsid w:val="00A609C4"/>
    <w:rsid w:val="00A7313B"/>
    <w:rsid w:val="00A81883"/>
    <w:rsid w:val="00A956C7"/>
    <w:rsid w:val="00AB25F7"/>
    <w:rsid w:val="00AB5425"/>
    <w:rsid w:val="00AE3DC1"/>
    <w:rsid w:val="00AF32B5"/>
    <w:rsid w:val="00B015CA"/>
    <w:rsid w:val="00B04C03"/>
    <w:rsid w:val="00B21FA5"/>
    <w:rsid w:val="00B26DE3"/>
    <w:rsid w:val="00B4463A"/>
    <w:rsid w:val="00B515A9"/>
    <w:rsid w:val="00B82DE2"/>
    <w:rsid w:val="00BB3863"/>
    <w:rsid w:val="00BC4830"/>
    <w:rsid w:val="00BC7F1A"/>
    <w:rsid w:val="00BE5889"/>
    <w:rsid w:val="00C02A36"/>
    <w:rsid w:val="00C05529"/>
    <w:rsid w:val="00C23B22"/>
    <w:rsid w:val="00C31162"/>
    <w:rsid w:val="00C4178B"/>
    <w:rsid w:val="00C54384"/>
    <w:rsid w:val="00D82887"/>
    <w:rsid w:val="00D84A70"/>
    <w:rsid w:val="00D856B4"/>
    <w:rsid w:val="00D920AA"/>
    <w:rsid w:val="00D9212E"/>
    <w:rsid w:val="00DD1C8A"/>
    <w:rsid w:val="00DE43DD"/>
    <w:rsid w:val="00E1339E"/>
    <w:rsid w:val="00E13FDA"/>
    <w:rsid w:val="00E2611B"/>
    <w:rsid w:val="00E411B9"/>
    <w:rsid w:val="00EA75E2"/>
    <w:rsid w:val="00EB4183"/>
    <w:rsid w:val="00F17277"/>
    <w:rsid w:val="00F46264"/>
    <w:rsid w:val="00F71626"/>
    <w:rsid w:val="00F87E33"/>
    <w:rsid w:val="00F90E3F"/>
    <w:rsid w:val="00FC34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028DA"/>
  <w15:chartTrackingRefBased/>
  <w15:docId w15:val="{E6893463-F8D0-1B40-B4DE-7F3CACC4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E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E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E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E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E8C"/>
    <w:rPr>
      <w:rFonts w:eastAsiaTheme="majorEastAsia" w:cstheme="majorBidi"/>
      <w:color w:val="272727" w:themeColor="text1" w:themeTint="D8"/>
    </w:rPr>
  </w:style>
  <w:style w:type="paragraph" w:styleId="Title">
    <w:name w:val="Title"/>
    <w:basedOn w:val="Normal"/>
    <w:next w:val="Normal"/>
    <w:link w:val="TitleChar"/>
    <w:uiPriority w:val="10"/>
    <w:qFormat/>
    <w:rsid w:val="007D7E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E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E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7E8C"/>
    <w:rPr>
      <w:i/>
      <w:iCs/>
      <w:color w:val="404040" w:themeColor="text1" w:themeTint="BF"/>
    </w:rPr>
  </w:style>
  <w:style w:type="paragraph" w:styleId="ListParagraph">
    <w:name w:val="List Paragraph"/>
    <w:basedOn w:val="Normal"/>
    <w:uiPriority w:val="34"/>
    <w:qFormat/>
    <w:rsid w:val="007D7E8C"/>
    <w:pPr>
      <w:ind w:left="720"/>
      <w:contextualSpacing/>
    </w:pPr>
  </w:style>
  <w:style w:type="character" w:styleId="IntenseEmphasis">
    <w:name w:val="Intense Emphasis"/>
    <w:basedOn w:val="DefaultParagraphFont"/>
    <w:uiPriority w:val="21"/>
    <w:qFormat/>
    <w:rsid w:val="007D7E8C"/>
    <w:rPr>
      <w:i/>
      <w:iCs/>
      <w:color w:val="0F4761" w:themeColor="accent1" w:themeShade="BF"/>
    </w:rPr>
  </w:style>
  <w:style w:type="paragraph" w:styleId="IntenseQuote">
    <w:name w:val="Intense Quote"/>
    <w:basedOn w:val="Normal"/>
    <w:next w:val="Normal"/>
    <w:link w:val="IntenseQuoteChar"/>
    <w:uiPriority w:val="30"/>
    <w:qFormat/>
    <w:rsid w:val="007D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E8C"/>
    <w:rPr>
      <w:i/>
      <w:iCs/>
      <w:color w:val="0F4761" w:themeColor="accent1" w:themeShade="BF"/>
    </w:rPr>
  </w:style>
  <w:style w:type="character" w:styleId="IntenseReference">
    <w:name w:val="Intense Reference"/>
    <w:basedOn w:val="DefaultParagraphFont"/>
    <w:uiPriority w:val="32"/>
    <w:qFormat/>
    <w:rsid w:val="007D7E8C"/>
    <w:rPr>
      <w:b/>
      <w:bCs/>
      <w:smallCaps/>
      <w:color w:val="0F4761" w:themeColor="accent1" w:themeShade="BF"/>
      <w:spacing w:val="5"/>
    </w:rPr>
  </w:style>
  <w:style w:type="paragraph" w:styleId="Header">
    <w:name w:val="header"/>
    <w:basedOn w:val="Normal"/>
    <w:link w:val="HeaderChar"/>
    <w:uiPriority w:val="99"/>
    <w:unhideWhenUsed/>
    <w:rsid w:val="003117F0"/>
    <w:pPr>
      <w:tabs>
        <w:tab w:val="center" w:pos="4513"/>
        <w:tab w:val="right" w:pos="9026"/>
      </w:tabs>
    </w:pPr>
  </w:style>
  <w:style w:type="character" w:customStyle="1" w:styleId="HeaderChar">
    <w:name w:val="Header Char"/>
    <w:basedOn w:val="DefaultParagraphFont"/>
    <w:link w:val="Header"/>
    <w:uiPriority w:val="99"/>
    <w:rsid w:val="003117F0"/>
  </w:style>
  <w:style w:type="paragraph" w:styleId="Footer">
    <w:name w:val="footer"/>
    <w:basedOn w:val="Normal"/>
    <w:link w:val="FooterChar"/>
    <w:uiPriority w:val="99"/>
    <w:unhideWhenUsed/>
    <w:rsid w:val="003117F0"/>
    <w:pPr>
      <w:tabs>
        <w:tab w:val="center" w:pos="4513"/>
        <w:tab w:val="right" w:pos="9026"/>
      </w:tabs>
    </w:pPr>
  </w:style>
  <w:style w:type="character" w:customStyle="1" w:styleId="FooterChar">
    <w:name w:val="Footer Char"/>
    <w:basedOn w:val="DefaultParagraphFont"/>
    <w:link w:val="Footer"/>
    <w:uiPriority w:val="99"/>
    <w:rsid w:val="003117F0"/>
  </w:style>
  <w:style w:type="paragraph" w:styleId="FootnoteText">
    <w:name w:val="footnote text"/>
    <w:basedOn w:val="Normal"/>
    <w:link w:val="FootnoteTextChar"/>
    <w:uiPriority w:val="99"/>
    <w:semiHidden/>
    <w:unhideWhenUsed/>
    <w:rsid w:val="003117F0"/>
    <w:rPr>
      <w:sz w:val="20"/>
      <w:szCs w:val="20"/>
    </w:rPr>
  </w:style>
  <w:style w:type="character" w:customStyle="1" w:styleId="FootnoteTextChar">
    <w:name w:val="Footnote Text Char"/>
    <w:basedOn w:val="DefaultParagraphFont"/>
    <w:link w:val="FootnoteText"/>
    <w:uiPriority w:val="99"/>
    <w:semiHidden/>
    <w:rsid w:val="003117F0"/>
    <w:rPr>
      <w:sz w:val="20"/>
      <w:szCs w:val="20"/>
    </w:rPr>
  </w:style>
  <w:style w:type="character" w:styleId="FootnoteReference">
    <w:name w:val="footnote reference"/>
    <w:basedOn w:val="DefaultParagraphFont"/>
    <w:uiPriority w:val="99"/>
    <w:semiHidden/>
    <w:unhideWhenUsed/>
    <w:rsid w:val="003117F0"/>
    <w:rPr>
      <w:vertAlign w:val="superscript"/>
    </w:rPr>
  </w:style>
  <w:style w:type="paragraph" w:styleId="NormalWeb">
    <w:name w:val="Normal (Web)"/>
    <w:basedOn w:val="Normal"/>
    <w:uiPriority w:val="99"/>
    <w:unhideWhenUsed/>
    <w:rsid w:val="001D7757"/>
    <w:pPr>
      <w:spacing w:before="100" w:beforeAutospacing="1" w:after="100" w:afterAutospacing="1"/>
    </w:pPr>
    <w:rPr>
      <w:rFonts w:ascii="Times New Roman" w:eastAsia="Times New Roman" w:hAnsi="Times New Roman" w:cs="Times New Roman"/>
      <w:kern w:val="0"/>
      <w:lang w:val="en-ID" w:eastAsia="en-ID"/>
      <w14:ligatures w14:val="none"/>
    </w:rPr>
  </w:style>
  <w:style w:type="character" w:customStyle="1" w:styleId="line-clamp-1">
    <w:name w:val="line-clamp-1"/>
    <w:basedOn w:val="DefaultParagraphFont"/>
    <w:rsid w:val="001D7757"/>
  </w:style>
  <w:style w:type="character" w:styleId="Hyperlink">
    <w:name w:val="Hyperlink"/>
    <w:basedOn w:val="DefaultParagraphFont"/>
    <w:uiPriority w:val="99"/>
    <w:unhideWhenUsed/>
    <w:rsid w:val="0038327B"/>
    <w:rPr>
      <w:color w:val="467886" w:themeColor="hyperlink"/>
      <w:u w:val="single"/>
    </w:rPr>
  </w:style>
  <w:style w:type="character" w:styleId="UnresolvedMention">
    <w:name w:val="Unresolved Mention"/>
    <w:basedOn w:val="DefaultParagraphFont"/>
    <w:uiPriority w:val="99"/>
    <w:semiHidden/>
    <w:unhideWhenUsed/>
    <w:rsid w:val="0038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897">
      <w:bodyDiv w:val="1"/>
      <w:marLeft w:val="0"/>
      <w:marRight w:val="0"/>
      <w:marTop w:val="0"/>
      <w:marBottom w:val="0"/>
      <w:divBdr>
        <w:top w:val="none" w:sz="0" w:space="0" w:color="auto"/>
        <w:left w:val="none" w:sz="0" w:space="0" w:color="auto"/>
        <w:bottom w:val="none" w:sz="0" w:space="0" w:color="auto"/>
        <w:right w:val="none" w:sz="0" w:space="0" w:color="auto"/>
      </w:divBdr>
      <w:divsChild>
        <w:div w:id="48194214">
          <w:marLeft w:val="0"/>
          <w:marRight w:val="0"/>
          <w:marTop w:val="0"/>
          <w:marBottom w:val="0"/>
          <w:divBdr>
            <w:top w:val="none" w:sz="0" w:space="0" w:color="auto"/>
            <w:left w:val="none" w:sz="0" w:space="0" w:color="auto"/>
            <w:bottom w:val="none" w:sz="0" w:space="0" w:color="auto"/>
            <w:right w:val="none" w:sz="0" w:space="0" w:color="auto"/>
          </w:divBdr>
          <w:divsChild>
            <w:div w:id="1502047129">
              <w:marLeft w:val="0"/>
              <w:marRight w:val="0"/>
              <w:marTop w:val="0"/>
              <w:marBottom w:val="0"/>
              <w:divBdr>
                <w:top w:val="none" w:sz="0" w:space="0" w:color="auto"/>
                <w:left w:val="none" w:sz="0" w:space="0" w:color="auto"/>
                <w:bottom w:val="none" w:sz="0" w:space="0" w:color="auto"/>
                <w:right w:val="none" w:sz="0" w:space="0" w:color="auto"/>
              </w:divBdr>
              <w:divsChild>
                <w:div w:id="1079328811">
                  <w:marLeft w:val="0"/>
                  <w:marRight w:val="0"/>
                  <w:marTop w:val="0"/>
                  <w:marBottom w:val="0"/>
                  <w:divBdr>
                    <w:top w:val="none" w:sz="0" w:space="0" w:color="auto"/>
                    <w:left w:val="none" w:sz="0" w:space="0" w:color="auto"/>
                    <w:bottom w:val="none" w:sz="0" w:space="0" w:color="auto"/>
                    <w:right w:val="none" w:sz="0" w:space="0" w:color="auto"/>
                  </w:divBdr>
                  <w:divsChild>
                    <w:div w:id="16229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45655">
          <w:marLeft w:val="0"/>
          <w:marRight w:val="0"/>
          <w:marTop w:val="0"/>
          <w:marBottom w:val="0"/>
          <w:divBdr>
            <w:top w:val="none" w:sz="0" w:space="0" w:color="auto"/>
            <w:left w:val="none" w:sz="0" w:space="0" w:color="auto"/>
            <w:bottom w:val="none" w:sz="0" w:space="0" w:color="auto"/>
            <w:right w:val="none" w:sz="0" w:space="0" w:color="auto"/>
          </w:divBdr>
          <w:divsChild>
            <w:div w:id="1334256986">
              <w:marLeft w:val="0"/>
              <w:marRight w:val="0"/>
              <w:marTop w:val="0"/>
              <w:marBottom w:val="0"/>
              <w:divBdr>
                <w:top w:val="none" w:sz="0" w:space="0" w:color="auto"/>
                <w:left w:val="none" w:sz="0" w:space="0" w:color="auto"/>
                <w:bottom w:val="none" w:sz="0" w:space="0" w:color="auto"/>
                <w:right w:val="none" w:sz="0" w:space="0" w:color="auto"/>
              </w:divBdr>
              <w:divsChild>
                <w:div w:id="1442412351">
                  <w:marLeft w:val="0"/>
                  <w:marRight w:val="0"/>
                  <w:marTop w:val="0"/>
                  <w:marBottom w:val="0"/>
                  <w:divBdr>
                    <w:top w:val="none" w:sz="0" w:space="0" w:color="auto"/>
                    <w:left w:val="none" w:sz="0" w:space="0" w:color="auto"/>
                    <w:bottom w:val="none" w:sz="0" w:space="0" w:color="auto"/>
                    <w:right w:val="none" w:sz="0" w:space="0" w:color="auto"/>
                  </w:divBdr>
                  <w:divsChild>
                    <w:div w:id="8034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27536">
      <w:bodyDiv w:val="1"/>
      <w:marLeft w:val="0"/>
      <w:marRight w:val="0"/>
      <w:marTop w:val="0"/>
      <w:marBottom w:val="0"/>
      <w:divBdr>
        <w:top w:val="none" w:sz="0" w:space="0" w:color="auto"/>
        <w:left w:val="none" w:sz="0" w:space="0" w:color="auto"/>
        <w:bottom w:val="none" w:sz="0" w:space="0" w:color="auto"/>
        <w:right w:val="none" w:sz="0" w:space="0" w:color="auto"/>
      </w:divBdr>
      <w:divsChild>
        <w:div w:id="851258940">
          <w:marLeft w:val="0"/>
          <w:marRight w:val="0"/>
          <w:marTop w:val="0"/>
          <w:marBottom w:val="0"/>
          <w:divBdr>
            <w:top w:val="none" w:sz="0" w:space="0" w:color="auto"/>
            <w:left w:val="none" w:sz="0" w:space="0" w:color="auto"/>
            <w:bottom w:val="none" w:sz="0" w:space="0" w:color="auto"/>
            <w:right w:val="none" w:sz="0" w:space="0" w:color="auto"/>
          </w:divBdr>
        </w:div>
        <w:div w:id="1277054657">
          <w:marLeft w:val="0"/>
          <w:marRight w:val="0"/>
          <w:marTop w:val="0"/>
          <w:marBottom w:val="0"/>
          <w:divBdr>
            <w:top w:val="none" w:sz="0" w:space="0" w:color="auto"/>
            <w:left w:val="none" w:sz="0" w:space="0" w:color="auto"/>
            <w:bottom w:val="none" w:sz="0" w:space="0" w:color="auto"/>
            <w:right w:val="none" w:sz="0" w:space="0" w:color="auto"/>
          </w:divBdr>
        </w:div>
        <w:div w:id="1944337817">
          <w:marLeft w:val="0"/>
          <w:marRight w:val="0"/>
          <w:marTop w:val="0"/>
          <w:marBottom w:val="0"/>
          <w:divBdr>
            <w:top w:val="none" w:sz="0" w:space="0" w:color="auto"/>
            <w:left w:val="none" w:sz="0" w:space="0" w:color="auto"/>
            <w:bottom w:val="none" w:sz="0" w:space="0" w:color="auto"/>
            <w:right w:val="none" w:sz="0" w:space="0" w:color="auto"/>
          </w:divBdr>
        </w:div>
        <w:div w:id="803886384">
          <w:marLeft w:val="0"/>
          <w:marRight w:val="0"/>
          <w:marTop w:val="0"/>
          <w:marBottom w:val="0"/>
          <w:divBdr>
            <w:top w:val="none" w:sz="0" w:space="0" w:color="auto"/>
            <w:left w:val="none" w:sz="0" w:space="0" w:color="auto"/>
            <w:bottom w:val="none" w:sz="0" w:space="0" w:color="auto"/>
            <w:right w:val="none" w:sz="0" w:space="0" w:color="auto"/>
          </w:divBdr>
        </w:div>
        <w:div w:id="798717671">
          <w:marLeft w:val="0"/>
          <w:marRight w:val="0"/>
          <w:marTop w:val="0"/>
          <w:marBottom w:val="0"/>
          <w:divBdr>
            <w:top w:val="none" w:sz="0" w:space="0" w:color="auto"/>
            <w:left w:val="none" w:sz="0" w:space="0" w:color="auto"/>
            <w:bottom w:val="none" w:sz="0" w:space="0" w:color="auto"/>
            <w:right w:val="none" w:sz="0" w:space="0" w:color="auto"/>
          </w:divBdr>
        </w:div>
        <w:div w:id="526333577">
          <w:marLeft w:val="0"/>
          <w:marRight w:val="0"/>
          <w:marTop w:val="0"/>
          <w:marBottom w:val="0"/>
          <w:divBdr>
            <w:top w:val="none" w:sz="0" w:space="0" w:color="auto"/>
            <w:left w:val="none" w:sz="0" w:space="0" w:color="auto"/>
            <w:bottom w:val="none" w:sz="0" w:space="0" w:color="auto"/>
            <w:right w:val="none" w:sz="0" w:space="0" w:color="auto"/>
          </w:divBdr>
        </w:div>
        <w:div w:id="1241064509">
          <w:marLeft w:val="0"/>
          <w:marRight w:val="0"/>
          <w:marTop w:val="0"/>
          <w:marBottom w:val="0"/>
          <w:divBdr>
            <w:top w:val="none" w:sz="0" w:space="0" w:color="auto"/>
            <w:left w:val="none" w:sz="0" w:space="0" w:color="auto"/>
            <w:bottom w:val="none" w:sz="0" w:space="0" w:color="auto"/>
            <w:right w:val="none" w:sz="0" w:space="0" w:color="auto"/>
          </w:divBdr>
        </w:div>
        <w:div w:id="1333874671">
          <w:marLeft w:val="0"/>
          <w:marRight w:val="0"/>
          <w:marTop w:val="0"/>
          <w:marBottom w:val="0"/>
          <w:divBdr>
            <w:top w:val="none" w:sz="0" w:space="0" w:color="auto"/>
            <w:left w:val="none" w:sz="0" w:space="0" w:color="auto"/>
            <w:bottom w:val="none" w:sz="0" w:space="0" w:color="auto"/>
            <w:right w:val="none" w:sz="0" w:space="0" w:color="auto"/>
          </w:divBdr>
        </w:div>
        <w:div w:id="474184935">
          <w:marLeft w:val="0"/>
          <w:marRight w:val="0"/>
          <w:marTop w:val="0"/>
          <w:marBottom w:val="0"/>
          <w:divBdr>
            <w:top w:val="none" w:sz="0" w:space="0" w:color="auto"/>
            <w:left w:val="none" w:sz="0" w:space="0" w:color="auto"/>
            <w:bottom w:val="none" w:sz="0" w:space="0" w:color="auto"/>
            <w:right w:val="none" w:sz="0" w:space="0" w:color="auto"/>
          </w:divBdr>
        </w:div>
        <w:div w:id="1460223206">
          <w:marLeft w:val="0"/>
          <w:marRight w:val="0"/>
          <w:marTop w:val="0"/>
          <w:marBottom w:val="0"/>
          <w:divBdr>
            <w:top w:val="none" w:sz="0" w:space="0" w:color="auto"/>
            <w:left w:val="none" w:sz="0" w:space="0" w:color="auto"/>
            <w:bottom w:val="none" w:sz="0" w:space="0" w:color="auto"/>
            <w:right w:val="none" w:sz="0" w:space="0" w:color="auto"/>
          </w:divBdr>
        </w:div>
        <w:div w:id="1399863512">
          <w:marLeft w:val="0"/>
          <w:marRight w:val="0"/>
          <w:marTop w:val="0"/>
          <w:marBottom w:val="0"/>
          <w:divBdr>
            <w:top w:val="none" w:sz="0" w:space="0" w:color="auto"/>
            <w:left w:val="none" w:sz="0" w:space="0" w:color="auto"/>
            <w:bottom w:val="none" w:sz="0" w:space="0" w:color="auto"/>
            <w:right w:val="none" w:sz="0" w:space="0" w:color="auto"/>
          </w:divBdr>
        </w:div>
        <w:div w:id="1228759906">
          <w:marLeft w:val="0"/>
          <w:marRight w:val="0"/>
          <w:marTop w:val="0"/>
          <w:marBottom w:val="0"/>
          <w:divBdr>
            <w:top w:val="none" w:sz="0" w:space="0" w:color="auto"/>
            <w:left w:val="none" w:sz="0" w:space="0" w:color="auto"/>
            <w:bottom w:val="none" w:sz="0" w:space="0" w:color="auto"/>
            <w:right w:val="none" w:sz="0" w:space="0" w:color="auto"/>
          </w:divBdr>
        </w:div>
        <w:div w:id="1548955545">
          <w:marLeft w:val="0"/>
          <w:marRight w:val="0"/>
          <w:marTop w:val="0"/>
          <w:marBottom w:val="0"/>
          <w:divBdr>
            <w:top w:val="none" w:sz="0" w:space="0" w:color="auto"/>
            <w:left w:val="none" w:sz="0" w:space="0" w:color="auto"/>
            <w:bottom w:val="none" w:sz="0" w:space="0" w:color="auto"/>
            <w:right w:val="none" w:sz="0" w:space="0" w:color="auto"/>
          </w:divBdr>
        </w:div>
        <w:div w:id="530918070">
          <w:marLeft w:val="0"/>
          <w:marRight w:val="0"/>
          <w:marTop w:val="0"/>
          <w:marBottom w:val="0"/>
          <w:divBdr>
            <w:top w:val="none" w:sz="0" w:space="0" w:color="auto"/>
            <w:left w:val="none" w:sz="0" w:space="0" w:color="auto"/>
            <w:bottom w:val="none" w:sz="0" w:space="0" w:color="auto"/>
            <w:right w:val="none" w:sz="0" w:space="0" w:color="auto"/>
          </w:divBdr>
        </w:div>
      </w:divsChild>
    </w:div>
    <w:div w:id="781924904">
      <w:bodyDiv w:val="1"/>
      <w:marLeft w:val="0"/>
      <w:marRight w:val="0"/>
      <w:marTop w:val="0"/>
      <w:marBottom w:val="0"/>
      <w:divBdr>
        <w:top w:val="none" w:sz="0" w:space="0" w:color="auto"/>
        <w:left w:val="none" w:sz="0" w:space="0" w:color="auto"/>
        <w:bottom w:val="none" w:sz="0" w:space="0" w:color="auto"/>
        <w:right w:val="none" w:sz="0" w:space="0" w:color="auto"/>
      </w:divBdr>
    </w:div>
    <w:div w:id="1207107800">
      <w:bodyDiv w:val="1"/>
      <w:marLeft w:val="0"/>
      <w:marRight w:val="0"/>
      <w:marTop w:val="0"/>
      <w:marBottom w:val="0"/>
      <w:divBdr>
        <w:top w:val="none" w:sz="0" w:space="0" w:color="auto"/>
        <w:left w:val="none" w:sz="0" w:space="0" w:color="auto"/>
        <w:bottom w:val="none" w:sz="0" w:space="0" w:color="auto"/>
        <w:right w:val="none" w:sz="0" w:space="0" w:color="auto"/>
      </w:divBdr>
      <w:divsChild>
        <w:div w:id="244388399">
          <w:marLeft w:val="0"/>
          <w:marRight w:val="0"/>
          <w:marTop w:val="0"/>
          <w:marBottom w:val="0"/>
          <w:divBdr>
            <w:top w:val="none" w:sz="0" w:space="0" w:color="auto"/>
            <w:left w:val="none" w:sz="0" w:space="0" w:color="auto"/>
            <w:bottom w:val="none" w:sz="0" w:space="0" w:color="auto"/>
            <w:right w:val="none" w:sz="0" w:space="0" w:color="auto"/>
          </w:divBdr>
          <w:divsChild>
            <w:div w:id="57097878">
              <w:marLeft w:val="0"/>
              <w:marRight w:val="0"/>
              <w:marTop w:val="0"/>
              <w:marBottom w:val="0"/>
              <w:divBdr>
                <w:top w:val="none" w:sz="0" w:space="0" w:color="auto"/>
                <w:left w:val="none" w:sz="0" w:space="0" w:color="auto"/>
                <w:bottom w:val="none" w:sz="0" w:space="0" w:color="auto"/>
                <w:right w:val="none" w:sz="0" w:space="0" w:color="auto"/>
              </w:divBdr>
              <w:divsChild>
                <w:div w:id="1898930363">
                  <w:marLeft w:val="0"/>
                  <w:marRight w:val="0"/>
                  <w:marTop w:val="0"/>
                  <w:marBottom w:val="0"/>
                  <w:divBdr>
                    <w:top w:val="none" w:sz="0" w:space="0" w:color="auto"/>
                    <w:left w:val="none" w:sz="0" w:space="0" w:color="auto"/>
                    <w:bottom w:val="none" w:sz="0" w:space="0" w:color="auto"/>
                    <w:right w:val="none" w:sz="0" w:space="0" w:color="auto"/>
                  </w:divBdr>
                  <w:divsChild>
                    <w:div w:id="21407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4589">
          <w:marLeft w:val="0"/>
          <w:marRight w:val="0"/>
          <w:marTop w:val="0"/>
          <w:marBottom w:val="0"/>
          <w:divBdr>
            <w:top w:val="none" w:sz="0" w:space="0" w:color="auto"/>
            <w:left w:val="none" w:sz="0" w:space="0" w:color="auto"/>
            <w:bottom w:val="none" w:sz="0" w:space="0" w:color="auto"/>
            <w:right w:val="none" w:sz="0" w:space="0" w:color="auto"/>
          </w:divBdr>
          <w:divsChild>
            <w:div w:id="2145387804">
              <w:marLeft w:val="0"/>
              <w:marRight w:val="0"/>
              <w:marTop w:val="0"/>
              <w:marBottom w:val="0"/>
              <w:divBdr>
                <w:top w:val="none" w:sz="0" w:space="0" w:color="auto"/>
                <w:left w:val="none" w:sz="0" w:space="0" w:color="auto"/>
                <w:bottom w:val="none" w:sz="0" w:space="0" w:color="auto"/>
                <w:right w:val="none" w:sz="0" w:space="0" w:color="auto"/>
              </w:divBdr>
              <w:divsChild>
                <w:div w:id="1092974614">
                  <w:marLeft w:val="0"/>
                  <w:marRight w:val="0"/>
                  <w:marTop w:val="0"/>
                  <w:marBottom w:val="0"/>
                  <w:divBdr>
                    <w:top w:val="none" w:sz="0" w:space="0" w:color="auto"/>
                    <w:left w:val="none" w:sz="0" w:space="0" w:color="auto"/>
                    <w:bottom w:val="none" w:sz="0" w:space="0" w:color="auto"/>
                    <w:right w:val="none" w:sz="0" w:space="0" w:color="auto"/>
                  </w:divBdr>
                  <w:divsChild>
                    <w:div w:id="8968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98917">
      <w:bodyDiv w:val="1"/>
      <w:marLeft w:val="0"/>
      <w:marRight w:val="0"/>
      <w:marTop w:val="0"/>
      <w:marBottom w:val="0"/>
      <w:divBdr>
        <w:top w:val="none" w:sz="0" w:space="0" w:color="auto"/>
        <w:left w:val="none" w:sz="0" w:space="0" w:color="auto"/>
        <w:bottom w:val="none" w:sz="0" w:space="0" w:color="auto"/>
        <w:right w:val="none" w:sz="0" w:space="0" w:color="auto"/>
      </w:divBdr>
      <w:divsChild>
        <w:div w:id="143278278">
          <w:marLeft w:val="0"/>
          <w:marRight w:val="0"/>
          <w:marTop w:val="0"/>
          <w:marBottom w:val="0"/>
          <w:divBdr>
            <w:top w:val="none" w:sz="0" w:space="0" w:color="auto"/>
            <w:left w:val="none" w:sz="0" w:space="0" w:color="auto"/>
            <w:bottom w:val="none" w:sz="0" w:space="0" w:color="auto"/>
            <w:right w:val="none" w:sz="0" w:space="0" w:color="auto"/>
          </w:divBdr>
        </w:div>
        <w:div w:id="343635980">
          <w:marLeft w:val="0"/>
          <w:marRight w:val="0"/>
          <w:marTop w:val="0"/>
          <w:marBottom w:val="0"/>
          <w:divBdr>
            <w:top w:val="none" w:sz="0" w:space="0" w:color="auto"/>
            <w:left w:val="none" w:sz="0" w:space="0" w:color="auto"/>
            <w:bottom w:val="none" w:sz="0" w:space="0" w:color="auto"/>
            <w:right w:val="none" w:sz="0" w:space="0" w:color="auto"/>
          </w:divBdr>
        </w:div>
        <w:div w:id="58982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hannysyifa285@students.unnes.ac.id" TargetMode="External"/><Relationship Id="rId2" Type="http://schemas.openxmlformats.org/officeDocument/2006/relationships/hyperlink" Target="mailto:rumam267@students.unnes.ac.id" TargetMode="External"/><Relationship Id="rId1" Type="http://schemas.openxmlformats.org/officeDocument/2006/relationships/hyperlink" Target="mailto:bagas12riyanto@students.unnes.ac.id" TargetMode="External"/><Relationship Id="rId5" Type="http://schemas.openxmlformats.org/officeDocument/2006/relationships/hyperlink" Target="mailto:shofwatulmala686@gmail.com" TargetMode="External"/><Relationship Id="rId4" Type="http://schemas.openxmlformats.org/officeDocument/2006/relationships/hyperlink" Target="mailto:rafi11@students.unnes.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6C821-DE8A-482F-B3B1-B1BB3D9F8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4895</Words>
  <Characters>33190</Characters>
  <Application>Microsoft Office Word</Application>
  <DocSecurity>0</DocSecurity>
  <Lines>1144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 Nurpratiwi</dc:creator>
  <cp:keywords/>
  <dc:description/>
  <cp:lastModifiedBy>bagas riyanto</cp:lastModifiedBy>
  <cp:revision>2</cp:revision>
  <dcterms:created xsi:type="dcterms:W3CDTF">2025-11-25T04:40:00Z</dcterms:created>
  <dcterms:modified xsi:type="dcterms:W3CDTF">2025-11-25T04:40:00Z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9fcdf11a-5e93-4b16-9591-31658649786c</vt:lpwstr>
  </property>
</Properties>
</file>