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4A41" w14:textId="77777777" w:rsidR="007D7E8C" w:rsidRPr="00690BF7" w:rsidRDefault="007D7E8C" w:rsidP="00180D3E">
      <w:pPr>
        <w:jc w:val="center"/>
        <w:rPr>
          <w:rFonts w:ascii="Constantia" w:eastAsia="Times New Roman" w:hAnsi="Constantia" w:cs="Angsana New"/>
          <w:kern w:val="0"/>
          <w:sz w:val="41"/>
          <w:szCs w:val="41"/>
          <w:lang w:eastAsia="id-ID"/>
          <w14:ligatures w14:val="none"/>
        </w:rPr>
      </w:pPr>
      <w:r w:rsidRPr="00690BF7">
        <w:rPr>
          <w:rFonts w:ascii="Constantia" w:eastAsia="Times New Roman" w:hAnsi="Constantia" w:cs="Angsana New"/>
          <w:kern w:val="0"/>
          <w:sz w:val="41"/>
          <w:szCs w:val="41"/>
          <w:lang w:eastAsia="id-ID"/>
          <w14:ligatures w14:val="none"/>
        </w:rPr>
        <w:t>HISTORIA PEDAGOGIA</w:t>
      </w:r>
    </w:p>
    <w:p w14:paraId="54A6A489" w14:textId="77777777" w:rsidR="007D7E8C" w:rsidRPr="00690BF7" w:rsidRDefault="007D7E8C" w:rsidP="00180D3E">
      <w:pPr>
        <w:jc w:val="center"/>
        <w:rPr>
          <w:rFonts w:ascii="Constantia" w:eastAsia="Times New Roman" w:hAnsi="Constantia" w:cs="Angsana New"/>
          <w:kern w:val="0"/>
          <w:sz w:val="26"/>
          <w:szCs w:val="26"/>
          <w:lang w:eastAsia="id-ID"/>
          <w14:ligatures w14:val="none"/>
        </w:rPr>
      </w:pPr>
      <w:r w:rsidRPr="00690BF7">
        <w:rPr>
          <w:rFonts w:ascii="Constantia" w:eastAsia="Times New Roman" w:hAnsi="Constantia" w:cs="Angsana New"/>
          <w:kern w:val="0"/>
          <w:sz w:val="26"/>
          <w:szCs w:val="26"/>
          <w:lang w:eastAsia="id-ID"/>
          <w14:ligatures w14:val="none"/>
        </w:rPr>
        <w:t>Jurnal Penelitian dan Inovasi Pendidikan Sejarah</w:t>
      </w:r>
    </w:p>
    <w:p w14:paraId="32434038" w14:textId="41C16DC8" w:rsidR="007D7E8C" w:rsidRPr="00690BF7" w:rsidRDefault="007D7E8C" w:rsidP="00180D3E">
      <w:pPr>
        <w:jc w:val="center"/>
        <w:rPr>
          <w:rFonts w:ascii="Constantia" w:hAnsi="Constantia"/>
          <w:sz w:val="20"/>
          <w:szCs w:val="20"/>
        </w:rPr>
      </w:pPr>
      <w:r w:rsidRPr="00690BF7">
        <w:rPr>
          <w:rFonts w:ascii="Constantia" w:hAnsi="Constantia"/>
          <w:noProof/>
          <w:lang w:eastAsia="id-ID"/>
        </w:rPr>
        <mc:AlternateContent>
          <mc:Choice Requires="wps">
            <w:drawing>
              <wp:anchor distT="0" distB="0" distL="114300" distR="114300" simplePos="0" relativeHeight="251659264" behindDoc="0" locked="0" layoutInCell="1" allowOverlap="1" wp14:anchorId="5B52DA49" wp14:editId="54259B3E">
                <wp:simplePos x="0" y="0"/>
                <wp:positionH relativeFrom="column">
                  <wp:posOffset>773723</wp:posOffset>
                </wp:positionH>
                <wp:positionV relativeFrom="paragraph">
                  <wp:posOffset>45818</wp:posOffset>
                </wp:positionV>
                <wp:extent cx="4167554" cy="0"/>
                <wp:effectExtent l="0" t="0" r="10795" b="12700"/>
                <wp:wrapNone/>
                <wp:docPr id="1235249177" name="Konektor Lurus 2"/>
                <wp:cNvGraphicFramePr/>
                <a:graphic xmlns:a="http://schemas.openxmlformats.org/drawingml/2006/main">
                  <a:graphicData uri="http://schemas.microsoft.com/office/word/2010/wordprocessingShape">
                    <wps:wsp>
                      <wps:cNvCnPr/>
                      <wps:spPr>
                        <a:xfrm>
                          <a:off x="0" y="0"/>
                          <a:ext cx="416755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376FD3" id="Konektor Lurus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3.6pt" to="38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" strokecolor="#156082 [3204]" strokeweight=".5pt">
                <v:stroke joinstyle="miter"/>
              </v:line>
            </w:pict>
          </mc:Fallback>
        </mc:AlternateContent>
      </w:r>
    </w:p>
    <w:p w14:paraId="47DF7755" w14:textId="0593CE29" w:rsidR="007D7E8C" w:rsidRPr="00690BF7" w:rsidRDefault="007D7E8C" w:rsidP="00180D3E">
      <w:pPr>
        <w:jc w:val="center"/>
        <w:rPr>
          <w:rFonts w:ascii="Constantia" w:hAnsi="Constantia"/>
          <w:sz w:val="20"/>
          <w:szCs w:val="20"/>
        </w:rPr>
      </w:pPr>
      <w:r w:rsidRPr="00690BF7">
        <w:rPr>
          <w:rFonts w:ascii="Constantia" w:hAnsi="Constantia"/>
          <w:sz w:val="20"/>
          <w:szCs w:val="20"/>
        </w:rPr>
        <w:t>Vol.</w:t>
      </w:r>
      <w:r w:rsidR="00CF51D7">
        <w:rPr>
          <w:rFonts w:ascii="Constantia" w:hAnsi="Constantia"/>
          <w:sz w:val="20"/>
          <w:szCs w:val="20"/>
        </w:rPr>
        <w:t xml:space="preserve"> 14, Nomor </w:t>
      </w:r>
      <w:r w:rsidR="00214762">
        <w:rPr>
          <w:rFonts w:ascii="Constantia" w:hAnsi="Constantia"/>
          <w:sz w:val="20"/>
          <w:szCs w:val="20"/>
        </w:rPr>
        <w:t xml:space="preserve">54 </w:t>
      </w:r>
      <w:r w:rsidR="00CF51D7">
        <w:rPr>
          <w:rFonts w:ascii="Constantia" w:hAnsi="Constantia"/>
          <w:sz w:val="20"/>
          <w:szCs w:val="20"/>
        </w:rPr>
        <w:t>Tahun 2025</w:t>
      </w:r>
    </w:p>
    <w:p w14:paraId="06359003" w14:textId="12AFEEE6" w:rsidR="007D7E8C" w:rsidRPr="00690BF7" w:rsidRDefault="007D7E8C" w:rsidP="00180D3E">
      <w:pPr>
        <w:jc w:val="center"/>
        <w:rPr>
          <w:rFonts w:ascii="Constantia" w:hAnsi="Constantia"/>
          <w:sz w:val="20"/>
          <w:szCs w:val="20"/>
        </w:rPr>
      </w:pPr>
      <w:r w:rsidRPr="00690BF7">
        <w:rPr>
          <w:rFonts w:ascii="Constantia" w:hAnsi="Constantia"/>
          <w:sz w:val="20"/>
          <w:szCs w:val="20"/>
        </w:rPr>
        <w:t>https://journal.unnes.ac.id/journals/hp</w:t>
      </w:r>
    </w:p>
    <w:p w14:paraId="3EC300A6" w14:textId="77777777" w:rsidR="007D7E8C" w:rsidRPr="00690BF7" w:rsidRDefault="007D7E8C" w:rsidP="00180D3E">
      <w:pPr>
        <w:jc w:val="center"/>
        <w:rPr>
          <w:rFonts w:ascii="Constantia" w:hAnsi="Constantia"/>
        </w:rPr>
      </w:pPr>
    </w:p>
    <w:p w14:paraId="446B1453" w14:textId="77777777" w:rsidR="00CF51D7" w:rsidRPr="00CF51D7" w:rsidRDefault="00CF51D7" w:rsidP="00CF51D7">
      <w:pPr>
        <w:jc w:val="center"/>
        <w:rPr>
          <w:rFonts w:ascii="Constantia" w:hAnsi="Constantia"/>
          <w:b/>
          <w:bCs/>
        </w:rPr>
      </w:pPr>
      <w:r w:rsidRPr="00CF51D7">
        <w:rPr>
          <w:rFonts w:ascii="Constantia" w:hAnsi="Constantia"/>
          <w:b/>
          <w:bCs/>
        </w:rPr>
        <w:t xml:space="preserve">Menuju Pembangunan Berkelanjutan dan Inklusif </w:t>
      </w:r>
    </w:p>
    <w:p w14:paraId="5AF79303" w14:textId="77777777" w:rsidR="00CF51D7" w:rsidRPr="00CF51D7" w:rsidRDefault="00CF51D7" w:rsidP="00CF51D7">
      <w:pPr>
        <w:jc w:val="center"/>
        <w:rPr>
          <w:rFonts w:ascii="Constantia" w:hAnsi="Constantia"/>
          <w:b/>
          <w:bCs/>
        </w:rPr>
      </w:pPr>
      <w:r w:rsidRPr="00CF51D7">
        <w:rPr>
          <w:rFonts w:ascii="Constantia" w:hAnsi="Constantia"/>
          <w:b/>
          <w:bCs/>
        </w:rPr>
        <w:t xml:space="preserve">dalam Kolaborasi antara Pemerintah, Swasta </w:t>
      </w:r>
    </w:p>
    <w:p w14:paraId="5E63EE08" w14:textId="66CFB247" w:rsidR="007103F4" w:rsidRDefault="00CF51D7" w:rsidP="00CF51D7">
      <w:pPr>
        <w:jc w:val="center"/>
        <w:rPr>
          <w:rFonts w:ascii="Constantia" w:hAnsi="Constantia"/>
          <w:b/>
          <w:bCs/>
        </w:rPr>
      </w:pPr>
      <w:r w:rsidRPr="00CF51D7">
        <w:rPr>
          <w:rFonts w:ascii="Constantia" w:hAnsi="Constantia"/>
          <w:b/>
          <w:bCs/>
        </w:rPr>
        <w:t>dan Masyarakat Sipil</w:t>
      </w:r>
    </w:p>
    <w:p w14:paraId="51446F25" w14:textId="77777777" w:rsidR="00CF51D7" w:rsidRPr="00690BF7" w:rsidRDefault="00CF51D7" w:rsidP="00CF51D7">
      <w:pPr>
        <w:jc w:val="center"/>
        <w:rPr>
          <w:rFonts w:ascii="Constantia" w:hAnsi="Constantia"/>
        </w:rPr>
      </w:pPr>
    </w:p>
    <w:p w14:paraId="5B1C9415" w14:textId="5F7B1899" w:rsidR="007D7E8C" w:rsidRPr="00690BF7" w:rsidRDefault="00CF51D7" w:rsidP="00180D3E">
      <w:pPr>
        <w:jc w:val="center"/>
        <w:rPr>
          <w:rFonts w:ascii="Constantia" w:hAnsi="Constantia"/>
        </w:rPr>
      </w:pPr>
      <w:r w:rsidRPr="00CF51D7">
        <w:rPr>
          <w:rFonts w:ascii="Constantia" w:hAnsi="Constantia"/>
        </w:rPr>
        <w:t>Shabrina Aribby Leone</w:t>
      </w:r>
      <w:r w:rsidR="003117F0" w:rsidRPr="00690BF7">
        <w:rPr>
          <w:rStyle w:val="FootnoteReference"/>
          <w:rFonts w:ascii="Constantia" w:hAnsi="Constantia"/>
        </w:rPr>
        <w:footnoteReference w:id="1"/>
      </w:r>
      <w:r>
        <w:rPr>
          <w:rFonts w:ascii="Constantia" w:hAnsi="Constantia"/>
        </w:rPr>
        <w:t xml:space="preserve">, </w:t>
      </w:r>
      <w:r w:rsidRPr="00CF51D7">
        <w:rPr>
          <w:rFonts w:ascii="Constantia" w:hAnsi="Constantia"/>
        </w:rPr>
        <w:t>Bagas Eka Maulana</w:t>
      </w:r>
      <w:r w:rsidRPr="00CF51D7">
        <w:rPr>
          <w:rFonts w:ascii="Constantia" w:hAnsi="Constantia"/>
          <w:vertAlign w:val="superscript"/>
        </w:rPr>
        <w:t>2</w:t>
      </w:r>
      <w:r>
        <w:rPr>
          <w:rFonts w:ascii="Constantia" w:hAnsi="Constantia"/>
        </w:rPr>
        <w:t xml:space="preserve">, </w:t>
      </w:r>
      <w:r w:rsidRPr="00CF51D7">
        <w:rPr>
          <w:rFonts w:ascii="Constantia" w:hAnsi="Constantia"/>
        </w:rPr>
        <w:t>Sulistyaningsih</w:t>
      </w:r>
      <w:r w:rsidRPr="00CF51D7">
        <w:rPr>
          <w:rFonts w:ascii="Constantia" w:hAnsi="Constantia"/>
          <w:vertAlign w:val="superscript"/>
        </w:rPr>
        <w:t>3</w:t>
      </w:r>
    </w:p>
    <w:p w14:paraId="378C90C4" w14:textId="77777777" w:rsidR="007D7E8C" w:rsidRPr="00690BF7" w:rsidRDefault="007D7E8C" w:rsidP="00180D3E">
      <w:pPr>
        <w:jc w:val="center"/>
        <w:rPr>
          <w:rFonts w:ascii="Constantia" w:hAnsi="Constantia"/>
        </w:rPr>
      </w:pPr>
    </w:p>
    <w:p w14:paraId="5CB9D993" w14:textId="77777777" w:rsidR="00512A1A" w:rsidRPr="00690BF7" w:rsidRDefault="00512A1A" w:rsidP="00180D3E">
      <w:pPr>
        <w:jc w:val="center"/>
        <w:rPr>
          <w:rFonts w:ascii="Constantia" w:hAnsi="Constantia"/>
        </w:rPr>
      </w:pPr>
    </w:p>
    <w:p w14:paraId="604332DF" w14:textId="77777777" w:rsidR="00512A1A" w:rsidRPr="00690BF7" w:rsidRDefault="00512A1A" w:rsidP="00180D3E">
      <w:pPr>
        <w:ind w:left="567"/>
        <w:jc w:val="center"/>
        <w:rPr>
          <w:rFonts w:ascii="Constantia" w:hAnsi="Constantia"/>
          <w:b/>
          <w:bCs/>
          <w:sz w:val="22"/>
          <w:szCs w:val="22"/>
        </w:rPr>
      </w:pPr>
      <w:r w:rsidRPr="00690BF7">
        <w:rPr>
          <w:rFonts w:ascii="Constantia" w:hAnsi="Constantia"/>
          <w:b/>
          <w:bCs/>
          <w:sz w:val="22"/>
          <w:szCs w:val="22"/>
        </w:rPr>
        <w:t>ABSTRACT</w:t>
      </w:r>
    </w:p>
    <w:p w14:paraId="34D88E5E" w14:textId="535F1FFA" w:rsidR="0019317D" w:rsidRPr="00690BF7" w:rsidRDefault="00CF51D7" w:rsidP="00690BF7">
      <w:pPr>
        <w:spacing w:line="276" w:lineRule="auto"/>
        <w:ind w:left="567"/>
        <w:jc w:val="both"/>
        <w:rPr>
          <w:rFonts w:ascii="Constantia" w:hAnsi="Constantia"/>
          <w:szCs w:val="22"/>
        </w:rPr>
      </w:pPr>
      <w:r w:rsidRPr="00CF51D7">
        <w:rPr>
          <w:rFonts w:ascii="Constantia" w:hAnsi="Constantia"/>
          <w:szCs w:val="22"/>
        </w:rPr>
        <w:t>Sustainable and inclusive development has become a key global agenda that requires cross-sectoral solutions to address complex social, economic and environmental challenges. The objective of this study is to analyse the role of trisectoral collaboration between the government, private sector and civil society in promoting sustainable and inclusive development in Indonesia. The method used is a literature study with a descriptive qualitative approach, which examines various sources of literature, policy reports, and case studies. The results of the study show that collaboration between the three pillars is very effective because it can increase the effectiveness of development implementation, overcome socio-economic inequalities, and strengthen development governance. However, the dynamics of collaboration still face a number of obstacles, such as overlapping regulations, complex bureaucracy, and low levels of trust between parties. On the other hand, driving factors such as fiscal incentives, digital platforms, and political support can also strengthen this synergy. The conclusion of this study is that trisector collaboration is not only a necessity but also a strategic foundation for achieving sustainable, inclusive, and equitable development goals in Indonesia. To that end, it is imperative to simplify regulations, increase transparency, and strengthen institutional capacity.</w:t>
      </w:r>
    </w:p>
    <w:p w14:paraId="6A1F2189" w14:textId="71A56253" w:rsidR="004C21F6" w:rsidRPr="00690BF7" w:rsidRDefault="0019317D" w:rsidP="00CF51D7">
      <w:pPr>
        <w:spacing w:line="276" w:lineRule="auto"/>
        <w:ind w:left="567"/>
        <w:jc w:val="both"/>
        <w:rPr>
          <w:rFonts w:ascii="Constantia" w:hAnsi="Constantia"/>
        </w:rPr>
      </w:pPr>
      <w:r w:rsidRPr="00690BF7">
        <w:rPr>
          <w:rFonts w:ascii="Constantia" w:hAnsi="Constantia"/>
          <w:b/>
          <w:szCs w:val="22"/>
        </w:rPr>
        <w:t xml:space="preserve">Keywords: </w:t>
      </w:r>
      <w:r w:rsidR="00CF51D7" w:rsidRPr="00CF51D7">
        <w:rPr>
          <w:rFonts w:ascii="Constantia" w:hAnsi="Constantia"/>
          <w:b/>
          <w:i/>
          <w:szCs w:val="22"/>
        </w:rPr>
        <w:t>Sustainable Development, Collaboration, Government, Private Sector, Civil Society.</w:t>
      </w:r>
    </w:p>
    <w:p w14:paraId="5B102EF5" w14:textId="77777777" w:rsidR="004C21F6" w:rsidRPr="00690BF7" w:rsidRDefault="004C21F6" w:rsidP="00690BF7">
      <w:pPr>
        <w:jc w:val="both"/>
        <w:rPr>
          <w:rFonts w:ascii="Constantia" w:hAnsi="Constantia"/>
        </w:rPr>
      </w:pPr>
    </w:p>
    <w:p w14:paraId="3B34DA5C" w14:textId="17803C56" w:rsidR="003E0585" w:rsidRPr="00690BF7" w:rsidRDefault="004C21F6" w:rsidP="00690BF7">
      <w:pPr>
        <w:jc w:val="both"/>
        <w:rPr>
          <w:rFonts w:ascii="Constantia" w:hAnsi="Constantia"/>
          <w:b/>
          <w:bCs/>
        </w:rPr>
        <w:sectPr w:rsidR="003E0585" w:rsidRPr="00690BF7" w:rsidSect="0098169D">
          <w:footerReference w:type="default" r:id="rId8"/>
          <w:type w:val="continuous"/>
          <w:pgSz w:w="11906" w:h="16838"/>
          <w:pgMar w:top="1440" w:right="1440" w:bottom="1440" w:left="1440" w:header="708" w:footer="708" w:gutter="0"/>
          <w:cols w:space="708"/>
          <w:titlePg/>
          <w:docGrid w:linePitch="360"/>
        </w:sectPr>
      </w:pPr>
      <w:r w:rsidRPr="00690BF7">
        <w:rPr>
          <w:rFonts w:ascii="Constantia" w:hAnsi="Constantia"/>
        </w:rPr>
        <w:br w:type="page"/>
      </w:r>
    </w:p>
    <w:p w14:paraId="2C2219DA" w14:textId="77777777" w:rsidR="003E0585" w:rsidRPr="00690BF7" w:rsidRDefault="003E0585" w:rsidP="00690BF7">
      <w:pPr>
        <w:jc w:val="both"/>
        <w:rPr>
          <w:rFonts w:ascii="Constantia" w:hAnsi="Constantia"/>
          <w:b/>
          <w:bCs/>
        </w:rPr>
      </w:pPr>
      <w:r w:rsidRPr="00690BF7">
        <w:rPr>
          <w:rFonts w:ascii="Constantia" w:hAnsi="Constantia"/>
          <w:b/>
          <w:bCs/>
        </w:rPr>
        <w:lastRenderedPageBreak/>
        <w:t>PENDAHULUAN</w:t>
      </w:r>
    </w:p>
    <w:p w14:paraId="77D59A31" w14:textId="77777777" w:rsidR="00CF51D7" w:rsidRPr="00F0385E" w:rsidRDefault="00CF51D7" w:rsidP="00F0385E">
      <w:pPr>
        <w:jc w:val="both"/>
        <w:rPr>
          <w:rFonts w:ascii="Constantia" w:hAnsi="Constantia"/>
        </w:rPr>
      </w:pPr>
      <w:r w:rsidRPr="00F0385E">
        <w:rPr>
          <w:rFonts w:ascii="Constantia" w:hAnsi="Constantia"/>
        </w:rPr>
        <w:t>Sejak akhir abad ke-20, pembangunan berkelanjutan dan inklusif telah menjadi pilar utama dalam agenda global pembangunan. Tantangan kompleks seperti kemiskinan ekstrem, perubahan iklim, dan ketimpangan sosial memaksa dunia untuk mencari solusi yang melibatkan keadilan sosial dan keseimbangan ekologi selain pertumbuhan ekonomi. Konsep pembangunan berkelanjutan pertama kali muncul dalam Laporan Brundtland pada tahun 1987 dan menekankan bahwa kita harus memenuhi kebutuhan generasi saat ini tanpa mengorbankan kemampuan generasi mendatang untuk memenuhi kebutuhan mereka sendiri. Namun, dalam kenyataannya, pembangunan seringkali terjebak dalam model yang eksklusif, di mana hanya segelintir kelompok yang menikmati keuntungan ekonomi, sementara kelompok rentan seperti perempuan, minoritas, dan masyarakat miskin tetap tertinggal. Ini mendorong konsep pembangunan inklusif, yang menekankan partisipasi aktif semua pemangku kepentingan dalam mencapai kesetaraan dan akses yang adil terhadap sumber daya (UNDP, 2020: 15).</w:t>
      </w:r>
    </w:p>
    <w:p w14:paraId="58893A7E" w14:textId="77777777" w:rsidR="00CF51D7" w:rsidRPr="00F0385E" w:rsidRDefault="00CF51D7" w:rsidP="00F0385E">
      <w:pPr>
        <w:jc w:val="both"/>
        <w:rPr>
          <w:rFonts w:ascii="Constantia" w:hAnsi="Constantia"/>
        </w:rPr>
      </w:pPr>
      <w:r w:rsidRPr="00F0385E">
        <w:rPr>
          <w:rFonts w:ascii="Constantia" w:hAnsi="Constantia"/>
        </w:rPr>
        <w:t xml:space="preserve">Akan tetapi, perjalanan menuju pembangunan berkelanjutan menghadapi tantangan yang beragam dan multidimensi yang tidak dapat diatasi hanya oleh satu bidang. Pemerintah, dengan segala kekuatan dan sumber daya yang ada, sering kali terbebani oleh birokrasi yang rumit, keterbatasan anggaran, dan perubahan kebijakan yang disebabkan oleh pergeseran politik. Meskipun memiliki tingkat inovasi, efisiensi, dan kekayaan yang tinggi, sektor swasta sering dihadapkan pada tuduhan bahwa, demi mengejar keuntungan, praktik bisnisnya justru memperburuk lingkungan dan </w:t>
      </w:r>
      <w:r w:rsidRPr="00F0385E">
        <w:rPr>
          <w:rFonts w:ascii="Constantia" w:hAnsi="Constantia"/>
        </w:rPr>
        <w:t>kesenjangan sosial. Masyarakat sipil, sering disebut suara dari akar rumput karena seringkali kekurangan sumber daya dan kemampuan untuk memperluas dampak kampanye mereka. Namun, mereka sangat memahami kebutuhan lokal dan berperan penting dalam memperjuangkan keadilan sosial.</w:t>
      </w:r>
    </w:p>
    <w:p w14:paraId="2395D4CF" w14:textId="77777777" w:rsidR="00CF51D7" w:rsidRPr="00F0385E" w:rsidRDefault="00CF51D7" w:rsidP="00F0385E">
      <w:pPr>
        <w:jc w:val="both"/>
        <w:rPr>
          <w:rFonts w:ascii="Constantia" w:hAnsi="Constantia"/>
        </w:rPr>
      </w:pPr>
      <w:r w:rsidRPr="00F0385E">
        <w:rPr>
          <w:rFonts w:ascii="Constantia" w:hAnsi="Constantia"/>
        </w:rPr>
        <w:t>Karena keterbatasan itulah masing-masing pihak, kolaborasi trisector antara sektor pemerintah, swasta, dan masyarakat sipil sangat diperlukan. Disebut sebagai "kemitraan strategis yang melibatkan berbagi sumber daya, tanggung jawab, dan risiko untuk mencapai tujuan bersama yang tidak dapat dicapai secara mandiri", kerja sama seperti ini lebih dari sekadar kemitraan. Diharapkan bahwa sinergi ini akan menghasilkan pendekatan yang lebih tangguh, kreatif, dan inklusif untuk menangani masalah pembangunan. Sebagai contoh, pemerintah dapat menetapkan regulasi dan insentif untuk proyek infrastruktur energi terbarukan, sektor swasta dapat menyediakan teknologi dan modal, dan masyarakat sipil memastikan bahwa proyek tersebut diterima oleh komunitas lokal dan menghasilkan manfaat yang merata.</w:t>
      </w:r>
    </w:p>
    <w:p w14:paraId="4611C54B" w14:textId="77777777" w:rsidR="00CF51D7" w:rsidRPr="00F0385E" w:rsidRDefault="00CF51D7" w:rsidP="00F0385E">
      <w:pPr>
        <w:jc w:val="both"/>
        <w:rPr>
          <w:rFonts w:ascii="Constantia" w:hAnsi="Constantia"/>
        </w:rPr>
      </w:pPr>
      <w:r w:rsidRPr="00F0385E">
        <w:rPr>
          <w:rFonts w:ascii="Constantia" w:hAnsi="Constantia"/>
        </w:rPr>
        <w:t xml:space="preserve">Seiring dengan komitmen Indonesia terhadap Sustainable Development Goals (SDGs) yang diadopsi oleh PBB pada tahun 2015, konsep pembangunan berkelanjutan dan inklusif menjadi semakin penting dalam konteks Indonesia. Sebagai negara kepulauan dengan populasi terbesar keempat di dunia, Indonesia menghadapi dilema antara pertumbuhan ekonomi yang pesat (dengan pertumbuhan PDB rata-rata 5% per tahun) dan kerusakan lingkungan seperti polusi laut dan deforestasi (Badan Pusat Statistik Indonesia, 2022:  22). Di tahun 2021, indeks Gini mencapai 0,38, yang </w:t>
      </w:r>
      <w:r w:rsidRPr="00F0385E">
        <w:rPr>
          <w:rFonts w:ascii="Constantia" w:hAnsi="Constantia"/>
        </w:rPr>
        <w:lastRenderedPageBreak/>
        <w:t>menunjukkan perbedaan pendapatan yang signifikan antara kelas atas dan bawah, menunjukkan ketimpangan sosial yang persisten (World Bank, 2021: 45). Untuk mengatasi masalah ini, perlu kerja sama antara bisnis, pemerintah, dan masyarakat sipil. Ini terlihat pada program seperti Gerakan Nasional Pengendalian Inflasi Pangan (GNPIP), yang bekerja sama dengan LSM dan perusahaan swasta untuk menjamin akses pangan yang adil. Namun, implementasi SDGs sering terkendala oleh korupsi, ketidak jelasan, dan ketidak percayaan antar aktor. Dalam agenda 2030 untuk Pembangunan Berkelanjutan menunjukkan komitmen global terhadap model kerja sama ini. Menurut Tujuan Pembangunan Berkelanjutan (SDGs) ke-17, "pelaksanaan agenda yang ambisius ini memerlukan kemitraan yang inklusif di tingkat global, regional, nasional, dan lokal yang dibangun atas dasar prinsip dan nilai bersama, dengan visi misi yang berpusat pada manusia dan planet ini. Hal ini merupakan pengakuan resmi bahwa tantangan pembangunan berkorelasi satu sama lain dan memerlukan tindakan kolaboratif dari semua bidang masyarakat.</w:t>
      </w:r>
    </w:p>
    <w:p w14:paraId="32CA9BA6" w14:textId="77777777" w:rsidR="00CF51D7" w:rsidRPr="00F0385E" w:rsidRDefault="00CF51D7" w:rsidP="00F0385E">
      <w:pPr>
        <w:jc w:val="both"/>
        <w:rPr>
          <w:rFonts w:ascii="Constantia" w:hAnsi="Constantia"/>
        </w:rPr>
      </w:pPr>
      <w:r w:rsidRPr="00F0385E">
        <w:rPr>
          <w:rFonts w:ascii="Constantia" w:hAnsi="Constantia"/>
        </w:rPr>
        <w:t xml:space="preserve">Dalam penyelesaiannya tidak mungkin lagi bagi satu pihak untuk menyelesaikan tantangan multidimensi tersebut. Meskipun pemerintah memiliki wewenang untuk menetapkan regulasi dan anggaran, mereka sering dihalangi oleh birokrasi, korupsi, dan perubahan politik yang cepat. Meskipun memiliki modal, teknologi, dan efisiensi, sektor swasta sering dikritik karena terfokus pada keuntungan, mengabaikan dampak sosial-ekologis. Meskipun mereka memiliki legitimasi moral dan pemahaman tentang kebutuhan lokal, masyarakat sipil terbatas oleh sumber daya dan </w:t>
      </w:r>
      <w:r w:rsidRPr="00F0385E">
        <w:rPr>
          <w:rFonts w:ascii="Constantia" w:hAnsi="Constantia"/>
        </w:rPr>
        <w:t>kemampuan untuk membuat keputusan. Ketiga aktor ini memiliki kelebihan dan kekurangan masing-masing. Oleh karena itu, SDG 17 "Partnerships for the Goals" menegaskan bahwa kolaborasi lintas sektor (atau kolaborasi triple helix atau multi-stakeholder) sangat penting. Penelitian empiris di berbagai negara menunjukkan bahwa kolaborasi lintas sektor dapat meningkatkan efektivitas pelaksanaan SDG hingga 25-40% dibandingkan dengan pendekatan sektoral tunggal (Bappenas, 2021; Zulkifli &amp; Ismail, 2025).</w:t>
      </w:r>
    </w:p>
    <w:p w14:paraId="21C1FB22" w14:textId="77777777" w:rsidR="00CF51D7" w:rsidRPr="00F0385E" w:rsidRDefault="00CF51D7" w:rsidP="00F0385E">
      <w:pPr>
        <w:jc w:val="both"/>
        <w:rPr>
          <w:rFonts w:ascii="Constantia" w:hAnsi="Constantia"/>
        </w:rPr>
      </w:pPr>
      <w:r w:rsidRPr="00F0385E">
        <w:rPr>
          <w:rFonts w:ascii="Constantia" w:hAnsi="Constantia"/>
        </w:rPr>
        <w:t>Studi tentang konsep kolaborasi trisector telah banyak dibahas secara teoritis. Namun, penelitian di Indonesia menunjukkan bahwa ada perbedaan yang signifikan antara praktik dan retorika. Menurut sejumlah penelitian, kolaborasi sering terhambat oleh tumpang tindih regulasi, rendahnya kepercayaan antara pihak, pendekatan top-down yang masih dominan, dan kurangnya mekanisme yang adil untuk membagi risiko dan keuntungan (Firmansyah &amp; Hardiyansyah, 2020). Sebaliknya, program energi terbarukan di pulau-pulau terpencil, pemberdayaan UMKM digital, dan pengelolaan hutan berbasis masyarakat menunjukkan potensi besar ketika ketiga pihak bekerja sama. Celah ini menunjukkan bahwa penelitian yang lebih mendalam dan kontekstual diperlukan tentang cara-cara di mana kolaborasi dapat diperkuat, bagaimana kolaborasi dapat membantu mengatasi ketimpangan sosial-ekonomi, dan unsur-unsur kebijakan dan regulasi apa yang mendorong dan menghambat kerja sama.</w:t>
      </w:r>
    </w:p>
    <w:p w14:paraId="29CC1A4D" w14:textId="77777777" w:rsidR="00CF51D7" w:rsidRPr="00F0385E" w:rsidRDefault="00CF51D7" w:rsidP="00F0385E">
      <w:pPr>
        <w:jc w:val="both"/>
        <w:rPr>
          <w:rFonts w:ascii="Constantia" w:hAnsi="Constantia"/>
        </w:rPr>
      </w:pPr>
      <w:r w:rsidRPr="00F0385E">
        <w:rPr>
          <w:rFonts w:ascii="Constantia" w:hAnsi="Constantia"/>
        </w:rPr>
        <w:t xml:space="preserve">Penelitian ini memiliki nilai teoritis dan praktis. Secara teoritis, penelitian ini menggabungkan perspektif triple-helix dalam konteks kepulauan dan demokrasi transisi untuk memperkaya </w:t>
      </w:r>
      <w:r w:rsidRPr="00F0385E">
        <w:rPr>
          <w:rFonts w:ascii="Constantia" w:hAnsi="Constantia"/>
        </w:rPr>
        <w:lastRenderedPageBreak/>
        <w:t>literatur tentang tata kelola kolaboratif dan tata kelola pembangunan berkelanjutan di negara berkembang. Secara keseluruhan, penelitian ini diharapkan dapat membantu dalam membangun platform kerja sama yang lebih efisien, transparan, dan inklusif bagi pembuat kebijakan (pemerintah pusat dan daerah), pelaku bisnis yang ingin menerapkan praktik bisnis yang bertanggung jawab. Akibatnya, penelitian ini tidak hanya membantu mencapai SDGs Indonesia 2030 dan Visi Net Zero Emissions 2060, tetapi juga membangun model tata kelola yang dapat diterapkan di negara berkembang lainnya.</w:t>
      </w:r>
    </w:p>
    <w:p w14:paraId="3BC74958" w14:textId="5C9F28ED" w:rsidR="009235C6" w:rsidRPr="00690BF7" w:rsidRDefault="00CF51D7" w:rsidP="00CF51D7">
      <w:pPr>
        <w:pStyle w:val="ListParagraph"/>
        <w:ind w:left="0"/>
        <w:jc w:val="both"/>
        <w:rPr>
          <w:rFonts w:ascii="Constantia" w:hAnsi="Constantia"/>
        </w:rPr>
      </w:pPr>
      <w:r w:rsidRPr="00CF51D7">
        <w:rPr>
          <w:rFonts w:ascii="Constantia" w:hAnsi="Constantia"/>
        </w:rPr>
        <w:t xml:space="preserve">Indonesia adalah negara yang rentan terhadap konflik sumber daya alam dan perubahan iklim karena banyaknya kepulauan dan keanekaragaman hayati yang luar biasa. Sebaliknya, untuk mencapai tujuan negara berpendapatan tinggi dan mencapai Net Zero Emissions pada tahun 2060, Indonesia harus mengalami transformasi ekonomi dan sosial yang signifikan. Tujuan pemerintah Indonesia adalah untuk menarik investasi dan menciptakan lapangan kerja melalui penerapan kebijakan seperti Peta Jalan SDGs Indonesia dan Undang-Undang Cipta Kerja. Namun, pelaksanaannya sering menuai kontroversi dan protes dari masyarakat sipil yang merasa dikucilkan dari prosesnya. Kasus seperti konflik agraria dan pencemaran lingkungan oleh industri ekstraktif menunjukkan betapa rapuh tata kelola jika ketiga pilar tidak berkomunikasi dan bekerja sama. Oleh karena itu, penulis menulis makalah ini berisi untuk mendalami secara menyeluruh bagaimana kolaborasi antara pemerintah, swasta, dan masyarakat sipil dapat dioptimalkan untuk mendorong pembangunan yang benar-benar berkelanjutan dan inklusif </w:t>
      </w:r>
      <w:r w:rsidRPr="00CF51D7">
        <w:rPr>
          <w:rFonts w:ascii="Constantia" w:hAnsi="Constantia"/>
        </w:rPr>
        <w:t>di Indonesia. Makalah ini juga akan merumuskan rekomendasi kebijakan dan praktik dalam meningkatkan sinergi antara ketiganya. Dengan memahami dan memperkuat model kerja sama ini, Indonesia dapat mencapai tujuan pembangunannya dan membangun fondasi masyarakat yang lebih adil, sejahtera, dan lestari untuk generasi mendatang</w:t>
      </w:r>
      <w:r>
        <w:rPr>
          <w:rFonts w:ascii="Constantia" w:hAnsi="Constantia"/>
        </w:rPr>
        <w:t xml:space="preserve">. </w:t>
      </w:r>
    </w:p>
    <w:p w14:paraId="6924F3FB" w14:textId="1CC1E368" w:rsidR="00D84A70" w:rsidRPr="00690BF7" w:rsidRDefault="00D84A70" w:rsidP="00690BF7">
      <w:pPr>
        <w:jc w:val="both"/>
        <w:rPr>
          <w:rFonts w:ascii="Constantia" w:hAnsi="Constantia"/>
          <w:b/>
          <w:bCs/>
        </w:rPr>
      </w:pPr>
      <w:r w:rsidRPr="00690BF7">
        <w:rPr>
          <w:rFonts w:ascii="Constantia" w:hAnsi="Constantia"/>
          <w:b/>
          <w:bCs/>
        </w:rPr>
        <w:t>METODE PENELITIAN</w:t>
      </w:r>
    </w:p>
    <w:p w14:paraId="6044F7C6" w14:textId="77777777" w:rsidR="00F0385E" w:rsidRDefault="00F0385E" w:rsidP="00690BF7">
      <w:pPr>
        <w:spacing w:line="276" w:lineRule="auto"/>
        <w:jc w:val="both"/>
        <w:rPr>
          <w:rFonts w:ascii="Constantia" w:hAnsi="Constantia"/>
        </w:rPr>
      </w:pPr>
      <w:r w:rsidRPr="00F0385E">
        <w:rPr>
          <w:rFonts w:ascii="Constantia" w:hAnsi="Constantia"/>
        </w:rPr>
        <w:t xml:space="preserve">Dalam metode penelitian ini, untuk melihat bagaimana kolaborasi antara pemerintah, sektor swasta, dan masyarakat sipil mendorong pembangunan berkelanjutan dan inklusif di Indonesia, penelitian ini menggunakan pendekatan kualitatif. Metode kajian literatur sistematis, atau SLR, digunakan dalam penelitian ini. Metode SLR dipilih karena memungkinkan pengumpulan, evaluasi, dan sintesis data dari sumber sekunder yang relevan secara terstruktur. Ini meminimalkan bias dan menghasilkan pemahaman yang luas tentang masalah yang kompleks seperti pelaksanaan Tujuan Pembangunan Berkelanjutan (SDGs) (Dewey &amp; Drahota, 2016). Metode ini sesuai dengan sifat makalah deskriptif-analitis, di mana fokus utama adalah menentukan peran masing-masing aktor, masalah kerja tim, dan saran praktis berdasarkan literatur saat ini. Untuk memulai penelitian, pertanyaan penelitian disusun sesuai dengan rumusan masalah yang tercantum. Pertanyaan-pertanyaan tersebut meliputi: (1) bagaimana kolaborasi dapat dikuatkan untuk menghasilkan pembangunan yang efektif; (2) peran kolaborasi dalam </w:t>
      </w:r>
      <w:r w:rsidRPr="00F0385E">
        <w:rPr>
          <w:rFonts w:ascii="Constantia" w:hAnsi="Constantia"/>
        </w:rPr>
        <w:lastRenderedPageBreak/>
        <w:t xml:space="preserve">mengatasi ketimpangan sosial-ekonomi; dan (3) elemen kebijakan dan regulasi yang mendukung atau menghambat kolaborasi. Selain itu, database ilmiah seperti Google Scholar, SINTA (Indonesia Science and Technology Index), Scopus, dan repositori nasional seperti situs Bappenas, serta laporan internasional dari World Bank dan UNDP digunakan untuk mencari literatur. Sumber non-akademik yang tidak diverifikasi atau tidak berfokus pada kolaborasi trisector tidak dapat dimasukkan karena tidak memenuhi kriteria ini; publikasi dari tahun 2015 hingga 2025, relevan dengan konteks Indonesia, dan sumber yang kredibel, seperti jurnal terakreditasi, buku, atau laporan resmi. Data yang terkumpul dievaluasi melalui penilaian kualitas, termasuk validitas, reliabilitas, dan relevansi terhadap tema pembangunan berkelanjutan. Sintesis tematik digunakan untuk analisis data (Braun &amp; Clarke, 2006), yang membagi temuan literatur ke dalam beberapa tema utama: (a) Peran aktor dalam kolaborasi (pemerintah sebagai regulator, swasta sebagai inovator, dan masyarakat sipil sebagai pengawas); (b) Tantangan seperti birokrasi, korupsi, dan ketidakpercayaan; dan (c) Peluang dari platform digital dan insentif kebijakan. Metode ini memungkinkan analisis multidimensi yang menggabungkan perspektif sosial, ekonomi, dan politik. Ini sebanding dengan kerangka kelangsungan hidup yang berkelanjutan (SLF), yang memungkinkan penilaian dampak kolaborasi terhadap kelompok rentan (Chambers &amp; Conway, 1992). </w:t>
      </w:r>
      <w:r w:rsidRPr="00F0385E">
        <w:rPr>
          <w:rFonts w:ascii="Constantia" w:hAnsi="Constantia"/>
        </w:rPr>
        <w:t>Bersifat deskripsi maupun analitis yang digunakan dalam penelitian ini untuk menunjukkan dinamika kerja sama. Jadi, didalam penelitian ini tidak ada pengumpulan data primer seperti wawancara atau survei. Sebaliknya, fokus penelitian ini adalah sintesis data sekunder untuk mendukung argumen teoritis dan praktis.</w:t>
      </w:r>
    </w:p>
    <w:p w14:paraId="72314EAD" w14:textId="768B7CF0" w:rsidR="00E13FDA" w:rsidRPr="00690BF7" w:rsidRDefault="00E13FDA" w:rsidP="00690BF7">
      <w:pPr>
        <w:spacing w:line="276" w:lineRule="auto"/>
        <w:jc w:val="both"/>
        <w:rPr>
          <w:rFonts w:ascii="Constantia" w:hAnsi="Constantia"/>
          <w:b/>
          <w:bCs/>
        </w:rPr>
      </w:pPr>
      <w:r w:rsidRPr="00690BF7">
        <w:rPr>
          <w:rFonts w:ascii="Constantia" w:hAnsi="Constantia"/>
          <w:b/>
          <w:bCs/>
        </w:rPr>
        <w:t>HASIL DAN PEMBAHASAN</w:t>
      </w:r>
    </w:p>
    <w:p w14:paraId="6DCDFBAD" w14:textId="77777777" w:rsidR="00F0385E" w:rsidRPr="00F0385E" w:rsidRDefault="00F0385E" w:rsidP="00F0385E">
      <w:pPr>
        <w:jc w:val="both"/>
        <w:rPr>
          <w:rFonts w:ascii="Constantia" w:hAnsi="Constantia"/>
        </w:rPr>
      </w:pPr>
      <w:r w:rsidRPr="00F0385E">
        <w:rPr>
          <w:rFonts w:ascii="Constantia" w:hAnsi="Constantia"/>
        </w:rPr>
        <w:t>Kolaborasi dalam Meningkatkan Efektivitas Implementasi Pembangunan Berkelanjutan dan Inklusif</w:t>
      </w:r>
    </w:p>
    <w:p w14:paraId="123D1E87" w14:textId="77777777" w:rsidR="00F0385E" w:rsidRPr="00F0385E" w:rsidRDefault="00F0385E" w:rsidP="00F0385E">
      <w:pPr>
        <w:jc w:val="both"/>
        <w:rPr>
          <w:rFonts w:ascii="Constantia" w:hAnsi="Constantia"/>
        </w:rPr>
      </w:pPr>
      <w:r w:rsidRPr="00F0385E">
        <w:rPr>
          <w:rFonts w:ascii="Constantia" w:hAnsi="Constantia"/>
        </w:rPr>
        <w:t xml:space="preserve"> Untuk membuat implementasi pembangunan berkelanjutan dan inklusif di Indonesia lebih efisien, maka kuncinya harus bekerja sama. Dalam hal ini, pemerintah Indonesia secara aktif bekerja sama dengan berbagai entitas, termasuk sektor swasta, akademisi, kelompok masyarakat sipil, Bank Dunia, dan masyarakat umum. Dalam kolaborasi lintas sektor ini memungkinkan adanya kerja sama yang lebih baik dalam perencanaan, pelaksanaan, dan evaluasi pembangunan berkelanjutan yang inklusif. Ini membantu mencapai tujuan pertumbuhan ekonomi yang inklusif dan pengurangan ketimpangan sosial dengan lebih baik.</w:t>
      </w:r>
    </w:p>
    <w:p w14:paraId="4DC8CC20" w14:textId="77777777" w:rsidR="00F0385E" w:rsidRPr="00F0385E" w:rsidRDefault="00F0385E" w:rsidP="00F0385E">
      <w:pPr>
        <w:jc w:val="both"/>
        <w:rPr>
          <w:rFonts w:ascii="Constantia" w:hAnsi="Constantia"/>
        </w:rPr>
      </w:pPr>
      <w:r w:rsidRPr="00F0385E">
        <w:rPr>
          <w:rFonts w:ascii="Constantia" w:hAnsi="Constantia"/>
        </w:rPr>
        <w:t xml:space="preserve">Kolaborasi antara pemerintah, sektor swasta, dan masyarakat sipil hanya dapat berjalan efektif apabila terdapat mekanisme koordinasi yang jelas, transparan, dan berbasis kebutuhan masyarakat. Mekanisme ini idealnya dimulai dari tahap perencanaan, di mana pemerintah tidak lagi bersifat top-down, tetapi membuka ruang konsultasi publik. Penelitian oleh Kurniawan (2021) menunjukkan bahwa partisipasi masyarakat dalam perencanaan meningkatkan legitimasi kebijakan dan memperkuat rasa memiliki terhadap program pembangunan. Oleh karena </w:t>
      </w:r>
      <w:r w:rsidRPr="00F0385E">
        <w:rPr>
          <w:rFonts w:ascii="Constantia" w:hAnsi="Constantia"/>
        </w:rPr>
        <w:lastRenderedPageBreak/>
        <w:t>itu, pelibatan aktif masyarakat sipil sejak tahap perencanaan menjadi faktor penting agar pembangunan benar-benar menjawab kebutuhan warga. Selanjutnya, mekanisme yang tidak kalah penting adalah pembagian peran yang saling melengkapi. Pemerintah berperan sebagai regulator dan fasilitator utama yang menentukan arah pembangunan, sektor swasta menyediakan inovasi, modal, dan teknologi, sedangkan masyarakat sipil memastikan adanya pengawasan berbasis kebutuhan lokal. Sinergi ini sesuai konsep collaborative governance, di mana penyelesaian masalah kompleks hanya berhasil apabila aktor dari berbagai sektor berbagi tanggung jawab secara setara (Firmansyah &amp; Hardiyansyah, 2020).</w:t>
      </w:r>
    </w:p>
    <w:p w14:paraId="2B4BD279" w14:textId="77777777" w:rsidR="00F0385E" w:rsidRPr="00F0385E" w:rsidRDefault="00F0385E" w:rsidP="00F0385E">
      <w:pPr>
        <w:jc w:val="both"/>
        <w:rPr>
          <w:rFonts w:ascii="Constantia" w:hAnsi="Constantia"/>
        </w:rPr>
      </w:pPr>
      <w:r w:rsidRPr="00F0385E">
        <w:rPr>
          <w:rFonts w:ascii="Constantia" w:hAnsi="Constantia"/>
        </w:rPr>
        <w:t>Menurut Agus Harimurti Yudhoyono, Menteri Koordinator Bidang Infrastruktur dan Pengembangan Wilayah, kerja sama antara pemerintah dan Bank Dunia sebagai mitra strategis telah membuka potensi besar untuk pembangunan bidang penting seperti infrastruktur, pendidikan, kesehatan, keberlanjutan lingkungan, dan pertanian. Sebagai prioritas utama, infrastruktur yang berkelanjutan dan tangguh ditekankan, terutama untuk mengatasi tantangan bencana alam dan meningkatkan konektivitas antarwilayah, termasuk wilayah yang kurang terlayani seperti Papua. Program bersama seperti layanan sanitasi inklusif, pengembangan irigasi, dan peningkatan ketahanan bencana adalah contoh nyata bagaimana kerja sama dapat berdampak besar pada keberlanjutan sosial dan ekonomi masyar.</w:t>
      </w:r>
    </w:p>
    <w:p w14:paraId="16D6468C" w14:textId="77777777" w:rsidR="00F0385E" w:rsidRPr="00F0385E" w:rsidRDefault="00F0385E" w:rsidP="00F0385E">
      <w:pPr>
        <w:jc w:val="both"/>
        <w:rPr>
          <w:rFonts w:ascii="Constantia" w:hAnsi="Constantia"/>
        </w:rPr>
      </w:pPr>
      <w:r w:rsidRPr="00F0385E">
        <w:rPr>
          <w:rFonts w:ascii="Constantia" w:hAnsi="Constantia"/>
        </w:rPr>
        <w:t xml:space="preserve">Implementasi kolaborasi juga membutuhkan media komunikasi terpadu. Platform digital yang menyediakan data pembangunan, </w:t>
      </w:r>
      <w:r w:rsidRPr="00F0385E">
        <w:rPr>
          <w:rFonts w:ascii="Constantia" w:hAnsi="Constantia"/>
        </w:rPr>
        <w:t>laporan pelaksanaan, informasi anggaran, hingga evaluasi bersama, menjadi kunci untuk menghindari miskomunikasi dan meningkatkan kepercayaan antara pihak. Studi oleh Rachmawati (2022) menemukan bahwa digitalisasi koordinasi program pemerintah dapat mempercepat respons, menurunkan potensi konflik, dan memperkuat akuntabilitas. Selain itu, pengawasan bersama menjadi pondasi penting dalam menjaga kualitas kolaborasi. Pemerintah menyediakan kerangka hukum, masyarakat sipil melakukan pemantauan independen, dan sektor swasta memastikan praktik bisnisnya tetap mematuhi prinsip keberlanjutan. Ketika mekanisme seperti ini berjalan konsisten, pembangunan berkelanjutan bukan lagi sekadar wacana, tetapi berubah menjadi program yang inklusif, partisipatif, dan berdampak langsung pada masyarakat luas.</w:t>
      </w:r>
    </w:p>
    <w:p w14:paraId="355D337D" w14:textId="77777777" w:rsidR="00F0385E" w:rsidRPr="00F0385E" w:rsidRDefault="00F0385E" w:rsidP="00F0385E">
      <w:pPr>
        <w:jc w:val="both"/>
        <w:rPr>
          <w:rFonts w:ascii="Constantia" w:hAnsi="Constantia"/>
        </w:rPr>
      </w:pPr>
      <w:r w:rsidRPr="00F0385E">
        <w:rPr>
          <w:rFonts w:ascii="Constantia" w:hAnsi="Constantia"/>
        </w:rPr>
        <w:t>Didefinisikan oleh Komite Brundtland pada tahun 1987, pembangunan berkelanjutan adalah pembangunan yang memenuhi kebutuhan generasi saat ini tanpa mengorbankan kemampuan generasi berikutnya untuk memenuhi kebutuhan mereka sendiri. Di Indonesia, ini diubah menjadi Rencana Pembangunan Jangka Menengah Nasional (RPJMN), yang bertujuan untuk mencapai SDGs pada tahun 2030. Karena pembangunan berkelanjutan memerlukan pendekatan holistik yang melampaui kemampuan satu entitas, kolaborasi menjadi kunci. Misalnya, pemerintah pusat mungkin memiliki visi nasional, tetapi penerapan di tingkat lokal membutuhkan dukungan dari perusahaan swasta untuk teknologi dan lembaga swadaya masyarakat untuk advokasi sosial.</w:t>
      </w:r>
    </w:p>
    <w:p w14:paraId="538D18F4" w14:textId="77777777" w:rsidR="00F0385E" w:rsidRPr="00F0385E" w:rsidRDefault="00F0385E" w:rsidP="00F0385E">
      <w:pPr>
        <w:jc w:val="both"/>
        <w:rPr>
          <w:rFonts w:ascii="Constantia" w:hAnsi="Constantia"/>
        </w:rPr>
      </w:pPr>
      <w:r w:rsidRPr="00F0385E">
        <w:rPr>
          <w:rFonts w:ascii="Constantia" w:hAnsi="Constantia"/>
        </w:rPr>
        <w:t xml:space="preserve">Menggabungkan elemen yang saling terkait adalah cara kerja kolaborasi </w:t>
      </w:r>
      <w:r w:rsidRPr="00F0385E">
        <w:rPr>
          <w:rFonts w:ascii="Constantia" w:hAnsi="Constantia"/>
        </w:rPr>
        <w:lastRenderedPageBreak/>
        <w:t>efektif. Pemerintah dan perusahaan minyak seperti Pertamina dapat bekerja sama untuk mendorong transisi ke energi terbarukan dalam hal lingkungan, seperti membangun panel surya di pulau-pulau terpencil. Ini tidak hanya akan mengurangi ketergantungan kita pada bahan bakar fosil, tetapi juga akan membuat lapangan kerja yang ramah lingkungan. Laporan Bank Dunia tahun 2022 menyatakan bahwa jenis kerja sama ini telah menghasilkan pengurangan emisi gas rumah kaca sebesar 15% di negara-negara Asia Tenggara, termasuk Indonesia (World Bank, 2022, h. 112). Namun, kolaborasi harus memastikan partisipasi aktif dari kelompok minoritas, seperti suku asli Papua, yang sering terpinggirkan dalam proyek pembangunan, agar inklusif.</w:t>
      </w:r>
    </w:p>
    <w:p w14:paraId="67031A9C" w14:textId="77777777" w:rsidR="00F0385E" w:rsidRPr="00F0385E" w:rsidRDefault="00F0385E" w:rsidP="00F0385E">
      <w:pPr>
        <w:jc w:val="both"/>
        <w:rPr>
          <w:rFonts w:ascii="Constantia" w:hAnsi="Constantia"/>
        </w:rPr>
      </w:pPr>
      <w:r w:rsidRPr="00F0385E">
        <w:rPr>
          <w:rFonts w:ascii="Constantia" w:hAnsi="Constantia"/>
        </w:rPr>
        <w:t>Di sisi sosial, kerja sama dapat memperluas akses ke pendidikan dan kesehatan. Program seperti "Indonesia Pintar", yang bekerja sama dengan perusahaan teknologi seperti Gojek untuk menyediakan bantuan pendidikan digital, menunjukkan bagaimana kerja sama dapat mencapai daerah terpencil. Dengan mengurangi perbedaan gender dan regional, ini mendukung inklusi. Sebuah penelitian yang dilakukan pada tahun 2021 oleh Bappenas menunjukkan bahwa kerja sama lintas sektor dapat meningkatkan efektivitas program sosial hingga 25 persen. Ini terutama berlaku untuk proyek yang melibatkan pemangku kepentingan lokal (Bappenas, 2021, h. 78). Dimungkinkan untuk mengatasi masalah seperti birokrasi yang berbelit-belit melalui kerja sama yang menciptakan kepercayaan dan transparansi. Salah satu contohnya adalah pengembangan platform digital bersama untuk memantau proyek.</w:t>
      </w:r>
    </w:p>
    <w:p w14:paraId="7D20C7EE" w14:textId="77777777" w:rsidR="00F0385E" w:rsidRPr="00F0385E" w:rsidRDefault="00F0385E" w:rsidP="00F0385E">
      <w:pPr>
        <w:jc w:val="both"/>
        <w:rPr>
          <w:rFonts w:ascii="Constantia" w:hAnsi="Constantia"/>
        </w:rPr>
      </w:pPr>
      <w:r w:rsidRPr="00F0385E">
        <w:rPr>
          <w:rFonts w:ascii="Constantia" w:hAnsi="Constantia"/>
        </w:rPr>
        <w:t xml:space="preserve">Oleh karena itu, menurut penulis kolaborasi lintas sektor di Indonesia </w:t>
      </w:r>
      <w:r w:rsidRPr="00F0385E">
        <w:rPr>
          <w:rFonts w:ascii="Constantia" w:hAnsi="Constantia"/>
        </w:rPr>
        <w:t>merupakan strategi yang sangat penting untuk meningkatkan kemampuan pemerintah dalam pengelolaan pembangunan inklusif dan berkelanjutan, jadi hal ini bukan hanya sekadar mekanisme administratif. Namun, pembangunan yang dilakukan dengan cepat dan efisien serta dengan cara yang adil dan menyeluruh dengan memastikan bahwa pemerintah, mitra internasional, dan seluruh masyarakat bekerja sama dengan baik.</w:t>
      </w:r>
    </w:p>
    <w:p w14:paraId="6DA2FFED" w14:textId="77777777" w:rsidR="00F0385E" w:rsidRPr="00F0385E" w:rsidRDefault="00F0385E" w:rsidP="00F0385E">
      <w:pPr>
        <w:jc w:val="both"/>
        <w:rPr>
          <w:rFonts w:ascii="Constantia" w:hAnsi="Constantia"/>
        </w:rPr>
      </w:pPr>
      <w:r w:rsidRPr="00F0385E">
        <w:rPr>
          <w:rFonts w:ascii="Constantia" w:hAnsi="Constantia"/>
        </w:rPr>
        <w:t>Peran Kolaborasi dalam Mengatasi Ketimpangan Sosial dan Ekonomi</w:t>
      </w:r>
    </w:p>
    <w:p w14:paraId="21411AB7" w14:textId="77777777" w:rsidR="00F0385E" w:rsidRPr="00F0385E" w:rsidRDefault="00F0385E" w:rsidP="00F0385E">
      <w:pPr>
        <w:jc w:val="both"/>
        <w:rPr>
          <w:rFonts w:ascii="Constantia" w:hAnsi="Constantia"/>
        </w:rPr>
      </w:pPr>
      <w:r w:rsidRPr="00F0385E">
        <w:rPr>
          <w:rFonts w:ascii="Constantia" w:hAnsi="Constantia"/>
        </w:rPr>
        <w:t>Untuk mengatasi tantangan struktural yang selama ini dialami oleh berbagai lapisan masyarakat, khususnya di negara berkembang seperti Indonesia, kerja sama kolektif adalah pendekatan yang sangat penting. Ketika kekayaan, kesempatan kerja, pendidikan, layanan kesehatan, dan hak sosial lainnya didistribusikan secara tidak adil di antara kelompok masyarakat tertentu, istilah "ketimpangan sosial dan ekonomi" digunakan. Kesimpangan ini tidak hanya menimbulkan kesenjangan material, tetapi juga dapat memperburuk ketidakadilan sosial dan menghambat kemajuan yang inklusif. Dalam hal ini, kerja sama yang dimaksud adalah kerja sama strategis antara berbagai organisasi, termasuk pemerintah, masyarakat sipil, sektor swasta, dan lembaga internasional, untuk bekerja sama untuk membuat kebijakan dan program yang bertujuan untuk mengurangi kesenjangan sosial dan ekonomi secara berkelanjutan. Hasil terbaru menunjukkan bahwa kolaborasi harus didasarkan pada transparansi, efisiensi pengelolaan sumber daya, dan inklusi dalam penyediaan akses ke berbagai kebutuhan dasar, seperti pendidikan, kesehatan, dan lapangan pekerjaan (INFID, 2025, hlm. 10).</w:t>
      </w:r>
    </w:p>
    <w:p w14:paraId="59AA9C72" w14:textId="77777777" w:rsidR="00F0385E" w:rsidRPr="00F0385E" w:rsidRDefault="00F0385E" w:rsidP="00F0385E">
      <w:pPr>
        <w:jc w:val="both"/>
        <w:rPr>
          <w:rFonts w:ascii="Constantia" w:hAnsi="Constantia"/>
        </w:rPr>
      </w:pPr>
      <w:r w:rsidRPr="00F0385E">
        <w:rPr>
          <w:rFonts w:ascii="Constantia" w:hAnsi="Constantia"/>
        </w:rPr>
        <w:lastRenderedPageBreak/>
        <w:t>Ketimpangan sosial dan ekonomi masih menjadi tantangan besar di Indonesia, terlihat dari indeks Gini yang stabil di angka 0,37–0,38 dalam lima tahun terakhir. Pertumbuhan ekonomi nasional belum sepenuhnya dinikmati oleh kelompok masyarakat miskin, pekerja informal, perempuan, dan masyarakat pedesaan. Karena itu, kolaborasi antar sektor diperlukan agar program-program yang dihasilkan mampu menjangkau kelompok rentan. Pemerintah berupaya mengurangi ketimpangan melalui program kesejahteraan sosial, pendidikan, dan kesehatan. Namun berbagai penelitian menunjukkan bahwa program tersebut lebih efektif ketika sektor swasta dan masyarakat sipil ikut berperan. Menurut studi Yuliana (2021), kolaborasi antara pemerintah, startup teknologi, dan komunitas lokal dalam pelatihan literasi digital terbukti meningkatkan peluang kerja pemuda desa hingga 30%. Hal ini menunjukkan bahwa keterlibatan swasta dalam transfer teknologi memberi dampak nyata pada peningkatan keterampilan masyarakat.</w:t>
      </w:r>
    </w:p>
    <w:p w14:paraId="0140A393" w14:textId="77777777" w:rsidR="00F0385E" w:rsidRPr="00F0385E" w:rsidRDefault="00F0385E" w:rsidP="00F0385E">
      <w:pPr>
        <w:jc w:val="both"/>
        <w:rPr>
          <w:rFonts w:ascii="Constantia" w:hAnsi="Constantia"/>
        </w:rPr>
      </w:pPr>
      <w:r w:rsidRPr="00F0385E">
        <w:rPr>
          <w:rFonts w:ascii="Constantia" w:hAnsi="Constantia"/>
        </w:rPr>
        <w:t xml:space="preserve">Berbagai upaya, seperti reformasi Anggaran Pendapatan dan Belanja Negara (APBN), yang ditujukan untuk meningkatkan tata kelola penyaluran dana perlindungan sosial, menunjukkan pentingnya kerja sama. Metode ini tidak hanya memberikan bantuan secara langsung, tetapi juga membangun kapasitas sosial ekonomi masyarakat sehingga mereka dapat hidup sendiri secara finansial. Selain itu, kerja sama antara pemerintah dan sektor swasta dapat menciptakan ekosistem ekonomi yang inklusif dengan meningkatkan pemberdayaan ekonomi masyarakat miskin melalui pelatihan keterampilan dan akses modal usaha (INFID, 2025, hlm. 15). Selain itu, kolaborasi antara negara-negara dengan ekonomi Islam </w:t>
      </w:r>
      <w:r w:rsidRPr="00F0385E">
        <w:rPr>
          <w:rFonts w:ascii="Constantia" w:hAnsi="Constantia"/>
        </w:rPr>
        <w:t>dan non-Islam di seluruh dunia juga memiliki potensi strategis untuk mengatasi ketimpangan ekonomi dunia. Negara-negara ini dapat saling memperkuat untuk mendorong pertumbuhan ekonomi yang berkelanjutan dan inklusif melalui pertukaran pengalaman, kerja sama perdagangan dan investasi, dan partisipasi dalam forum internasional (UIN Syahada, 2025, hlm. 22).</w:t>
      </w:r>
    </w:p>
    <w:p w14:paraId="27CFEFEF" w14:textId="77777777" w:rsidR="00F0385E" w:rsidRPr="00F0385E" w:rsidRDefault="00F0385E" w:rsidP="00F0385E">
      <w:pPr>
        <w:jc w:val="both"/>
        <w:rPr>
          <w:rFonts w:ascii="Constantia" w:hAnsi="Constantia"/>
        </w:rPr>
      </w:pPr>
      <w:r w:rsidRPr="00F0385E">
        <w:rPr>
          <w:rFonts w:ascii="Constantia" w:hAnsi="Constantia"/>
        </w:rPr>
        <w:t xml:space="preserve">Adapun dalam kebijakan pemerintah juga menekankan pada pendekatan fiskal progresif, seperti adanya pajak kekayaan dan pajak digital, yang cenderung tidak membebani rakyat miskin dan memberikan subsidi yang tepat sasaran untuk meningkatkan kualitas hidup mereka, terutama dalam bidang pendidikan dan kesehatan. Untuk mencapai pemerataan pembangunan dan pengurangan ketimpangan, hal ini merupakan komponen dari strategi kerja sama. Peran masyarakat sipil juga tidak kalah penting, terutama dalam menjembatani komunikasi antara pemerintah dan masyarakat. Mereka melakukan advokasi, meningkatkan kesadaran publik, dan memastikan tidak ada kelompok yang tertinggal. Studi oleh Suryani &amp; Lestari (2022) menunjukkan bahwa LSM lokal berperan penting dalam memastikan bahwa program bantuan sosial tepat sasaran dan tidak memunculkan diskriminasi. Contoh keberhasilan kolaborasi dapat terlihat dalam program pengembangan UMKM. Pemerintah menyediakan pendampingan dan regulasi, sektor swasta memberi akses pasar digital melalui e-commerce, dan masyarakat sipil mendampingi kelompok rentan, terutama perempuan dan UMKM desa. Penelitian Prasetyo (2020) menunjukkan bahwa model kolaborasi </w:t>
      </w:r>
      <w:r w:rsidRPr="00F0385E">
        <w:rPr>
          <w:rFonts w:ascii="Constantia" w:hAnsi="Constantia"/>
        </w:rPr>
        <w:lastRenderedPageBreak/>
        <w:t>ini meningkatkan omzet UMKM hingga 40% dalam satu tahun.</w:t>
      </w:r>
    </w:p>
    <w:p w14:paraId="6F3459C5" w14:textId="77777777" w:rsidR="00F0385E" w:rsidRPr="00F0385E" w:rsidRDefault="00F0385E" w:rsidP="00F0385E">
      <w:pPr>
        <w:jc w:val="both"/>
        <w:rPr>
          <w:rFonts w:ascii="Constantia" w:hAnsi="Constantia"/>
        </w:rPr>
      </w:pPr>
      <w:r w:rsidRPr="00F0385E">
        <w:rPr>
          <w:rFonts w:ascii="Constantia" w:hAnsi="Constantia"/>
        </w:rPr>
        <w:t>Menurut penulis, Dengan kolaborasi yang kuat, ketimpangan dapat dikurangi karena pembangunan tidak lagi berpusat pada pertumbuhan ekonomi semata, tetapi memperhatikan pemerataan manfaat ke seluruh lapisan masyarakat. Secara keseluruhan, paradigma kolaborasi dalam mengatasi ketimpangan sosial dan ekonomi mengedepankan kerja sama multidimensi dengan fokus pada pembangunan yang inklusif, transparan, dan berkelanjutan. Hal ini menuntut komitmen bersama dari berbagai pihak untuk menyelaraskan berbagai program dan kebijakan yang mendorong pertumbuhan ekonomi yang adil bagi semua lapisan masyarakat serta mendorong pertumbuhan ekonomi yang adil.</w:t>
      </w:r>
    </w:p>
    <w:p w14:paraId="4664DDE1" w14:textId="77777777" w:rsidR="00F0385E" w:rsidRPr="00F0385E" w:rsidRDefault="00F0385E" w:rsidP="00F0385E">
      <w:pPr>
        <w:jc w:val="both"/>
        <w:rPr>
          <w:rFonts w:ascii="Constantia" w:hAnsi="Constantia"/>
        </w:rPr>
      </w:pPr>
      <w:r w:rsidRPr="00F0385E">
        <w:rPr>
          <w:rFonts w:ascii="Constantia" w:hAnsi="Constantia"/>
        </w:rPr>
        <w:t>Faktor Kebijakan dan Regulasi yang Mendorong dan Menghambat Kolaborasi</w:t>
      </w:r>
    </w:p>
    <w:p w14:paraId="26A0D3FC" w14:textId="77777777" w:rsidR="00F0385E" w:rsidRPr="00F0385E" w:rsidRDefault="00F0385E" w:rsidP="00F0385E">
      <w:pPr>
        <w:jc w:val="both"/>
        <w:rPr>
          <w:rFonts w:ascii="Constantia" w:hAnsi="Constantia"/>
        </w:rPr>
      </w:pPr>
      <w:r w:rsidRPr="00F0385E">
        <w:rPr>
          <w:rFonts w:ascii="Constantia" w:hAnsi="Constantia"/>
        </w:rPr>
        <w:t xml:space="preserve">Regulasi dan kebijakan sangat penting dalam menciptakan lingkungan yang memungkinkan atau sebaliknya menghalangi kerja sama antar pihak, terutama dalam sektor publik dan pemerintahan. Regulasi yang mendukung kolaborasi biasanya memiliki kerangka aturan yang jelas, mekanisme kerja sama yang jelas, dan dukungan aktif dan inklusif untuk berbagai pemangku kepentingan. Reformasi regulasi yang dapat mengurangi hambatan administratif dan memperjelas mekanisme kerja sama antar sektor juga dapat meningkatkan transparansi dan akuntabilitas, sehingga dinamika kerja sama dapat berjalan dengan baik. Misalnya, penggunaan platform digital terpadu untuk konsultasi publik dapat mendorong kolaborasi lintas sektor dan </w:t>
      </w:r>
      <w:r w:rsidRPr="00F0385E">
        <w:rPr>
          <w:rFonts w:ascii="Constantia" w:hAnsi="Constantia"/>
        </w:rPr>
        <w:t>meningkatkan partisipasi stakeholder (Agung, 2025, hlm. 3-4; OECD, 2023).</w:t>
      </w:r>
    </w:p>
    <w:p w14:paraId="02F13CD2" w14:textId="77777777" w:rsidR="00F0385E" w:rsidRPr="00F0385E" w:rsidRDefault="00F0385E" w:rsidP="00F0385E">
      <w:pPr>
        <w:jc w:val="both"/>
        <w:rPr>
          <w:rFonts w:ascii="Constantia" w:hAnsi="Constantia"/>
        </w:rPr>
      </w:pPr>
      <w:r w:rsidRPr="00F0385E">
        <w:rPr>
          <w:rFonts w:ascii="Constantia" w:hAnsi="Constantia"/>
        </w:rPr>
        <w:t>Namun, ada komponen regulasi yang menghambat kerja sama. Fleksibilitas dan spontanitas yang dibutuhkan untuk bekerja sama seringkali terbatas oleh struktur birokrasi yang kaku dan aturan perundang-undangan yang kompleks. Pendekatan top-down yang masih sering digunakan pemerintah menyebabkan ketimpangan dalam hubungan dan menghambat komunikasi dan partisipasi yang egaliter. Selain itu, struktur institusi yang hierarkis dan vertikal memperburuk hal ini. Struktur ini tidak sesuai dengan metode kolaborasi yang berpusat pada kerja sama horizontal dan kesetaraan. Proses kolaborasi menjadi lambat dan tidak responsif terhadap perubahan kebutuhan lapangan jika terlalu bergantung pada prosedur formal dan standar prosedur standar (Astuti, 2020, hlm. 12-14; Riyanto, 2024, hlm. 7).</w:t>
      </w:r>
    </w:p>
    <w:p w14:paraId="7BB708B2" w14:textId="77777777" w:rsidR="00F0385E" w:rsidRPr="00F0385E" w:rsidRDefault="00F0385E" w:rsidP="00F0385E">
      <w:pPr>
        <w:jc w:val="both"/>
        <w:rPr>
          <w:rFonts w:ascii="Constantia" w:hAnsi="Constantia"/>
        </w:rPr>
      </w:pPr>
      <w:r w:rsidRPr="00F0385E">
        <w:rPr>
          <w:rFonts w:ascii="Constantia" w:hAnsi="Constantia"/>
        </w:rPr>
        <w:t xml:space="preserve">Adanya insentif dan subsidi fiskal yang dimaksudkan untuk mendorong kerja sama adalah komponen kebijakan yang mendorong dinamika kolaborasi. Kebijakan seperti ini biasanya mendukung entitas kolaborasi dengan dana atau pengurangan pajak, yang mengurangi risiko ekonomi dan mendorong inovasi. Misalnya, kebijakan pemerintah yang memberikan hibah untuk proyek bersama dapat mempercepat pembentukan aliansi strategis dalam konteks kolaborasi bisnis. Powell (1990) menekankan hal ini dengan mengatakan bahwa insentif untuk membantu jaringan organisasi dapat mengurangi ketergantungan pada pasar atau hierarki formal, mendorong kerja sama yang lebih fleksibel. Dengan kata lain, kebijakan yang memberikan insentif memungkinkan entitas untuk berbagi sumber daya dan pengetahuan tanpa bergantung pada struktur yang </w:t>
      </w:r>
      <w:r w:rsidRPr="00F0385E">
        <w:rPr>
          <w:rFonts w:ascii="Constantia" w:hAnsi="Constantia"/>
        </w:rPr>
        <w:lastRenderedPageBreak/>
        <w:t>kaku, yang membantu mengatasi hambatan koordinasi. Selain itu, peraturan yang mendorong transparansi dan standar bersama juga mendorong kerja sama, seperti kebijakan UE yang mengharuskan perusahaan untuk berbagi data rantai pasokan. Pada akhirnya, ini meningkatkan efisiensi dan kepercayaan mitra.</w:t>
      </w:r>
    </w:p>
    <w:p w14:paraId="37D58EA7" w14:textId="77777777" w:rsidR="00F0385E" w:rsidRPr="00F0385E" w:rsidRDefault="00F0385E" w:rsidP="00F0385E">
      <w:pPr>
        <w:jc w:val="both"/>
        <w:rPr>
          <w:rFonts w:ascii="Constantia" w:hAnsi="Constantia"/>
        </w:rPr>
      </w:pPr>
      <w:r w:rsidRPr="00F0385E">
        <w:rPr>
          <w:rFonts w:ascii="Constantia" w:hAnsi="Constantia"/>
        </w:rPr>
        <w:t xml:space="preserve">Selain itu, elemen kebijakan dan regulasi politik juga memengaruhi bagaimana kolaborasi berjalan. Efektivitas kerja sama dapat ditingkatkan dengan dukungan politik dari pucuk pimpinan dalam bentuk kebijakan dan aturan yang mendorong atau mewajibkan kolaborasi. Sebaliknya, kurangnya dukungan politik dapat menyebabkan resistensi dan kesulitan untuk melaksanakan (Syntaxliterate, 2025). Namun sejumlah hambatan sering muncul, seperti tumpang tindih regulasi antara pemerintah pusat dan daerah, birokrasi yang panjang, serta kurangnya transparansi anggaran. Ketidaksinkronan kebijakan ini kerap membuat program kolaborasi berjalan lambat dan kurang efektif. Menurut Dewi (2021), perbedaan aturan daerah sering menjadi penyebab investor enggan bekerja sama dalam program pembangunan daerah. </w:t>
      </w:r>
    </w:p>
    <w:p w14:paraId="16CE5C23" w14:textId="77777777" w:rsidR="00F0385E" w:rsidRPr="00F0385E" w:rsidRDefault="00F0385E" w:rsidP="00F0385E">
      <w:pPr>
        <w:jc w:val="both"/>
        <w:rPr>
          <w:rFonts w:ascii="Constantia" w:hAnsi="Constantia"/>
        </w:rPr>
      </w:pPr>
      <w:r w:rsidRPr="00F0385E">
        <w:rPr>
          <w:rFonts w:ascii="Constantia" w:hAnsi="Constantia"/>
        </w:rPr>
        <w:t>Korupsi dan rendahnya kepercayaan publik menjadi hambatan lain yang memperlemah dinamika kolaborasi. Masyarakat sipil kerap meragukan integritas pelaksanaan proyek, sehingga pengawasan menjadi lebih intens dan menurunkan keefisienan pelaksanaan. Di sisi lain, kapasitas lembaga juga belum merata sebagian daerah memiliki SDM kuat, sementara daerah lain masih kekurangan keahlian teknis dan manajerial (Hariyanto, 2022).</w:t>
      </w:r>
    </w:p>
    <w:p w14:paraId="05B1586D" w14:textId="77777777" w:rsidR="00F0385E" w:rsidRPr="00F0385E" w:rsidRDefault="00F0385E" w:rsidP="00F0385E">
      <w:pPr>
        <w:jc w:val="both"/>
        <w:rPr>
          <w:rFonts w:ascii="Constantia" w:hAnsi="Constantia"/>
        </w:rPr>
      </w:pPr>
      <w:r w:rsidRPr="00F0385E">
        <w:rPr>
          <w:rFonts w:ascii="Constantia" w:hAnsi="Constantia"/>
        </w:rPr>
        <w:t xml:space="preserve">Faktor seperti peraturan yang tumpang tindih antar yurisdiksi atau persyaratan izin yang berlebihan dapat </w:t>
      </w:r>
      <w:r w:rsidRPr="00F0385E">
        <w:rPr>
          <w:rFonts w:ascii="Constantia" w:hAnsi="Constantia"/>
        </w:rPr>
        <w:t>memperlambat proses kerja sama karena entitas harus menghabiskan waktu dan sumber daya untuk mematuhi aturan yang kompleks. Misalnya, dalam konteks internasional, regulasi perdagangan negara-negara dapat menghambat kerja sama internasional karena risiko hukum yang tinggi membuat pihak-pihak tidak mau berkolaborasi. Dalam penelitiannya tentang pasar, birokrasi, dan klan, Ouchi (1980) menekankan bagaimana peraturan yang berlebihan dapat mengganggu kerja sama dengan membuat hambatan kontrol yang tidak diperlukan. Ini menunjukkan bahwa ketika peraturan berpusat pada kontrol yang ketat, mereka dapat menghambat pertukaran ide dan sumber daya karena organisasi lebih suka menghindari risiko daripada berinovasi bersama. Selain itu, variabel lain, seperti perubahan regulasi yang tak terduga atau ketidaksesuaian kebijakan, dapat memperburuk keadaan. Ini dapat terjadi dalam kasus kolaborasi di sektor energi, di mana perubahan regulasi lingkungan dapat menimbulkan ketidakpastian investasi.</w:t>
      </w:r>
    </w:p>
    <w:p w14:paraId="7F99F96D" w14:textId="77777777" w:rsidR="00F0385E" w:rsidRPr="00F0385E" w:rsidRDefault="00F0385E" w:rsidP="00F0385E">
      <w:pPr>
        <w:jc w:val="both"/>
        <w:rPr>
          <w:rFonts w:ascii="Constantia" w:hAnsi="Constantia"/>
        </w:rPr>
      </w:pPr>
      <w:r w:rsidRPr="00F0385E">
        <w:rPr>
          <w:rFonts w:ascii="Constantia" w:hAnsi="Constantia"/>
        </w:rPr>
        <w:t>Selain itu, kebijakan yang mendorong kolaborasi juga dapat mencakup regulasi yang memudahkan akses ke informasi dan teknologi bersama. Misalnya, kebijakan open data atau peraturan yang mengharuskan proyek penelitian berbagi paten dapat meningkatkan dinamika kolaborasi dengan menciptakan ekosistem pengetahuan yang saling mendukung. Ini ditunjukkan oleh penelitian tentang kerja sama di bidang kesehatan global, di mana kebijakan Organisasi Kesehatan Dunia (WHO) mendorong pertukaran informasi tentang vaksin, yang pada akhirnya mengarah pada pengembangan solusi vaksin yang lebih cepat.</w:t>
      </w:r>
    </w:p>
    <w:p w14:paraId="5102D4C4" w14:textId="77777777" w:rsidR="00F0385E" w:rsidRPr="00F0385E" w:rsidRDefault="00F0385E" w:rsidP="00F0385E">
      <w:pPr>
        <w:jc w:val="both"/>
        <w:rPr>
          <w:rFonts w:ascii="Constantia" w:hAnsi="Constantia"/>
        </w:rPr>
      </w:pPr>
      <w:r w:rsidRPr="00F0385E">
        <w:rPr>
          <w:rFonts w:ascii="Constantia" w:hAnsi="Constantia"/>
        </w:rPr>
        <w:t xml:space="preserve">Sebaliknya, kendala yang terkait dengan regulasi sering kali dikaitkan dengan </w:t>
      </w:r>
      <w:r w:rsidRPr="00F0385E">
        <w:rPr>
          <w:rFonts w:ascii="Constantia" w:hAnsi="Constantia"/>
        </w:rPr>
        <w:lastRenderedPageBreak/>
        <w:t>masalah kepatuhan dan sanksi yang berat, yang berpotensi menyebabkan budaya risiko tinggi. Misalnya, aturan antitrust dapat diinterpretasikan secara ketat dan menghalangi kolaborasi karena entitas takut akan tuduhan kartel, meskipun sebenarnya bertujuan untuk melindungi persaingan. Ouchi (1980) menggambarkan ini sebagai konflik antara birokrasi dan inovasi, di mana "regulasi yang berlebihan dapat mengarah pada a clan-like structure where collaboration is limited to trusted insiders, excluding broader partnerships". Ini berarti bahwa regulasi yang terlalu protektif dapat membatasi dinamika kolaborasi, membuatnya hanya terjadi dalam kelompok kecil dan menghambat pertumbuhan yang lebih luas. Selain itu, perbedaan regulasi antar negara, seperti dalam perdagangan internasional, dapat menghambat kolaborasi karena biaya kepatuhan yang tinggi, seperti yang dibahas dalam literatur kebijakan perdagangan.</w:t>
      </w:r>
    </w:p>
    <w:p w14:paraId="74A93AF1" w14:textId="77777777" w:rsidR="00F0385E" w:rsidRPr="00F0385E" w:rsidRDefault="00F0385E" w:rsidP="00F0385E">
      <w:pPr>
        <w:jc w:val="both"/>
        <w:rPr>
          <w:rFonts w:ascii="Constantia" w:hAnsi="Constantia"/>
        </w:rPr>
      </w:pPr>
      <w:r w:rsidRPr="00F0385E">
        <w:rPr>
          <w:rFonts w:ascii="Constantia" w:hAnsi="Constantia"/>
        </w:rPr>
        <w:t>Meskipun begitu peluang kolaborasi tetap terbuka jika pemerintah memperkuat tata kelola, menyederhanakan birokrasi, dan memperluas keterbukaan informasi publik. Ketika regulasi menjadi lebih inklusif dan tegas, kolaborasi akan berjalan lebih efektif dan saling menguntungkan seluruh pihak. Upaya nyata yang sangat di perlukan untuk menyederhanakan regulasi yang ada, mengurangi birokrasi yang tidak perlu, dan memperkuat kerangka regulasi yang mendukung transparansi dan akuntabilitas untuk mengoptimalkan kerja sama. Keberhasilan kolaborasi membutuhkan koordinasi yang efektif dan komitmen jangka panjang dari semua pihak (UMSU, 2025, hlm. 9).</w:t>
      </w:r>
    </w:p>
    <w:p w14:paraId="1B47244B" w14:textId="77777777" w:rsidR="00F0385E" w:rsidRPr="00F0385E" w:rsidRDefault="00F0385E" w:rsidP="00F0385E">
      <w:pPr>
        <w:jc w:val="both"/>
        <w:rPr>
          <w:rFonts w:ascii="Constantia" w:hAnsi="Constantia"/>
        </w:rPr>
      </w:pPr>
      <w:r w:rsidRPr="00F0385E">
        <w:rPr>
          <w:rFonts w:ascii="Constantia" w:hAnsi="Constantia"/>
        </w:rPr>
        <w:t xml:space="preserve">Menurut penulis, dengan demikian elemen kebijakan dan regulasi yang mendorong kolaborasi cenderung </w:t>
      </w:r>
      <w:r w:rsidRPr="00F0385E">
        <w:rPr>
          <w:rFonts w:ascii="Constantia" w:hAnsi="Constantia"/>
        </w:rPr>
        <w:t>berfokus pada insentif, pengurangan hambatan, dan pembangunan kepercayaan. Sebaliknya, faktor-faktor yang menyebabkan hambatan sering kali berasal dari birokrasi, ketidakpastian, dan konflik regulasi. Untuk memaksimalkan kolaborasi, kebijakan idealnya harus seimbang, memadukan fleksibilitas dengan akuntabilitas, seperti yang disarankan oleh Powell (1990) dan Ouchi (1980). Bisnis dapat membuat strategi kolaborasi yang lebih baik dengan memahami faktor-faktor ini dan menggunakan kebijakan sebagai alat untuk mendorong pertumbuhan dan inovasi.</w:t>
      </w:r>
    </w:p>
    <w:p w14:paraId="3ADD994F" w14:textId="11CCED9A" w:rsidR="00AE3DC1" w:rsidRPr="00690BF7" w:rsidRDefault="00F0385E" w:rsidP="00690BF7">
      <w:pPr>
        <w:jc w:val="both"/>
        <w:rPr>
          <w:rFonts w:ascii="Constantia" w:hAnsi="Constantia"/>
          <w:b/>
          <w:bCs/>
        </w:rPr>
      </w:pPr>
      <w:r>
        <w:rPr>
          <w:rFonts w:ascii="Constantia" w:hAnsi="Constantia"/>
          <w:b/>
          <w:bCs/>
        </w:rPr>
        <w:t>KESIMPULAN</w:t>
      </w:r>
    </w:p>
    <w:p w14:paraId="0724006A" w14:textId="77777777" w:rsidR="00F0385E" w:rsidRDefault="00F0385E" w:rsidP="00690BF7">
      <w:pPr>
        <w:jc w:val="both"/>
        <w:rPr>
          <w:rFonts w:ascii="Constantia" w:hAnsi="Constantia"/>
        </w:rPr>
      </w:pPr>
      <w:r w:rsidRPr="00F0385E">
        <w:rPr>
          <w:rFonts w:ascii="Constantia" w:hAnsi="Constantia"/>
        </w:rPr>
        <w:t xml:space="preserve">Pembangunan berkelanjutan dan inklusif tidak dapat dicapai oleh satu pihak saja. Pemerintah, sektor swasta, dan masyarakat sipil masing-masing memiliki kemampuan yang berbeda, dan ketika ketiganya dapat bekerja bersama, pembangunan dapat berlangsung lebih adil dan merata. Pemerintah bertugas mengarahkan kebijakan dan menjamin kepastian hukum. Sektor swasta menyediakan teknologi, pendanaan, dan inovasi. Masyarakat sipil menyuarakan kebutuhan rakyat dan menjaga agar pembangunan tetap berada pada jalur yang berpihak pada masyarakat luas. Melalui kolaborasi yang terstruktur, berbagai program pembangunan dapat berjalan lebih efektif, seperti peningkatan layanan pendidikan, pemberdayaan ekonomi, penyediaan energi terbarukan, dan penguatan kesejahteraan sosial. Kolaborasi ini juga dapat mengurangi ketimpangan sosial dan ekonomi, karena kelompok rentan dapat memperoleh akses yang selama ini sulit mereka dapatkan. Peran masyarakat sipil sebagai pengawas turut memastikan bahwa pembangunan </w:t>
      </w:r>
      <w:r w:rsidRPr="00F0385E">
        <w:rPr>
          <w:rFonts w:ascii="Constantia" w:hAnsi="Constantia"/>
        </w:rPr>
        <w:lastRenderedPageBreak/>
        <w:t>berlangsung transparan dan akuntabel. Walaupun demikian, kolaborasi sering kali terhambat oleh regulasi yang tidak konsisten, lemahnya koordinasi, serta persoalan kepercayaan antarpihak. Oleh karena itu, pembangunan kolaboratif membutuhkan upaya untuk memperbaiki tata kelola, meningkatkan keterbukaan, dan memperkuat kapasitas lembaga agar mampu bekerja secara efektif. Jika hambatan-hambatan tersebut dapat diatasi, Indonesia memiliki peluang besar untuk mewujudkan pembangunan yang tidak hanya mengejar pertumbuhan ekonomi, tetapi juga menjaga keberlanjutan lingkungan dan menciptakan keadilan sosial. Kolaborasi yang kuat akan membawa Indonesia menuju masa depan yang lebih stabil, sejahtera, dan inklusif bagi seluruh masyarakat.</w:t>
      </w:r>
    </w:p>
    <w:p w14:paraId="22E4FB10" w14:textId="6DD29FD0" w:rsidR="00F0385E" w:rsidRPr="00F0385E" w:rsidRDefault="00AE3DC1" w:rsidP="00F0385E">
      <w:pPr>
        <w:jc w:val="both"/>
        <w:rPr>
          <w:rFonts w:ascii="Constantia" w:hAnsi="Constantia"/>
          <w:b/>
          <w:bCs/>
        </w:rPr>
      </w:pPr>
      <w:r w:rsidRPr="00690BF7">
        <w:rPr>
          <w:rFonts w:ascii="Constantia" w:hAnsi="Constantia"/>
          <w:b/>
          <w:bCs/>
        </w:rPr>
        <w:t>DAFTAR PUSTAKA</w:t>
      </w:r>
    </w:p>
    <w:p w14:paraId="458065F6" w14:textId="77777777" w:rsidR="00F0385E" w:rsidRPr="00F0385E" w:rsidRDefault="00F0385E" w:rsidP="00F0385E">
      <w:pPr>
        <w:ind w:left="567" w:hanging="567"/>
        <w:jc w:val="both"/>
        <w:rPr>
          <w:rFonts w:ascii="Constantia" w:hAnsi="Constantia"/>
        </w:rPr>
      </w:pPr>
      <w:r w:rsidRPr="00F0385E">
        <w:rPr>
          <w:rFonts w:ascii="Constantia" w:hAnsi="Constantia"/>
        </w:rPr>
        <w:t>Agung, M. F. M. (2025). Strategi Collaborative Governance dalam Pelayanan Publik. Jurnal Administrasi Publik, 3-4.</w:t>
      </w:r>
    </w:p>
    <w:p w14:paraId="69D45D57" w14:textId="77777777" w:rsidR="00F0385E" w:rsidRPr="00F0385E" w:rsidRDefault="00F0385E" w:rsidP="00F0385E">
      <w:pPr>
        <w:ind w:left="567" w:hanging="567"/>
        <w:jc w:val="both"/>
        <w:rPr>
          <w:rFonts w:ascii="Constantia" w:hAnsi="Constantia"/>
        </w:rPr>
      </w:pPr>
      <w:r w:rsidRPr="00F0385E">
        <w:rPr>
          <w:rFonts w:ascii="Constantia" w:hAnsi="Constantia"/>
        </w:rPr>
        <w:t>Astuti, D. R. (2020). Faktor Penghambat dan Faktor Keberhasilan Kolaborasi. Government of Canada, 2008, hlm. 12-14.</w:t>
      </w:r>
    </w:p>
    <w:p w14:paraId="130DBDAE" w14:textId="77777777" w:rsidR="00F0385E" w:rsidRPr="00F0385E" w:rsidRDefault="00F0385E" w:rsidP="00F0385E">
      <w:pPr>
        <w:ind w:left="567" w:hanging="567"/>
        <w:jc w:val="both"/>
        <w:rPr>
          <w:rFonts w:ascii="Constantia" w:hAnsi="Constantia"/>
        </w:rPr>
      </w:pPr>
      <w:r w:rsidRPr="00F0385E">
        <w:rPr>
          <w:rFonts w:ascii="Constantia" w:hAnsi="Constantia"/>
        </w:rPr>
        <w:t>Bahrullah, A., &amp; Rahmawati, N. (2025). Santripreneur sebagai Pilar Pembangunan Ekonomi Berkelanjutan di Indonesia.</w:t>
      </w:r>
    </w:p>
    <w:p w14:paraId="11328558" w14:textId="77777777" w:rsidR="00F0385E" w:rsidRPr="00F0385E" w:rsidRDefault="00F0385E" w:rsidP="00F0385E">
      <w:pPr>
        <w:ind w:left="567" w:hanging="567"/>
        <w:jc w:val="both"/>
        <w:rPr>
          <w:rFonts w:ascii="Constantia" w:hAnsi="Constantia"/>
        </w:rPr>
      </w:pPr>
      <w:r w:rsidRPr="00F0385E">
        <w:rPr>
          <w:rFonts w:ascii="Constantia" w:hAnsi="Constantia"/>
        </w:rPr>
        <w:t xml:space="preserve">Braun, V., &amp; Clarke, V. (2006). Using thematic analysis in psychology. Qualitative Research in Psychology, 3(2), 77–101. </w:t>
      </w:r>
    </w:p>
    <w:p w14:paraId="5A323F3C" w14:textId="77777777" w:rsidR="00F0385E" w:rsidRPr="00F0385E" w:rsidRDefault="00F0385E" w:rsidP="00F0385E">
      <w:pPr>
        <w:ind w:left="567" w:hanging="567"/>
        <w:jc w:val="both"/>
        <w:rPr>
          <w:rFonts w:ascii="Constantia" w:hAnsi="Constantia"/>
        </w:rPr>
      </w:pPr>
      <w:r w:rsidRPr="00F0385E">
        <w:rPr>
          <w:rFonts w:ascii="Constantia" w:hAnsi="Constantia"/>
        </w:rPr>
        <w:t>Chambers, R., &amp; Conway, G. R. (1992). Sustainable rural livelihoods: Practical concepts for the 21st century. IDS Discussion Paper 296. Institute of Development Studies (IDS), University of Sussex, Brighton.</w:t>
      </w:r>
    </w:p>
    <w:p w14:paraId="54B0B876" w14:textId="77777777" w:rsidR="00F0385E" w:rsidRPr="00F0385E" w:rsidRDefault="00F0385E" w:rsidP="00F0385E">
      <w:pPr>
        <w:ind w:left="567" w:hanging="567"/>
        <w:jc w:val="both"/>
        <w:rPr>
          <w:rFonts w:ascii="Constantia" w:hAnsi="Constantia"/>
        </w:rPr>
      </w:pPr>
      <w:r w:rsidRPr="00F0385E">
        <w:rPr>
          <w:rFonts w:ascii="Constantia" w:hAnsi="Constantia"/>
        </w:rPr>
        <w:t>Dewey, A., &amp; Drahota, A. (2016). Introduction to systematic reviews: Online learning module.</w:t>
      </w:r>
    </w:p>
    <w:p w14:paraId="1AA174A4" w14:textId="77777777" w:rsidR="00F0385E" w:rsidRPr="00F0385E" w:rsidRDefault="00F0385E" w:rsidP="00F0385E">
      <w:pPr>
        <w:ind w:left="567" w:hanging="567"/>
        <w:jc w:val="both"/>
        <w:rPr>
          <w:rFonts w:ascii="Constantia" w:hAnsi="Constantia"/>
        </w:rPr>
      </w:pPr>
      <w:r w:rsidRPr="00F0385E">
        <w:rPr>
          <w:rFonts w:ascii="Constantia" w:hAnsi="Constantia"/>
        </w:rPr>
        <w:t>Dewi, M. (2021). Disharmonisasi Kebijakan Pusat dan Daerah dalam Implementasi Program Pembangunan. Jurnal Administrasi Negara.</w:t>
      </w:r>
    </w:p>
    <w:p w14:paraId="3F046F07" w14:textId="77777777" w:rsidR="00F0385E" w:rsidRPr="00F0385E" w:rsidRDefault="00F0385E" w:rsidP="00F0385E">
      <w:pPr>
        <w:ind w:left="567" w:hanging="567"/>
        <w:jc w:val="both"/>
        <w:rPr>
          <w:rFonts w:ascii="Constantia" w:hAnsi="Constantia"/>
        </w:rPr>
      </w:pPr>
      <w:r w:rsidRPr="00F0385E">
        <w:rPr>
          <w:rFonts w:ascii="Constantia" w:hAnsi="Constantia"/>
        </w:rPr>
        <w:t>Firmansyah, R., &amp; Hardiyansyah. (2020). Collaborative Governance dalam Tata Kelola Pembangunan Berkelanjutan. Jurnal Ilmu Administrasi.</w:t>
      </w:r>
    </w:p>
    <w:p w14:paraId="282422E8" w14:textId="77777777" w:rsidR="00F0385E" w:rsidRPr="00F0385E" w:rsidRDefault="00F0385E" w:rsidP="00F0385E">
      <w:pPr>
        <w:ind w:left="567" w:hanging="567"/>
        <w:jc w:val="both"/>
        <w:rPr>
          <w:rFonts w:ascii="Constantia" w:hAnsi="Constantia"/>
        </w:rPr>
      </w:pPr>
      <w:r w:rsidRPr="00F0385E">
        <w:rPr>
          <w:rFonts w:ascii="Constantia" w:hAnsi="Constantia"/>
        </w:rPr>
        <w:t>Fitriana, R., Khairati, L., &amp; Syahni, R. (2023). Pembangunan Pertanian Berkelanjutan dalam Perspektif Sosial, Ekonomi dan Politik. Fakultas Pertanian, Universitas Andalas.</w:t>
      </w:r>
    </w:p>
    <w:p w14:paraId="0D5BDD13" w14:textId="77777777" w:rsidR="00F0385E" w:rsidRPr="00F0385E" w:rsidRDefault="00F0385E" w:rsidP="00F0385E">
      <w:pPr>
        <w:ind w:left="567" w:hanging="567"/>
        <w:jc w:val="both"/>
        <w:rPr>
          <w:rFonts w:ascii="Constantia" w:hAnsi="Constantia"/>
        </w:rPr>
      </w:pPr>
      <w:r w:rsidRPr="00F0385E">
        <w:rPr>
          <w:rFonts w:ascii="Constantia" w:hAnsi="Constantia"/>
        </w:rPr>
        <w:t>Gudang Jurnal. (2025). Analisis Penerapan SDGs Dalam Pembangunan Berkelanjutan dan Inklusif di Indonesia. hlm. 12.</w:t>
      </w:r>
    </w:p>
    <w:p w14:paraId="183CDD9F" w14:textId="77777777" w:rsidR="00F0385E" w:rsidRPr="00F0385E" w:rsidRDefault="00F0385E" w:rsidP="00F0385E">
      <w:pPr>
        <w:ind w:left="567" w:hanging="567"/>
        <w:jc w:val="both"/>
        <w:rPr>
          <w:rFonts w:ascii="Constantia" w:hAnsi="Constantia"/>
        </w:rPr>
      </w:pPr>
      <w:r w:rsidRPr="00F0385E">
        <w:rPr>
          <w:rFonts w:ascii="Constantia" w:hAnsi="Constantia"/>
        </w:rPr>
        <w:t>Hariyanto, R. (2022). Tantangan Kapasitas Lembaga dalam Implementasi SDGs. Jurnal Manajemen Publik.</w:t>
      </w:r>
    </w:p>
    <w:p w14:paraId="720EEDAE" w14:textId="77777777" w:rsidR="00F0385E" w:rsidRPr="00F0385E" w:rsidRDefault="00F0385E" w:rsidP="00F0385E">
      <w:pPr>
        <w:ind w:left="567" w:hanging="567"/>
        <w:jc w:val="both"/>
        <w:rPr>
          <w:rFonts w:ascii="Constantia" w:hAnsi="Constantia"/>
        </w:rPr>
      </w:pPr>
      <w:r w:rsidRPr="00F0385E">
        <w:rPr>
          <w:rFonts w:ascii="Constantia" w:hAnsi="Constantia"/>
        </w:rPr>
        <w:t>INFID. (2025). Solusi Mengatasi Kemiskinan dan Ketimpangan. Infid.org. hlm. 10, 15.</w:t>
      </w:r>
    </w:p>
    <w:p w14:paraId="41C13302" w14:textId="77777777" w:rsidR="00F0385E" w:rsidRPr="00F0385E" w:rsidRDefault="00F0385E" w:rsidP="00F0385E">
      <w:pPr>
        <w:ind w:left="567" w:hanging="567"/>
        <w:jc w:val="both"/>
        <w:rPr>
          <w:rFonts w:ascii="Constantia" w:hAnsi="Constantia"/>
        </w:rPr>
      </w:pPr>
      <w:r w:rsidRPr="00F0385E">
        <w:rPr>
          <w:rFonts w:ascii="Constantia" w:hAnsi="Constantia"/>
        </w:rPr>
        <w:t>Kementerian Koordinator Bidang Infrastruktur dan Pengembangan Wilayah. (2025). Kolaborasi Indonesia dan Bank Dunia, Menko AHY: Mendorong Pertumbuhan Inklusif dan Berkelanjutan. Jakarta: Kemenko Infrastruktur. hlm. 3-7.</w:t>
      </w:r>
    </w:p>
    <w:p w14:paraId="2BCEA4E0" w14:textId="77777777" w:rsidR="00F0385E" w:rsidRPr="00F0385E" w:rsidRDefault="00F0385E" w:rsidP="00F0385E">
      <w:pPr>
        <w:ind w:left="567" w:hanging="567"/>
        <w:jc w:val="both"/>
        <w:rPr>
          <w:rFonts w:ascii="Constantia" w:hAnsi="Constantia"/>
        </w:rPr>
      </w:pPr>
      <w:r w:rsidRPr="00F0385E">
        <w:rPr>
          <w:rFonts w:ascii="Constantia" w:hAnsi="Constantia"/>
        </w:rPr>
        <w:t>Kurniawan, R. (2021). Partisipasi Publik dalam Perencanaan Pembangunan Daerah. Jurnal Administrasi Publik Indonesia.</w:t>
      </w:r>
    </w:p>
    <w:p w14:paraId="3197F45A" w14:textId="77777777" w:rsidR="00F0385E" w:rsidRPr="00F0385E" w:rsidRDefault="00F0385E" w:rsidP="00F0385E">
      <w:pPr>
        <w:ind w:left="567" w:hanging="567"/>
        <w:jc w:val="both"/>
        <w:rPr>
          <w:rFonts w:ascii="Constantia" w:hAnsi="Constantia"/>
        </w:rPr>
      </w:pPr>
      <w:r w:rsidRPr="00F0385E">
        <w:rPr>
          <w:rFonts w:ascii="Constantia" w:hAnsi="Constantia"/>
        </w:rPr>
        <w:t>OECD. (2023). Best Practices in Collaborative Governance. OECD Publishing.</w:t>
      </w:r>
    </w:p>
    <w:p w14:paraId="2D85E568" w14:textId="77777777" w:rsidR="00F0385E" w:rsidRPr="00F0385E" w:rsidRDefault="00F0385E" w:rsidP="00F0385E">
      <w:pPr>
        <w:ind w:left="567" w:hanging="567"/>
        <w:jc w:val="both"/>
        <w:rPr>
          <w:rFonts w:ascii="Constantia" w:hAnsi="Constantia"/>
        </w:rPr>
      </w:pPr>
      <w:r w:rsidRPr="00F0385E">
        <w:rPr>
          <w:rFonts w:ascii="Constantia" w:hAnsi="Constantia"/>
        </w:rPr>
        <w:t xml:space="preserve">Ouchi, W. G. (1980). Markets, bureaucracies, and clans. </w:t>
      </w:r>
      <w:r w:rsidRPr="00F0385E">
        <w:rPr>
          <w:rFonts w:ascii="Constantia" w:hAnsi="Constantia"/>
        </w:rPr>
        <w:lastRenderedPageBreak/>
        <w:t>Administrative Science Quarterly, 25(1), 129-141.</w:t>
      </w:r>
    </w:p>
    <w:p w14:paraId="04BE8FEA" w14:textId="77777777" w:rsidR="00F0385E" w:rsidRPr="00F0385E" w:rsidRDefault="00F0385E" w:rsidP="00F0385E">
      <w:pPr>
        <w:ind w:left="567" w:hanging="567"/>
        <w:jc w:val="both"/>
        <w:rPr>
          <w:rFonts w:ascii="Constantia" w:hAnsi="Constantia"/>
        </w:rPr>
      </w:pPr>
      <w:r w:rsidRPr="00F0385E">
        <w:rPr>
          <w:rFonts w:ascii="Constantia" w:hAnsi="Constantia"/>
        </w:rPr>
        <w:t>Powell, W. W. (1990). Neither market nor hierarchy: Network forms of organization. Research in Organizational Behavior, 12, 295-336.</w:t>
      </w:r>
    </w:p>
    <w:p w14:paraId="1DA3C247" w14:textId="77777777" w:rsidR="00F0385E" w:rsidRPr="00F0385E" w:rsidRDefault="00F0385E" w:rsidP="00F0385E">
      <w:pPr>
        <w:ind w:left="567" w:hanging="567"/>
        <w:jc w:val="both"/>
        <w:rPr>
          <w:rFonts w:ascii="Constantia" w:hAnsi="Constantia"/>
        </w:rPr>
      </w:pPr>
      <w:r w:rsidRPr="00F0385E">
        <w:rPr>
          <w:rFonts w:ascii="Constantia" w:hAnsi="Constantia"/>
        </w:rPr>
        <w:t>Putra, A. (2020). Kepastian Hukum dan Investasi Berkelanjutan di Indonesia. Jurnal Hukum dan Pembangunan.</w:t>
      </w:r>
    </w:p>
    <w:p w14:paraId="2E60CF19" w14:textId="77777777" w:rsidR="00F0385E" w:rsidRPr="00F0385E" w:rsidRDefault="00F0385E" w:rsidP="00F0385E">
      <w:pPr>
        <w:ind w:left="567" w:hanging="567"/>
        <w:jc w:val="both"/>
        <w:rPr>
          <w:rFonts w:ascii="Constantia" w:hAnsi="Constantia"/>
        </w:rPr>
      </w:pPr>
      <w:r w:rsidRPr="00F0385E">
        <w:rPr>
          <w:rFonts w:ascii="Constantia" w:hAnsi="Constantia"/>
        </w:rPr>
        <w:t>Rachmawati, D. (2022). Digitalisasi Pemerintahan dan Efektivitas Kolaborasi Antar Sektor. Jurnal Kebijakan Publik.</w:t>
      </w:r>
    </w:p>
    <w:p w14:paraId="52F5B97D" w14:textId="77777777" w:rsidR="00F0385E" w:rsidRPr="00F0385E" w:rsidRDefault="00F0385E" w:rsidP="00F0385E">
      <w:pPr>
        <w:ind w:left="567" w:hanging="567"/>
        <w:jc w:val="both"/>
        <w:rPr>
          <w:rFonts w:ascii="Constantia" w:hAnsi="Constantia"/>
        </w:rPr>
      </w:pPr>
      <w:r w:rsidRPr="00F0385E">
        <w:rPr>
          <w:rFonts w:ascii="Constantia" w:hAnsi="Constantia"/>
        </w:rPr>
        <w:t>Riyanto, D. N. A. R. (2024). Tantangan dan Hambatan Collaborative Governance dalam Sektor Publik. Jurnal Undip, hlm. 7.</w:t>
      </w:r>
    </w:p>
    <w:p w14:paraId="37D9CE39" w14:textId="77777777" w:rsidR="00F0385E" w:rsidRPr="00F0385E" w:rsidRDefault="00F0385E" w:rsidP="00F0385E">
      <w:pPr>
        <w:ind w:left="567" w:hanging="567"/>
        <w:jc w:val="both"/>
        <w:rPr>
          <w:rFonts w:ascii="Constantia" w:hAnsi="Constantia"/>
        </w:rPr>
      </w:pPr>
      <w:r w:rsidRPr="00F0385E">
        <w:rPr>
          <w:rFonts w:ascii="Constantia" w:hAnsi="Constantia"/>
        </w:rPr>
        <w:t>Suryani, A., &amp; Lestari, W. (2022). Peran LSM dalam Mengawasi Program Sosial Pemerintah. Jurnal Sosial dan Humaniora.</w:t>
      </w:r>
    </w:p>
    <w:p w14:paraId="39C92411" w14:textId="77777777" w:rsidR="00F0385E" w:rsidRPr="00F0385E" w:rsidRDefault="00F0385E" w:rsidP="00F0385E">
      <w:pPr>
        <w:ind w:left="567" w:hanging="567"/>
        <w:jc w:val="both"/>
        <w:rPr>
          <w:rFonts w:ascii="Constantia" w:hAnsi="Constantia"/>
        </w:rPr>
      </w:pPr>
      <w:r w:rsidRPr="00F0385E">
        <w:rPr>
          <w:rFonts w:ascii="Constantia" w:hAnsi="Constantia"/>
        </w:rPr>
        <w:t>Syntaxliterate. (2025). Faktor-faktor yang Mempengaruhi Collaborative Governance. Jurnal Syntaxliterate.</w:t>
      </w:r>
    </w:p>
    <w:p w14:paraId="74798553" w14:textId="77777777" w:rsidR="00F0385E" w:rsidRPr="00F0385E" w:rsidRDefault="00F0385E" w:rsidP="00F0385E">
      <w:pPr>
        <w:ind w:left="567" w:hanging="567"/>
        <w:jc w:val="both"/>
        <w:rPr>
          <w:rFonts w:ascii="Constantia" w:hAnsi="Constantia"/>
        </w:rPr>
      </w:pPr>
      <w:r w:rsidRPr="00F0385E">
        <w:rPr>
          <w:rFonts w:ascii="Constantia" w:hAnsi="Constantia"/>
        </w:rPr>
        <w:t>UIN Syahada. (2025). Peran Ekonomi Islam dalam Mengatasi Ketimpangan Ekonomi. pasca.uinsyahada.ac.id. hlm. 22.</w:t>
      </w:r>
    </w:p>
    <w:p w14:paraId="74FCC998" w14:textId="77777777" w:rsidR="00F0385E" w:rsidRPr="00F0385E" w:rsidRDefault="00F0385E" w:rsidP="00F0385E">
      <w:pPr>
        <w:ind w:left="567" w:hanging="567"/>
        <w:jc w:val="both"/>
        <w:rPr>
          <w:rFonts w:ascii="Constantia" w:hAnsi="Constantia"/>
        </w:rPr>
      </w:pPr>
      <w:r w:rsidRPr="00F0385E">
        <w:rPr>
          <w:rFonts w:ascii="Constantia" w:hAnsi="Constantia"/>
        </w:rPr>
        <w:t>UMSU. (2025). Peran Publik dan Swasta dalam Mendorong Kolaborasi. Jurnal UMSU, hlm. 9.</w:t>
      </w:r>
    </w:p>
    <w:p w14:paraId="20CEC395" w14:textId="77777777" w:rsidR="00F0385E" w:rsidRPr="00F0385E" w:rsidRDefault="00F0385E" w:rsidP="00F0385E">
      <w:pPr>
        <w:ind w:left="567" w:hanging="567"/>
        <w:jc w:val="both"/>
        <w:rPr>
          <w:rFonts w:ascii="Constantia" w:hAnsi="Constantia"/>
        </w:rPr>
      </w:pPr>
      <w:r w:rsidRPr="00F0385E">
        <w:rPr>
          <w:rFonts w:ascii="Constantia" w:hAnsi="Constantia"/>
        </w:rPr>
        <w:t>Yuliana, T. (2021). Kolaborasi Pemerintah dan Swasta dalam Pemberdayaan Masyarakat Digital. Jurnal Pengabdian Masyarakat Indonesia.</w:t>
      </w:r>
    </w:p>
    <w:p w14:paraId="3731EC3E" w14:textId="77777777" w:rsidR="00F0385E" w:rsidRPr="00F0385E" w:rsidRDefault="00F0385E" w:rsidP="00F0385E">
      <w:pPr>
        <w:ind w:left="567" w:hanging="567"/>
        <w:jc w:val="both"/>
        <w:rPr>
          <w:rFonts w:ascii="Constantia" w:hAnsi="Constantia"/>
        </w:rPr>
      </w:pPr>
      <w:r w:rsidRPr="00F0385E">
        <w:rPr>
          <w:rFonts w:ascii="Constantia" w:hAnsi="Constantia"/>
        </w:rPr>
        <w:t>Zulkifli, Z., &amp; Ismail, N. (2025). Kajian Literatur Tentang Implementasi Tujuan Pembangunan Berkelanjutan (SDGs) Di Indonesia. Madani: Jurnal Ilmiah Multidisiplin, 3(1), 1-15.</w:t>
      </w:r>
    </w:p>
    <w:sectPr w:rsidR="00F0385E" w:rsidRPr="00F0385E" w:rsidSect="00214762">
      <w:type w:val="continuous"/>
      <w:pgSz w:w="11906" w:h="16838"/>
      <w:pgMar w:top="1440" w:right="1440" w:bottom="1440" w:left="1440" w:header="708" w:footer="708" w:gutter="0"/>
      <w:pgNumType w:start="55" w:chapStyle="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48D2" w14:textId="77777777" w:rsidR="002925FD" w:rsidRDefault="002925FD" w:rsidP="003117F0">
      <w:r>
        <w:separator/>
      </w:r>
    </w:p>
  </w:endnote>
  <w:endnote w:type="continuationSeparator" w:id="0">
    <w:p w14:paraId="51A71EF9" w14:textId="77777777" w:rsidR="002925FD" w:rsidRDefault="002925FD" w:rsidP="0031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03702"/>
      <w:docPartObj>
        <w:docPartGallery w:val="Page Numbers (Bottom of Page)"/>
        <w:docPartUnique/>
      </w:docPartObj>
    </w:sdtPr>
    <w:sdtContent>
      <w:p w14:paraId="09EE72C3" w14:textId="7AE4AB49" w:rsidR="00D856B4" w:rsidRDefault="00D856B4">
        <w:pPr>
          <w:pStyle w:val="Footer"/>
          <w:jc w:val="right"/>
        </w:pPr>
        <w:r>
          <w:fldChar w:fldCharType="begin"/>
        </w:r>
        <w:r>
          <w:instrText>PAGE   \* MERGEFORMAT</w:instrText>
        </w:r>
        <w:r>
          <w:fldChar w:fldCharType="separate"/>
        </w:r>
        <w:r w:rsidR="0019317D">
          <w:rPr>
            <w:noProof/>
          </w:rPr>
          <w:t>3</w:t>
        </w:r>
        <w:r>
          <w:fldChar w:fldCharType="end"/>
        </w:r>
      </w:p>
    </w:sdtContent>
  </w:sdt>
  <w:p w14:paraId="5CE92B5E" w14:textId="29159034" w:rsidR="00D856B4" w:rsidRPr="004C21F6" w:rsidRDefault="00D856B4" w:rsidP="004C21F6">
    <w:pPr>
      <w:jc w:val="both"/>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E70A" w14:textId="77777777" w:rsidR="002925FD" w:rsidRDefault="002925FD" w:rsidP="003117F0">
      <w:r>
        <w:separator/>
      </w:r>
    </w:p>
  </w:footnote>
  <w:footnote w:type="continuationSeparator" w:id="0">
    <w:p w14:paraId="6460AFCA" w14:textId="77777777" w:rsidR="002925FD" w:rsidRDefault="002925FD" w:rsidP="003117F0">
      <w:r>
        <w:continuationSeparator/>
      </w:r>
    </w:p>
  </w:footnote>
  <w:footnote w:id="1">
    <w:p w14:paraId="63755EE5" w14:textId="00A803B3" w:rsidR="00D856B4" w:rsidRDefault="00D856B4">
      <w:pPr>
        <w:pStyle w:val="FootnoteText"/>
        <w:rPr>
          <w:lang w:val="en-US"/>
        </w:rPr>
      </w:pPr>
      <w:r>
        <w:rPr>
          <w:rStyle w:val="FootnoteReference"/>
        </w:rPr>
        <w:footnoteRef/>
      </w:r>
      <w:r>
        <w:t xml:space="preserve"> </w:t>
      </w:r>
      <w:r w:rsidR="00CF51D7">
        <w:rPr>
          <w:lang w:val="en-US"/>
        </w:rPr>
        <w:t xml:space="preserve">Universitas Negeri Semarang, </w:t>
      </w:r>
      <w:hyperlink r:id="rId1" w:history="1">
        <w:r w:rsidR="00CF51D7" w:rsidRPr="00D5136C">
          <w:rPr>
            <w:rStyle w:val="Hyperlink"/>
            <w:lang w:val="en-US"/>
          </w:rPr>
          <w:t>shabrinaaribbyleone@students.unnes.ac.id</w:t>
        </w:r>
      </w:hyperlink>
    </w:p>
    <w:p w14:paraId="348EF83E" w14:textId="40907012" w:rsidR="00CF51D7" w:rsidRDefault="00CF51D7">
      <w:pPr>
        <w:pStyle w:val="FootnoteText"/>
        <w:rPr>
          <w:lang w:val="en-US"/>
        </w:rPr>
      </w:pPr>
      <w:r>
        <w:rPr>
          <w:vertAlign w:val="superscript"/>
          <w:lang w:val="en-US"/>
        </w:rPr>
        <w:t>2</w:t>
      </w:r>
      <w:r>
        <w:rPr>
          <w:lang w:val="en-US"/>
        </w:rPr>
        <w:t xml:space="preserve"> Universitas Negeri Semarang, </w:t>
      </w:r>
      <w:hyperlink r:id="rId2" w:history="1">
        <w:r w:rsidRPr="00D5136C">
          <w:rPr>
            <w:rStyle w:val="Hyperlink"/>
            <w:lang w:val="en-US"/>
          </w:rPr>
          <w:t>bagaseka517@students.unnes.ac.id</w:t>
        </w:r>
      </w:hyperlink>
      <w:r>
        <w:rPr>
          <w:lang w:val="en-US"/>
        </w:rPr>
        <w:t xml:space="preserve"> </w:t>
      </w:r>
    </w:p>
    <w:p w14:paraId="03F72E4C" w14:textId="0DEDD978" w:rsidR="00CF51D7" w:rsidRPr="00CF51D7" w:rsidRDefault="00CF51D7">
      <w:pPr>
        <w:pStyle w:val="FootnoteText"/>
        <w:rPr>
          <w:lang w:val="en-US"/>
        </w:rPr>
      </w:pPr>
      <w:r>
        <w:rPr>
          <w:vertAlign w:val="superscript"/>
          <w:lang w:val="en-US"/>
        </w:rPr>
        <w:t>3</w:t>
      </w:r>
      <w:r>
        <w:rPr>
          <w:lang w:val="en-US"/>
        </w:rPr>
        <w:t xml:space="preserve"> Universitas Negeri Semarang, </w:t>
      </w:r>
      <w:hyperlink r:id="rId3" w:history="1">
        <w:r w:rsidRPr="00D5136C">
          <w:rPr>
            <w:rStyle w:val="Hyperlink"/>
            <w:lang w:val="en-US"/>
          </w:rPr>
          <w:t>sulistyani1692@students.unnes.ac.id</w:t>
        </w:r>
      </w:hyperlink>
      <w:r>
        <w:rPr>
          <w:lang w:val="en-US"/>
        </w:rPr>
        <w:t xml:space="preserve"> </w:t>
      </w:r>
    </w:p>
    <w:p w14:paraId="1C6C4777" w14:textId="77777777" w:rsidR="00D856B4" w:rsidRPr="00E2611B" w:rsidRDefault="00D856B4" w:rsidP="00E2611B">
      <w:pPr>
        <w:rPr>
          <w:rFonts w:ascii="Arial" w:eastAsia="Times New Roman" w:hAnsi="Arial" w:cs="Arial"/>
          <w:kern w:val="0"/>
          <w:sz w:val="16"/>
          <w:szCs w:val="16"/>
          <w:lang w:eastAsia="id-ID"/>
          <w14:ligatures w14:val="none"/>
        </w:rPr>
      </w:pPr>
      <w:r w:rsidRPr="00E2611B">
        <w:rPr>
          <w:rFonts w:ascii="Arial" w:eastAsia="Times New Roman" w:hAnsi="Arial" w:cs="Arial"/>
          <w:kern w:val="0"/>
          <w:sz w:val="16"/>
          <w:szCs w:val="16"/>
          <w:lang w:eastAsia="id-ID"/>
          <w14:ligatures w14:val="none"/>
        </w:rPr>
        <w:t>©</w:t>
      </w:r>
      <w:r w:rsidRPr="00E2611B">
        <w:rPr>
          <w:rFonts w:ascii="Arial" w:eastAsia="Times New Roman" w:hAnsi="Arial" w:cs="Arial"/>
          <w:kern w:val="0"/>
          <w:sz w:val="16"/>
          <w:szCs w:val="16"/>
          <w:lang w:val="en-US" w:eastAsia="id-ID"/>
          <w14:ligatures w14:val="none"/>
        </w:rPr>
        <w:t xml:space="preserve"> </w:t>
      </w:r>
      <w:r w:rsidRPr="00E2611B">
        <w:rPr>
          <w:rFonts w:ascii="Arial" w:eastAsia="Times New Roman" w:hAnsi="Arial" w:cs="Arial"/>
          <w:kern w:val="0"/>
          <w:sz w:val="16"/>
          <w:szCs w:val="16"/>
          <w:lang w:eastAsia="id-ID"/>
          <w14:ligatures w14:val="none"/>
        </w:rPr>
        <w:t>All rights reserved</w:t>
      </w:r>
    </w:p>
    <w:p w14:paraId="00FE60D3" w14:textId="3ABFDADA" w:rsidR="00D856B4" w:rsidRPr="00E2611B" w:rsidRDefault="00D856B4" w:rsidP="00E2611B">
      <w:pPr>
        <w:rPr>
          <w:rFonts w:ascii="Arial" w:eastAsia="Times New Roman" w:hAnsi="Arial" w:cs="Arial"/>
          <w:kern w:val="0"/>
          <w:sz w:val="16"/>
          <w:szCs w:val="16"/>
          <w:lang w:eastAsia="id-ID"/>
          <w14:ligatures w14:val="none"/>
        </w:rPr>
      </w:pPr>
      <w:r w:rsidRPr="00E2611B">
        <w:rPr>
          <w:rFonts w:ascii="Arial" w:eastAsia="Times New Roman" w:hAnsi="Arial" w:cs="Arial"/>
          <w:kern w:val="0"/>
          <w:sz w:val="16"/>
          <w:szCs w:val="16"/>
          <w:lang w:eastAsia="id-ID"/>
          <w14:ligatures w14:val="none"/>
        </w:rPr>
        <w:t>202</w:t>
      </w:r>
      <w:r w:rsidR="00CF51D7">
        <w:rPr>
          <w:rFonts w:ascii="Arial" w:eastAsia="Times New Roman" w:hAnsi="Arial" w:cs="Arial"/>
          <w:kern w:val="0"/>
          <w:sz w:val="16"/>
          <w:szCs w:val="16"/>
          <w:lang w:val="en-US" w:eastAsia="id-ID"/>
          <w14:ligatures w14:val="none"/>
        </w:rPr>
        <w:t xml:space="preserve">5 </w:t>
      </w:r>
      <w:r w:rsidRPr="00E2611B">
        <w:rPr>
          <w:rFonts w:ascii="Arial" w:eastAsia="Times New Roman" w:hAnsi="Arial" w:cs="Arial"/>
          <w:kern w:val="0"/>
          <w:sz w:val="16"/>
          <w:szCs w:val="16"/>
          <w:lang w:eastAsia="id-ID"/>
          <w14:ligatures w14:val="none"/>
        </w:rPr>
        <w:t>Departemen Sejarah FISIP UNNES</w:t>
      </w:r>
    </w:p>
    <w:p w14:paraId="39D521CB" w14:textId="77777777" w:rsidR="00D856B4" w:rsidRPr="00E2611B" w:rsidRDefault="00D856B4" w:rsidP="00E2611B">
      <w:pPr>
        <w:jc w:val="both"/>
        <w:rPr>
          <w:sz w:val="16"/>
          <w:szCs w:val="16"/>
          <w:lang w:val="en-US"/>
        </w:rPr>
      </w:pPr>
      <w:r w:rsidRPr="00E2611B">
        <w:rPr>
          <w:sz w:val="16"/>
          <w:szCs w:val="16"/>
          <w:lang w:val="en-US"/>
        </w:rPr>
        <w:t>Gedung C5 Lantai 1 FISIP UNNES</w:t>
      </w:r>
    </w:p>
    <w:p w14:paraId="1A3C754A" w14:textId="162A3491" w:rsidR="00D856B4" w:rsidRPr="00E2611B" w:rsidRDefault="00D856B4" w:rsidP="00E2611B">
      <w:pPr>
        <w:jc w:val="both"/>
        <w:rPr>
          <w:sz w:val="20"/>
          <w:szCs w:val="20"/>
          <w:lang w:val="en-US"/>
        </w:rPr>
      </w:pPr>
      <w:r w:rsidRPr="00E2611B">
        <w:rPr>
          <w:sz w:val="16"/>
          <w:szCs w:val="16"/>
          <w:lang w:val="en-US"/>
        </w:rPr>
        <w:t xml:space="preserve">Kampus Sekaran, </w:t>
      </w:r>
      <w:proofErr w:type="spellStart"/>
      <w:r w:rsidRPr="00E2611B">
        <w:rPr>
          <w:sz w:val="16"/>
          <w:szCs w:val="16"/>
          <w:lang w:val="en-US"/>
        </w:rPr>
        <w:t>Gunungpati</w:t>
      </w:r>
      <w:proofErr w:type="spellEnd"/>
      <w:r w:rsidRPr="00E2611B">
        <w:rPr>
          <w:sz w:val="16"/>
          <w:szCs w:val="16"/>
          <w:lang w:val="en-US"/>
        </w:rPr>
        <w:t>, Semarang, 50229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55A"/>
    <w:multiLevelType w:val="hybridMultilevel"/>
    <w:tmpl w:val="83363522"/>
    <w:lvl w:ilvl="0" w:tplc="DC00A2EC">
      <w:start w:val="1"/>
      <w:numFmt w:val="lowerLetter"/>
      <w:lvlText w:val="%1."/>
      <w:lvlJc w:val="left"/>
      <w:pPr>
        <w:ind w:left="948" w:hanging="360"/>
      </w:pPr>
      <w:rPr>
        <w:rFonts w:hint="default"/>
        <w:b w:val="0"/>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1" w15:restartNumberingAfterBreak="0">
    <w:nsid w:val="05B476F3"/>
    <w:multiLevelType w:val="hybridMultilevel"/>
    <w:tmpl w:val="D19C029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0780E9C"/>
    <w:multiLevelType w:val="hybridMultilevel"/>
    <w:tmpl w:val="207CA9B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7572C97"/>
    <w:multiLevelType w:val="hybridMultilevel"/>
    <w:tmpl w:val="7BFCE5B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1B269F9"/>
    <w:multiLevelType w:val="hybridMultilevel"/>
    <w:tmpl w:val="7BD645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D50433"/>
    <w:multiLevelType w:val="hybridMultilevel"/>
    <w:tmpl w:val="643602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A9721FE"/>
    <w:multiLevelType w:val="hybridMultilevel"/>
    <w:tmpl w:val="A8A42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DA5C5B"/>
    <w:multiLevelType w:val="hybridMultilevel"/>
    <w:tmpl w:val="AA7CDDF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857163C"/>
    <w:multiLevelType w:val="hybridMultilevel"/>
    <w:tmpl w:val="D228CE8A"/>
    <w:lvl w:ilvl="0" w:tplc="3809000F">
      <w:start w:val="1"/>
      <w:numFmt w:val="decimal"/>
      <w:lvlText w:val="%1."/>
      <w:lvlJc w:val="left"/>
      <w:pPr>
        <w:ind w:left="360" w:hanging="360"/>
      </w:pPr>
      <w:rPr>
        <w:rFonts w:hint="default"/>
      </w:rPr>
    </w:lvl>
    <w:lvl w:ilvl="1" w:tplc="38090019">
      <w:start w:val="1"/>
      <w:numFmt w:val="lowerLetter"/>
      <w:lvlText w:val="%2."/>
      <w:lvlJc w:val="left"/>
      <w:pPr>
        <w:ind w:left="36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3C000B86"/>
    <w:multiLevelType w:val="hybridMultilevel"/>
    <w:tmpl w:val="D19C029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47E67CEB"/>
    <w:multiLevelType w:val="hybridMultilevel"/>
    <w:tmpl w:val="09A6861A"/>
    <w:lvl w:ilvl="0" w:tplc="DC00A2EC">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9BC75E9"/>
    <w:multiLevelType w:val="multilevel"/>
    <w:tmpl w:val="B1CC67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B035FE"/>
    <w:multiLevelType w:val="hybridMultilevel"/>
    <w:tmpl w:val="383A93F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A8E36FC"/>
    <w:multiLevelType w:val="hybridMultilevel"/>
    <w:tmpl w:val="2FF2D37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47E78A0"/>
    <w:multiLevelType w:val="hybridMultilevel"/>
    <w:tmpl w:val="A8A429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9C5982"/>
    <w:multiLevelType w:val="hybridMultilevel"/>
    <w:tmpl w:val="EB1E6CC2"/>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7594709D"/>
    <w:multiLevelType w:val="hybridMultilevel"/>
    <w:tmpl w:val="F124B1F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85368D5"/>
    <w:multiLevelType w:val="hybridMultilevel"/>
    <w:tmpl w:val="9BE04E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8D4396C"/>
    <w:multiLevelType w:val="hybridMultilevel"/>
    <w:tmpl w:val="A16C149A"/>
    <w:lvl w:ilvl="0" w:tplc="3809000F">
      <w:start w:val="1"/>
      <w:numFmt w:val="decimal"/>
      <w:lvlText w:val="%1."/>
      <w:lvlJc w:val="left"/>
      <w:pPr>
        <w:ind w:left="360" w:hanging="360"/>
      </w:pPr>
      <w:rPr>
        <w:rFonts w:hint="default"/>
      </w:rPr>
    </w:lvl>
    <w:lvl w:ilvl="1" w:tplc="DC00A2EC">
      <w:start w:val="1"/>
      <w:numFmt w:val="lowerLetter"/>
      <w:lvlText w:val="%2."/>
      <w:lvlJc w:val="left"/>
      <w:pPr>
        <w:ind w:left="360" w:hanging="360"/>
      </w:pPr>
      <w:rPr>
        <w:rFonts w:hint="default"/>
        <w:b w:val="0"/>
      </w:rPr>
    </w:lvl>
    <w:lvl w:ilvl="2" w:tplc="BEFE8F96">
      <w:start w:val="1"/>
      <w:numFmt w:val="upperLetter"/>
      <w:lvlText w:val="%3."/>
      <w:lvlJc w:val="left"/>
      <w:pPr>
        <w:ind w:left="36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51472137">
    <w:abstractNumId w:val="17"/>
  </w:num>
  <w:num w:numId="2" w16cid:durableId="801387228">
    <w:abstractNumId w:val="2"/>
  </w:num>
  <w:num w:numId="3" w16cid:durableId="359429559">
    <w:abstractNumId w:val="5"/>
  </w:num>
  <w:num w:numId="4" w16cid:durableId="269317207">
    <w:abstractNumId w:val="4"/>
  </w:num>
  <w:num w:numId="5" w16cid:durableId="1998335763">
    <w:abstractNumId w:val="18"/>
  </w:num>
  <w:num w:numId="6" w16cid:durableId="2021424570">
    <w:abstractNumId w:val="15"/>
  </w:num>
  <w:num w:numId="7" w16cid:durableId="869342464">
    <w:abstractNumId w:val="13"/>
  </w:num>
  <w:num w:numId="8" w16cid:durableId="524709394">
    <w:abstractNumId w:val="3"/>
  </w:num>
  <w:num w:numId="9" w16cid:durableId="448280498">
    <w:abstractNumId w:val="7"/>
  </w:num>
  <w:num w:numId="10" w16cid:durableId="215824284">
    <w:abstractNumId w:val="8"/>
  </w:num>
  <w:num w:numId="11" w16cid:durableId="1553493027">
    <w:abstractNumId w:val="1"/>
  </w:num>
  <w:num w:numId="12" w16cid:durableId="1256749642">
    <w:abstractNumId w:val="0"/>
  </w:num>
  <w:num w:numId="13" w16cid:durableId="638266150">
    <w:abstractNumId w:val="11"/>
  </w:num>
  <w:num w:numId="14" w16cid:durableId="1806049294">
    <w:abstractNumId w:val="6"/>
  </w:num>
  <w:num w:numId="15" w16cid:durableId="1240479317">
    <w:abstractNumId w:val="10"/>
  </w:num>
  <w:num w:numId="16" w16cid:durableId="1210456763">
    <w:abstractNumId w:val="12"/>
  </w:num>
  <w:num w:numId="17" w16cid:durableId="1380278076">
    <w:abstractNumId w:val="16"/>
  </w:num>
  <w:num w:numId="18" w16cid:durableId="2136560222">
    <w:abstractNumId w:val="9"/>
  </w:num>
  <w:num w:numId="19" w16cid:durableId="262079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E8C"/>
    <w:rsid w:val="00012F97"/>
    <w:rsid w:val="00046DB3"/>
    <w:rsid w:val="0008687B"/>
    <w:rsid w:val="000B7B8B"/>
    <w:rsid w:val="000F54C3"/>
    <w:rsid w:val="00137CCA"/>
    <w:rsid w:val="00145910"/>
    <w:rsid w:val="00146CC6"/>
    <w:rsid w:val="00152FBC"/>
    <w:rsid w:val="001703C0"/>
    <w:rsid w:val="0017206C"/>
    <w:rsid w:val="00180D3E"/>
    <w:rsid w:val="00181830"/>
    <w:rsid w:val="00184783"/>
    <w:rsid w:val="00184C71"/>
    <w:rsid w:val="0019317D"/>
    <w:rsid w:val="00193D35"/>
    <w:rsid w:val="001A5E34"/>
    <w:rsid w:val="001C12A8"/>
    <w:rsid w:val="001D7757"/>
    <w:rsid w:val="001E3349"/>
    <w:rsid w:val="001E7402"/>
    <w:rsid w:val="00204391"/>
    <w:rsid w:val="00214762"/>
    <w:rsid w:val="002223C2"/>
    <w:rsid w:val="00235A03"/>
    <w:rsid w:val="00244ACA"/>
    <w:rsid w:val="00256FE9"/>
    <w:rsid w:val="00261F5D"/>
    <w:rsid w:val="00262CE8"/>
    <w:rsid w:val="002772A8"/>
    <w:rsid w:val="00277E66"/>
    <w:rsid w:val="00286E23"/>
    <w:rsid w:val="002925FD"/>
    <w:rsid w:val="00295689"/>
    <w:rsid w:val="002970E7"/>
    <w:rsid w:val="002B23C2"/>
    <w:rsid w:val="003117F0"/>
    <w:rsid w:val="003260FA"/>
    <w:rsid w:val="00340521"/>
    <w:rsid w:val="00371337"/>
    <w:rsid w:val="00387A24"/>
    <w:rsid w:val="003C2F94"/>
    <w:rsid w:val="003E0585"/>
    <w:rsid w:val="004506F6"/>
    <w:rsid w:val="00473674"/>
    <w:rsid w:val="004A14CD"/>
    <w:rsid w:val="004B13DC"/>
    <w:rsid w:val="004B71EF"/>
    <w:rsid w:val="004C21F6"/>
    <w:rsid w:val="004C4C42"/>
    <w:rsid w:val="004D6A88"/>
    <w:rsid w:val="004D735C"/>
    <w:rsid w:val="00512A1A"/>
    <w:rsid w:val="00527022"/>
    <w:rsid w:val="005469AD"/>
    <w:rsid w:val="0059308E"/>
    <w:rsid w:val="005D0D27"/>
    <w:rsid w:val="00603984"/>
    <w:rsid w:val="00632025"/>
    <w:rsid w:val="00650772"/>
    <w:rsid w:val="00690BF7"/>
    <w:rsid w:val="006A67E8"/>
    <w:rsid w:val="006B365B"/>
    <w:rsid w:val="006E075C"/>
    <w:rsid w:val="006E4C07"/>
    <w:rsid w:val="007103F4"/>
    <w:rsid w:val="00722EBD"/>
    <w:rsid w:val="00732782"/>
    <w:rsid w:val="00761D92"/>
    <w:rsid w:val="0076398D"/>
    <w:rsid w:val="00776ED1"/>
    <w:rsid w:val="007934CE"/>
    <w:rsid w:val="007D7E8C"/>
    <w:rsid w:val="007E5512"/>
    <w:rsid w:val="007F5439"/>
    <w:rsid w:val="00801AB5"/>
    <w:rsid w:val="008270AC"/>
    <w:rsid w:val="00882AFC"/>
    <w:rsid w:val="008D54A2"/>
    <w:rsid w:val="008F3729"/>
    <w:rsid w:val="0090777D"/>
    <w:rsid w:val="00910473"/>
    <w:rsid w:val="00913F7D"/>
    <w:rsid w:val="009164A3"/>
    <w:rsid w:val="00916FEF"/>
    <w:rsid w:val="009235C6"/>
    <w:rsid w:val="00941879"/>
    <w:rsid w:val="0098169D"/>
    <w:rsid w:val="00981A7E"/>
    <w:rsid w:val="009D4832"/>
    <w:rsid w:val="009E70AC"/>
    <w:rsid w:val="00A00CF8"/>
    <w:rsid w:val="00A346A9"/>
    <w:rsid w:val="00A45B1D"/>
    <w:rsid w:val="00A52D5D"/>
    <w:rsid w:val="00A609C4"/>
    <w:rsid w:val="00A7313B"/>
    <w:rsid w:val="00A81883"/>
    <w:rsid w:val="00A956C7"/>
    <w:rsid w:val="00AB25F7"/>
    <w:rsid w:val="00AB5425"/>
    <w:rsid w:val="00AE3DC1"/>
    <w:rsid w:val="00AF32B5"/>
    <w:rsid w:val="00B015CA"/>
    <w:rsid w:val="00B04C03"/>
    <w:rsid w:val="00B21FA5"/>
    <w:rsid w:val="00B26DE3"/>
    <w:rsid w:val="00B4463A"/>
    <w:rsid w:val="00B515A9"/>
    <w:rsid w:val="00B82DE2"/>
    <w:rsid w:val="00BB3863"/>
    <w:rsid w:val="00BC4830"/>
    <w:rsid w:val="00BC7F1A"/>
    <w:rsid w:val="00C02A36"/>
    <w:rsid w:val="00C05529"/>
    <w:rsid w:val="00C23B22"/>
    <w:rsid w:val="00C31162"/>
    <w:rsid w:val="00C4178B"/>
    <w:rsid w:val="00C54384"/>
    <w:rsid w:val="00CF51D7"/>
    <w:rsid w:val="00D82887"/>
    <w:rsid w:val="00D84A70"/>
    <w:rsid w:val="00D856B4"/>
    <w:rsid w:val="00D920AA"/>
    <w:rsid w:val="00D9212E"/>
    <w:rsid w:val="00DD1C8A"/>
    <w:rsid w:val="00DE43DD"/>
    <w:rsid w:val="00E1339E"/>
    <w:rsid w:val="00E13FDA"/>
    <w:rsid w:val="00E2611B"/>
    <w:rsid w:val="00E411B9"/>
    <w:rsid w:val="00EA75E2"/>
    <w:rsid w:val="00EB4183"/>
    <w:rsid w:val="00F0385E"/>
    <w:rsid w:val="00F17277"/>
    <w:rsid w:val="00F46264"/>
    <w:rsid w:val="00F71626"/>
    <w:rsid w:val="00F87E33"/>
    <w:rsid w:val="00F90E3F"/>
    <w:rsid w:val="00F96198"/>
    <w:rsid w:val="00FC348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028DA"/>
  <w15:chartTrackingRefBased/>
  <w15:docId w15:val="{E6893463-F8D0-1B40-B4DE-7F3CACC4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E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E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E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E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E8C"/>
    <w:rPr>
      <w:rFonts w:eastAsiaTheme="majorEastAsia" w:cstheme="majorBidi"/>
      <w:color w:val="272727" w:themeColor="text1" w:themeTint="D8"/>
    </w:rPr>
  </w:style>
  <w:style w:type="paragraph" w:styleId="Title">
    <w:name w:val="Title"/>
    <w:basedOn w:val="Normal"/>
    <w:next w:val="Normal"/>
    <w:link w:val="TitleChar"/>
    <w:uiPriority w:val="10"/>
    <w:qFormat/>
    <w:rsid w:val="007D7E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E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E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7E8C"/>
    <w:rPr>
      <w:i/>
      <w:iCs/>
      <w:color w:val="404040" w:themeColor="text1" w:themeTint="BF"/>
    </w:rPr>
  </w:style>
  <w:style w:type="paragraph" w:styleId="ListParagraph">
    <w:name w:val="List Paragraph"/>
    <w:basedOn w:val="Normal"/>
    <w:uiPriority w:val="34"/>
    <w:qFormat/>
    <w:rsid w:val="007D7E8C"/>
    <w:pPr>
      <w:ind w:left="720"/>
      <w:contextualSpacing/>
    </w:pPr>
  </w:style>
  <w:style w:type="character" w:styleId="IntenseEmphasis">
    <w:name w:val="Intense Emphasis"/>
    <w:basedOn w:val="DefaultParagraphFont"/>
    <w:uiPriority w:val="21"/>
    <w:qFormat/>
    <w:rsid w:val="007D7E8C"/>
    <w:rPr>
      <w:i/>
      <w:iCs/>
      <w:color w:val="0F4761" w:themeColor="accent1" w:themeShade="BF"/>
    </w:rPr>
  </w:style>
  <w:style w:type="paragraph" w:styleId="IntenseQuote">
    <w:name w:val="Intense Quote"/>
    <w:basedOn w:val="Normal"/>
    <w:next w:val="Normal"/>
    <w:link w:val="IntenseQuoteChar"/>
    <w:uiPriority w:val="30"/>
    <w:qFormat/>
    <w:rsid w:val="007D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E8C"/>
    <w:rPr>
      <w:i/>
      <w:iCs/>
      <w:color w:val="0F4761" w:themeColor="accent1" w:themeShade="BF"/>
    </w:rPr>
  </w:style>
  <w:style w:type="character" w:styleId="IntenseReference">
    <w:name w:val="Intense Reference"/>
    <w:basedOn w:val="DefaultParagraphFont"/>
    <w:uiPriority w:val="32"/>
    <w:qFormat/>
    <w:rsid w:val="007D7E8C"/>
    <w:rPr>
      <w:b/>
      <w:bCs/>
      <w:smallCaps/>
      <w:color w:val="0F4761" w:themeColor="accent1" w:themeShade="BF"/>
      <w:spacing w:val="5"/>
    </w:rPr>
  </w:style>
  <w:style w:type="paragraph" w:styleId="Header">
    <w:name w:val="header"/>
    <w:basedOn w:val="Normal"/>
    <w:link w:val="HeaderChar"/>
    <w:uiPriority w:val="99"/>
    <w:unhideWhenUsed/>
    <w:rsid w:val="003117F0"/>
    <w:pPr>
      <w:tabs>
        <w:tab w:val="center" w:pos="4513"/>
        <w:tab w:val="right" w:pos="9026"/>
      </w:tabs>
    </w:pPr>
  </w:style>
  <w:style w:type="character" w:customStyle="1" w:styleId="HeaderChar">
    <w:name w:val="Header Char"/>
    <w:basedOn w:val="DefaultParagraphFont"/>
    <w:link w:val="Header"/>
    <w:uiPriority w:val="99"/>
    <w:rsid w:val="003117F0"/>
  </w:style>
  <w:style w:type="paragraph" w:styleId="Footer">
    <w:name w:val="footer"/>
    <w:basedOn w:val="Normal"/>
    <w:link w:val="FooterChar"/>
    <w:uiPriority w:val="99"/>
    <w:unhideWhenUsed/>
    <w:rsid w:val="003117F0"/>
    <w:pPr>
      <w:tabs>
        <w:tab w:val="center" w:pos="4513"/>
        <w:tab w:val="right" w:pos="9026"/>
      </w:tabs>
    </w:pPr>
  </w:style>
  <w:style w:type="character" w:customStyle="1" w:styleId="FooterChar">
    <w:name w:val="Footer Char"/>
    <w:basedOn w:val="DefaultParagraphFont"/>
    <w:link w:val="Footer"/>
    <w:uiPriority w:val="99"/>
    <w:rsid w:val="003117F0"/>
  </w:style>
  <w:style w:type="paragraph" w:styleId="FootnoteText">
    <w:name w:val="footnote text"/>
    <w:basedOn w:val="Normal"/>
    <w:link w:val="FootnoteTextChar"/>
    <w:uiPriority w:val="99"/>
    <w:semiHidden/>
    <w:unhideWhenUsed/>
    <w:rsid w:val="003117F0"/>
    <w:rPr>
      <w:sz w:val="20"/>
      <w:szCs w:val="20"/>
    </w:rPr>
  </w:style>
  <w:style w:type="character" w:customStyle="1" w:styleId="FootnoteTextChar">
    <w:name w:val="Footnote Text Char"/>
    <w:basedOn w:val="DefaultParagraphFont"/>
    <w:link w:val="FootnoteText"/>
    <w:uiPriority w:val="99"/>
    <w:semiHidden/>
    <w:rsid w:val="003117F0"/>
    <w:rPr>
      <w:sz w:val="20"/>
      <w:szCs w:val="20"/>
    </w:rPr>
  </w:style>
  <w:style w:type="character" w:styleId="FootnoteReference">
    <w:name w:val="footnote reference"/>
    <w:basedOn w:val="DefaultParagraphFont"/>
    <w:uiPriority w:val="99"/>
    <w:semiHidden/>
    <w:unhideWhenUsed/>
    <w:rsid w:val="003117F0"/>
    <w:rPr>
      <w:vertAlign w:val="superscript"/>
    </w:rPr>
  </w:style>
  <w:style w:type="paragraph" w:styleId="NormalWeb">
    <w:name w:val="Normal (Web)"/>
    <w:basedOn w:val="Normal"/>
    <w:uiPriority w:val="99"/>
    <w:unhideWhenUsed/>
    <w:rsid w:val="001D7757"/>
    <w:pPr>
      <w:spacing w:before="100" w:beforeAutospacing="1" w:after="100" w:afterAutospacing="1"/>
    </w:pPr>
    <w:rPr>
      <w:rFonts w:ascii="Times New Roman" w:eastAsia="Times New Roman" w:hAnsi="Times New Roman" w:cs="Times New Roman"/>
      <w:kern w:val="0"/>
      <w:lang w:val="en-ID" w:eastAsia="en-ID"/>
      <w14:ligatures w14:val="none"/>
    </w:rPr>
  </w:style>
  <w:style w:type="character" w:customStyle="1" w:styleId="line-clamp-1">
    <w:name w:val="line-clamp-1"/>
    <w:basedOn w:val="DefaultParagraphFont"/>
    <w:rsid w:val="001D7757"/>
  </w:style>
  <w:style w:type="character" w:styleId="Hyperlink">
    <w:name w:val="Hyperlink"/>
    <w:basedOn w:val="DefaultParagraphFont"/>
    <w:uiPriority w:val="99"/>
    <w:unhideWhenUsed/>
    <w:rsid w:val="00CF51D7"/>
    <w:rPr>
      <w:color w:val="467886" w:themeColor="hyperlink"/>
      <w:u w:val="single"/>
    </w:rPr>
  </w:style>
  <w:style w:type="character" w:styleId="UnresolvedMention">
    <w:name w:val="Unresolved Mention"/>
    <w:basedOn w:val="DefaultParagraphFont"/>
    <w:uiPriority w:val="99"/>
    <w:semiHidden/>
    <w:unhideWhenUsed/>
    <w:rsid w:val="00CF5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0897">
      <w:bodyDiv w:val="1"/>
      <w:marLeft w:val="0"/>
      <w:marRight w:val="0"/>
      <w:marTop w:val="0"/>
      <w:marBottom w:val="0"/>
      <w:divBdr>
        <w:top w:val="none" w:sz="0" w:space="0" w:color="auto"/>
        <w:left w:val="none" w:sz="0" w:space="0" w:color="auto"/>
        <w:bottom w:val="none" w:sz="0" w:space="0" w:color="auto"/>
        <w:right w:val="none" w:sz="0" w:space="0" w:color="auto"/>
      </w:divBdr>
      <w:divsChild>
        <w:div w:id="48194214">
          <w:marLeft w:val="0"/>
          <w:marRight w:val="0"/>
          <w:marTop w:val="0"/>
          <w:marBottom w:val="0"/>
          <w:divBdr>
            <w:top w:val="none" w:sz="0" w:space="0" w:color="auto"/>
            <w:left w:val="none" w:sz="0" w:space="0" w:color="auto"/>
            <w:bottom w:val="none" w:sz="0" w:space="0" w:color="auto"/>
            <w:right w:val="none" w:sz="0" w:space="0" w:color="auto"/>
          </w:divBdr>
          <w:divsChild>
            <w:div w:id="1502047129">
              <w:marLeft w:val="0"/>
              <w:marRight w:val="0"/>
              <w:marTop w:val="0"/>
              <w:marBottom w:val="0"/>
              <w:divBdr>
                <w:top w:val="none" w:sz="0" w:space="0" w:color="auto"/>
                <w:left w:val="none" w:sz="0" w:space="0" w:color="auto"/>
                <w:bottom w:val="none" w:sz="0" w:space="0" w:color="auto"/>
                <w:right w:val="none" w:sz="0" w:space="0" w:color="auto"/>
              </w:divBdr>
              <w:divsChild>
                <w:div w:id="1079328811">
                  <w:marLeft w:val="0"/>
                  <w:marRight w:val="0"/>
                  <w:marTop w:val="0"/>
                  <w:marBottom w:val="0"/>
                  <w:divBdr>
                    <w:top w:val="none" w:sz="0" w:space="0" w:color="auto"/>
                    <w:left w:val="none" w:sz="0" w:space="0" w:color="auto"/>
                    <w:bottom w:val="none" w:sz="0" w:space="0" w:color="auto"/>
                    <w:right w:val="none" w:sz="0" w:space="0" w:color="auto"/>
                  </w:divBdr>
                  <w:divsChild>
                    <w:div w:id="16229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45655">
          <w:marLeft w:val="0"/>
          <w:marRight w:val="0"/>
          <w:marTop w:val="0"/>
          <w:marBottom w:val="0"/>
          <w:divBdr>
            <w:top w:val="none" w:sz="0" w:space="0" w:color="auto"/>
            <w:left w:val="none" w:sz="0" w:space="0" w:color="auto"/>
            <w:bottom w:val="none" w:sz="0" w:space="0" w:color="auto"/>
            <w:right w:val="none" w:sz="0" w:space="0" w:color="auto"/>
          </w:divBdr>
          <w:divsChild>
            <w:div w:id="1334256986">
              <w:marLeft w:val="0"/>
              <w:marRight w:val="0"/>
              <w:marTop w:val="0"/>
              <w:marBottom w:val="0"/>
              <w:divBdr>
                <w:top w:val="none" w:sz="0" w:space="0" w:color="auto"/>
                <w:left w:val="none" w:sz="0" w:space="0" w:color="auto"/>
                <w:bottom w:val="none" w:sz="0" w:space="0" w:color="auto"/>
                <w:right w:val="none" w:sz="0" w:space="0" w:color="auto"/>
              </w:divBdr>
              <w:divsChild>
                <w:div w:id="1442412351">
                  <w:marLeft w:val="0"/>
                  <w:marRight w:val="0"/>
                  <w:marTop w:val="0"/>
                  <w:marBottom w:val="0"/>
                  <w:divBdr>
                    <w:top w:val="none" w:sz="0" w:space="0" w:color="auto"/>
                    <w:left w:val="none" w:sz="0" w:space="0" w:color="auto"/>
                    <w:bottom w:val="none" w:sz="0" w:space="0" w:color="auto"/>
                    <w:right w:val="none" w:sz="0" w:space="0" w:color="auto"/>
                  </w:divBdr>
                  <w:divsChild>
                    <w:div w:id="8034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227536">
      <w:bodyDiv w:val="1"/>
      <w:marLeft w:val="0"/>
      <w:marRight w:val="0"/>
      <w:marTop w:val="0"/>
      <w:marBottom w:val="0"/>
      <w:divBdr>
        <w:top w:val="none" w:sz="0" w:space="0" w:color="auto"/>
        <w:left w:val="none" w:sz="0" w:space="0" w:color="auto"/>
        <w:bottom w:val="none" w:sz="0" w:space="0" w:color="auto"/>
        <w:right w:val="none" w:sz="0" w:space="0" w:color="auto"/>
      </w:divBdr>
      <w:divsChild>
        <w:div w:id="851258940">
          <w:marLeft w:val="0"/>
          <w:marRight w:val="0"/>
          <w:marTop w:val="0"/>
          <w:marBottom w:val="0"/>
          <w:divBdr>
            <w:top w:val="none" w:sz="0" w:space="0" w:color="auto"/>
            <w:left w:val="none" w:sz="0" w:space="0" w:color="auto"/>
            <w:bottom w:val="none" w:sz="0" w:space="0" w:color="auto"/>
            <w:right w:val="none" w:sz="0" w:space="0" w:color="auto"/>
          </w:divBdr>
        </w:div>
        <w:div w:id="1277054657">
          <w:marLeft w:val="0"/>
          <w:marRight w:val="0"/>
          <w:marTop w:val="0"/>
          <w:marBottom w:val="0"/>
          <w:divBdr>
            <w:top w:val="none" w:sz="0" w:space="0" w:color="auto"/>
            <w:left w:val="none" w:sz="0" w:space="0" w:color="auto"/>
            <w:bottom w:val="none" w:sz="0" w:space="0" w:color="auto"/>
            <w:right w:val="none" w:sz="0" w:space="0" w:color="auto"/>
          </w:divBdr>
        </w:div>
        <w:div w:id="1944337817">
          <w:marLeft w:val="0"/>
          <w:marRight w:val="0"/>
          <w:marTop w:val="0"/>
          <w:marBottom w:val="0"/>
          <w:divBdr>
            <w:top w:val="none" w:sz="0" w:space="0" w:color="auto"/>
            <w:left w:val="none" w:sz="0" w:space="0" w:color="auto"/>
            <w:bottom w:val="none" w:sz="0" w:space="0" w:color="auto"/>
            <w:right w:val="none" w:sz="0" w:space="0" w:color="auto"/>
          </w:divBdr>
        </w:div>
        <w:div w:id="803886384">
          <w:marLeft w:val="0"/>
          <w:marRight w:val="0"/>
          <w:marTop w:val="0"/>
          <w:marBottom w:val="0"/>
          <w:divBdr>
            <w:top w:val="none" w:sz="0" w:space="0" w:color="auto"/>
            <w:left w:val="none" w:sz="0" w:space="0" w:color="auto"/>
            <w:bottom w:val="none" w:sz="0" w:space="0" w:color="auto"/>
            <w:right w:val="none" w:sz="0" w:space="0" w:color="auto"/>
          </w:divBdr>
        </w:div>
        <w:div w:id="798717671">
          <w:marLeft w:val="0"/>
          <w:marRight w:val="0"/>
          <w:marTop w:val="0"/>
          <w:marBottom w:val="0"/>
          <w:divBdr>
            <w:top w:val="none" w:sz="0" w:space="0" w:color="auto"/>
            <w:left w:val="none" w:sz="0" w:space="0" w:color="auto"/>
            <w:bottom w:val="none" w:sz="0" w:space="0" w:color="auto"/>
            <w:right w:val="none" w:sz="0" w:space="0" w:color="auto"/>
          </w:divBdr>
        </w:div>
        <w:div w:id="526333577">
          <w:marLeft w:val="0"/>
          <w:marRight w:val="0"/>
          <w:marTop w:val="0"/>
          <w:marBottom w:val="0"/>
          <w:divBdr>
            <w:top w:val="none" w:sz="0" w:space="0" w:color="auto"/>
            <w:left w:val="none" w:sz="0" w:space="0" w:color="auto"/>
            <w:bottom w:val="none" w:sz="0" w:space="0" w:color="auto"/>
            <w:right w:val="none" w:sz="0" w:space="0" w:color="auto"/>
          </w:divBdr>
        </w:div>
        <w:div w:id="1241064509">
          <w:marLeft w:val="0"/>
          <w:marRight w:val="0"/>
          <w:marTop w:val="0"/>
          <w:marBottom w:val="0"/>
          <w:divBdr>
            <w:top w:val="none" w:sz="0" w:space="0" w:color="auto"/>
            <w:left w:val="none" w:sz="0" w:space="0" w:color="auto"/>
            <w:bottom w:val="none" w:sz="0" w:space="0" w:color="auto"/>
            <w:right w:val="none" w:sz="0" w:space="0" w:color="auto"/>
          </w:divBdr>
        </w:div>
        <w:div w:id="1333874671">
          <w:marLeft w:val="0"/>
          <w:marRight w:val="0"/>
          <w:marTop w:val="0"/>
          <w:marBottom w:val="0"/>
          <w:divBdr>
            <w:top w:val="none" w:sz="0" w:space="0" w:color="auto"/>
            <w:left w:val="none" w:sz="0" w:space="0" w:color="auto"/>
            <w:bottom w:val="none" w:sz="0" w:space="0" w:color="auto"/>
            <w:right w:val="none" w:sz="0" w:space="0" w:color="auto"/>
          </w:divBdr>
        </w:div>
        <w:div w:id="474184935">
          <w:marLeft w:val="0"/>
          <w:marRight w:val="0"/>
          <w:marTop w:val="0"/>
          <w:marBottom w:val="0"/>
          <w:divBdr>
            <w:top w:val="none" w:sz="0" w:space="0" w:color="auto"/>
            <w:left w:val="none" w:sz="0" w:space="0" w:color="auto"/>
            <w:bottom w:val="none" w:sz="0" w:space="0" w:color="auto"/>
            <w:right w:val="none" w:sz="0" w:space="0" w:color="auto"/>
          </w:divBdr>
        </w:div>
        <w:div w:id="1460223206">
          <w:marLeft w:val="0"/>
          <w:marRight w:val="0"/>
          <w:marTop w:val="0"/>
          <w:marBottom w:val="0"/>
          <w:divBdr>
            <w:top w:val="none" w:sz="0" w:space="0" w:color="auto"/>
            <w:left w:val="none" w:sz="0" w:space="0" w:color="auto"/>
            <w:bottom w:val="none" w:sz="0" w:space="0" w:color="auto"/>
            <w:right w:val="none" w:sz="0" w:space="0" w:color="auto"/>
          </w:divBdr>
        </w:div>
        <w:div w:id="1399863512">
          <w:marLeft w:val="0"/>
          <w:marRight w:val="0"/>
          <w:marTop w:val="0"/>
          <w:marBottom w:val="0"/>
          <w:divBdr>
            <w:top w:val="none" w:sz="0" w:space="0" w:color="auto"/>
            <w:left w:val="none" w:sz="0" w:space="0" w:color="auto"/>
            <w:bottom w:val="none" w:sz="0" w:space="0" w:color="auto"/>
            <w:right w:val="none" w:sz="0" w:space="0" w:color="auto"/>
          </w:divBdr>
        </w:div>
        <w:div w:id="1228759906">
          <w:marLeft w:val="0"/>
          <w:marRight w:val="0"/>
          <w:marTop w:val="0"/>
          <w:marBottom w:val="0"/>
          <w:divBdr>
            <w:top w:val="none" w:sz="0" w:space="0" w:color="auto"/>
            <w:left w:val="none" w:sz="0" w:space="0" w:color="auto"/>
            <w:bottom w:val="none" w:sz="0" w:space="0" w:color="auto"/>
            <w:right w:val="none" w:sz="0" w:space="0" w:color="auto"/>
          </w:divBdr>
        </w:div>
        <w:div w:id="1548955545">
          <w:marLeft w:val="0"/>
          <w:marRight w:val="0"/>
          <w:marTop w:val="0"/>
          <w:marBottom w:val="0"/>
          <w:divBdr>
            <w:top w:val="none" w:sz="0" w:space="0" w:color="auto"/>
            <w:left w:val="none" w:sz="0" w:space="0" w:color="auto"/>
            <w:bottom w:val="none" w:sz="0" w:space="0" w:color="auto"/>
            <w:right w:val="none" w:sz="0" w:space="0" w:color="auto"/>
          </w:divBdr>
        </w:div>
        <w:div w:id="530918070">
          <w:marLeft w:val="0"/>
          <w:marRight w:val="0"/>
          <w:marTop w:val="0"/>
          <w:marBottom w:val="0"/>
          <w:divBdr>
            <w:top w:val="none" w:sz="0" w:space="0" w:color="auto"/>
            <w:left w:val="none" w:sz="0" w:space="0" w:color="auto"/>
            <w:bottom w:val="none" w:sz="0" w:space="0" w:color="auto"/>
            <w:right w:val="none" w:sz="0" w:space="0" w:color="auto"/>
          </w:divBdr>
        </w:div>
      </w:divsChild>
    </w:div>
    <w:div w:id="781924904">
      <w:bodyDiv w:val="1"/>
      <w:marLeft w:val="0"/>
      <w:marRight w:val="0"/>
      <w:marTop w:val="0"/>
      <w:marBottom w:val="0"/>
      <w:divBdr>
        <w:top w:val="none" w:sz="0" w:space="0" w:color="auto"/>
        <w:left w:val="none" w:sz="0" w:space="0" w:color="auto"/>
        <w:bottom w:val="none" w:sz="0" w:space="0" w:color="auto"/>
        <w:right w:val="none" w:sz="0" w:space="0" w:color="auto"/>
      </w:divBdr>
    </w:div>
    <w:div w:id="1207107800">
      <w:bodyDiv w:val="1"/>
      <w:marLeft w:val="0"/>
      <w:marRight w:val="0"/>
      <w:marTop w:val="0"/>
      <w:marBottom w:val="0"/>
      <w:divBdr>
        <w:top w:val="none" w:sz="0" w:space="0" w:color="auto"/>
        <w:left w:val="none" w:sz="0" w:space="0" w:color="auto"/>
        <w:bottom w:val="none" w:sz="0" w:space="0" w:color="auto"/>
        <w:right w:val="none" w:sz="0" w:space="0" w:color="auto"/>
      </w:divBdr>
      <w:divsChild>
        <w:div w:id="244388399">
          <w:marLeft w:val="0"/>
          <w:marRight w:val="0"/>
          <w:marTop w:val="0"/>
          <w:marBottom w:val="0"/>
          <w:divBdr>
            <w:top w:val="none" w:sz="0" w:space="0" w:color="auto"/>
            <w:left w:val="none" w:sz="0" w:space="0" w:color="auto"/>
            <w:bottom w:val="none" w:sz="0" w:space="0" w:color="auto"/>
            <w:right w:val="none" w:sz="0" w:space="0" w:color="auto"/>
          </w:divBdr>
          <w:divsChild>
            <w:div w:id="57097878">
              <w:marLeft w:val="0"/>
              <w:marRight w:val="0"/>
              <w:marTop w:val="0"/>
              <w:marBottom w:val="0"/>
              <w:divBdr>
                <w:top w:val="none" w:sz="0" w:space="0" w:color="auto"/>
                <w:left w:val="none" w:sz="0" w:space="0" w:color="auto"/>
                <w:bottom w:val="none" w:sz="0" w:space="0" w:color="auto"/>
                <w:right w:val="none" w:sz="0" w:space="0" w:color="auto"/>
              </w:divBdr>
              <w:divsChild>
                <w:div w:id="1898930363">
                  <w:marLeft w:val="0"/>
                  <w:marRight w:val="0"/>
                  <w:marTop w:val="0"/>
                  <w:marBottom w:val="0"/>
                  <w:divBdr>
                    <w:top w:val="none" w:sz="0" w:space="0" w:color="auto"/>
                    <w:left w:val="none" w:sz="0" w:space="0" w:color="auto"/>
                    <w:bottom w:val="none" w:sz="0" w:space="0" w:color="auto"/>
                    <w:right w:val="none" w:sz="0" w:space="0" w:color="auto"/>
                  </w:divBdr>
                  <w:divsChild>
                    <w:div w:id="21407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4589">
          <w:marLeft w:val="0"/>
          <w:marRight w:val="0"/>
          <w:marTop w:val="0"/>
          <w:marBottom w:val="0"/>
          <w:divBdr>
            <w:top w:val="none" w:sz="0" w:space="0" w:color="auto"/>
            <w:left w:val="none" w:sz="0" w:space="0" w:color="auto"/>
            <w:bottom w:val="none" w:sz="0" w:space="0" w:color="auto"/>
            <w:right w:val="none" w:sz="0" w:space="0" w:color="auto"/>
          </w:divBdr>
          <w:divsChild>
            <w:div w:id="2145387804">
              <w:marLeft w:val="0"/>
              <w:marRight w:val="0"/>
              <w:marTop w:val="0"/>
              <w:marBottom w:val="0"/>
              <w:divBdr>
                <w:top w:val="none" w:sz="0" w:space="0" w:color="auto"/>
                <w:left w:val="none" w:sz="0" w:space="0" w:color="auto"/>
                <w:bottom w:val="none" w:sz="0" w:space="0" w:color="auto"/>
                <w:right w:val="none" w:sz="0" w:space="0" w:color="auto"/>
              </w:divBdr>
              <w:divsChild>
                <w:div w:id="1092974614">
                  <w:marLeft w:val="0"/>
                  <w:marRight w:val="0"/>
                  <w:marTop w:val="0"/>
                  <w:marBottom w:val="0"/>
                  <w:divBdr>
                    <w:top w:val="none" w:sz="0" w:space="0" w:color="auto"/>
                    <w:left w:val="none" w:sz="0" w:space="0" w:color="auto"/>
                    <w:bottom w:val="none" w:sz="0" w:space="0" w:color="auto"/>
                    <w:right w:val="none" w:sz="0" w:space="0" w:color="auto"/>
                  </w:divBdr>
                  <w:divsChild>
                    <w:div w:id="8968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98917">
      <w:bodyDiv w:val="1"/>
      <w:marLeft w:val="0"/>
      <w:marRight w:val="0"/>
      <w:marTop w:val="0"/>
      <w:marBottom w:val="0"/>
      <w:divBdr>
        <w:top w:val="none" w:sz="0" w:space="0" w:color="auto"/>
        <w:left w:val="none" w:sz="0" w:space="0" w:color="auto"/>
        <w:bottom w:val="none" w:sz="0" w:space="0" w:color="auto"/>
        <w:right w:val="none" w:sz="0" w:space="0" w:color="auto"/>
      </w:divBdr>
      <w:divsChild>
        <w:div w:id="143278278">
          <w:marLeft w:val="0"/>
          <w:marRight w:val="0"/>
          <w:marTop w:val="0"/>
          <w:marBottom w:val="0"/>
          <w:divBdr>
            <w:top w:val="none" w:sz="0" w:space="0" w:color="auto"/>
            <w:left w:val="none" w:sz="0" w:space="0" w:color="auto"/>
            <w:bottom w:val="none" w:sz="0" w:space="0" w:color="auto"/>
            <w:right w:val="none" w:sz="0" w:space="0" w:color="auto"/>
          </w:divBdr>
        </w:div>
        <w:div w:id="343635980">
          <w:marLeft w:val="0"/>
          <w:marRight w:val="0"/>
          <w:marTop w:val="0"/>
          <w:marBottom w:val="0"/>
          <w:divBdr>
            <w:top w:val="none" w:sz="0" w:space="0" w:color="auto"/>
            <w:left w:val="none" w:sz="0" w:space="0" w:color="auto"/>
            <w:bottom w:val="none" w:sz="0" w:space="0" w:color="auto"/>
            <w:right w:val="none" w:sz="0" w:space="0" w:color="auto"/>
          </w:divBdr>
        </w:div>
        <w:div w:id="5898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sulistyani1692@students.unnes.ac.id" TargetMode="External"/><Relationship Id="rId2" Type="http://schemas.openxmlformats.org/officeDocument/2006/relationships/hyperlink" Target="mailto:bagaseka517@students.unnes.ac.id" TargetMode="External"/><Relationship Id="rId1" Type="http://schemas.openxmlformats.org/officeDocument/2006/relationships/hyperlink" Target="mailto:shabrinaaribbyleone@students.unnes.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C821-DE8A-482F-B3B1-B1BB3D9F8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5609</Words>
  <Characters>31976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Nurpratiwi</dc:creator>
  <cp:keywords/>
  <dc:description/>
  <cp:lastModifiedBy>Dafina Pramuditya</cp:lastModifiedBy>
  <cp:revision>3</cp:revision>
  <dcterms:created xsi:type="dcterms:W3CDTF">2025-11-26T07:13:00Z</dcterms:created>
  <dcterms:modified xsi:type="dcterms:W3CDTF">2025-12-03T08:37:00Z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a05c08f5-9bd5-4fcd-866e-ba9e29bfea3f</vt:lpwstr>
  </property>
</Properties>
</file>