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C2D94" w14:textId="6CCE448D" w:rsidR="007C38D2" w:rsidRPr="00DF69DF" w:rsidRDefault="004B0E39" w:rsidP="00A926F2">
      <w:pPr>
        <w:spacing w:after="0" w:line="240" w:lineRule="auto"/>
        <w:ind w:right="9"/>
        <w:rPr>
          <w:rFonts w:ascii="Cambria" w:hAnsi="Cambria" w:cs="Times New Roman"/>
          <w:b/>
          <w:sz w:val="40"/>
          <w:szCs w:val="40"/>
        </w:rPr>
      </w:pPr>
      <w:bookmarkStart w:id="0" w:name="_Hlk8592257"/>
      <w:r>
        <w:rPr>
          <w:noProof/>
        </w:rPr>
        <w:drawing>
          <wp:anchor distT="0" distB="0" distL="114300" distR="114300" simplePos="0" relativeHeight="251678720" behindDoc="0" locked="0" layoutInCell="1" allowOverlap="1" wp14:anchorId="584E1608" wp14:editId="4028CE62">
            <wp:simplePos x="0" y="0"/>
            <wp:positionH relativeFrom="margin">
              <wp:align>center</wp:align>
            </wp:positionH>
            <wp:positionV relativeFrom="paragraph">
              <wp:posOffset>-1076960</wp:posOffset>
            </wp:positionV>
            <wp:extent cx="7572432" cy="1690577"/>
            <wp:effectExtent l="0" t="0" r="0" b="5080"/>
            <wp:wrapNone/>
            <wp:docPr id="64" name="Picture 6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2432" cy="16905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7D4E40" w14:textId="0B7D824B" w:rsidR="007C38D2" w:rsidRDefault="007C38D2" w:rsidP="00A926F2">
      <w:pPr>
        <w:spacing w:after="0" w:line="240" w:lineRule="auto"/>
        <w:ind w:right="9"/>
        <w:rPr>
          <w:rFonts w:ascii="Cambria" w:hAnsi="Cambria" w:cs="Times New Roman"/>
          <w:b/>
          <w:sz w:val="40"/>
          <w:szCs w:val="40"/>
        </w:rPr>
      </w:pPr>
    </w:p>
    <w:bookmarkEnd w:id="0"/>
    <w:p w14:paraId="6B6D1DEC" w14:textId="77777777" w:rsidR="005231C1" w:rsidRPr="00183590" w:rsidRDefault="005231C1" w:rsidP="005231C1">
      <w:pPr>
        <w:spacing w:after="0" w:line="276" w:lineRule="auto"/>
        <w:ind w:firstLine="720"/>
        <w:jc w:val="both"/>
        <w:rPr>
          <w:rFonts w:ascii="Cambria" w:hAnsi="Cambria" w:cstheme="minorHAnsi"/>
          <w:color w:val="FF0000"/>
          <w:sz w:val="24"/>
          <w:szCs w:val="24"/>
        </w:rPr>
      </w:pPr>
    </w:p>
    <w:p w14:paraId="5421D8D9" w14:textId="77777777" w:rsidR="005231C1" w:rsidRPr="00AE35D7" w:rsidRDefault="005231C1" w:rsidP="005231C1">
      <w:pPr>
        <w:spacing w:after="0" w:line="240" w:lineRule="auto"/>
        <w:ind w:right="9"/>
        <w:rPr>
          <w:rFonts w:ascii="Cambria" w:hAnsi="Cambria" w:cstheme="minorHAnsi"/>
          <w:color w:val="FF0000"/>
          <w:sz w:val="14"/>
          <w:szCs w:val="1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085"/>
      </w:tblGrid>
      <w:tr w:rsidR="005231C1" w:rsidRPr="00AE35D7" w14:paraId="62A3921F" w14:textId="77777777" w:rsidTr="00383883">
        <w:trPr>
          <w:trHeight w:val="2694"/>
        </w:trPr>
        <w:tc>
          <w:tcPr>
            <w:tcW w:w="2410" w:type="dxa"/>
          </w:tcPr>
          <w:p w14:paraId="3188EF40" w14:textId="77777777" w:rsidR="005231C1" w:rsidRPr="00AE35D7" w:rsidRDefault="005231C1" w:rsidP="00383883">
            <w:pPr>
              <w:spacing w:line="240" w:lineRule="auto"/>
              <w:ind w:right="119"/>
              <w:rPr>
                <w:rFonts w:ascii="Cambria" w:hAnsi="Cambria"/>
                <w:b/>
                <w:bCs/>
                <w:noProof/>
                <w:lang w:val="id-ID"/>
              </w:rPr>
            </w:pPr>
          </w:p>
          <w:p w14:paraId="6D4F2BBC" w14:textId="77777777" w:rsidR="005231C1" w:rsidRPr="00AE35D7" w:rsidRDefault="005231C1" w:rsidP="00383883">
            <w:pPr>
              <w:spacing w:line="240" w:lineRule="auto"/>
              <w:ind w:right="119"/>
              <w:rPr>
                <w:rFonts w:ascii="Cambria" w:hAnsi="Cambria"/>
                <w:sz w:val="16"/>
                <w:szCs w:val="16"/>
                <w:lang w:val="id-ID"/>
              </w:rPr>
            </w:pPr>
          </w:p>
          <w:p w14:paraId="114DC210" w14:textId="77777777" w:rsidR="005231C1" w:rsidRPr="00AE35D7" w:rsidRDefault="005231C1" w:rsidP="00383883">
            <w:pPr>
              <w:spacing w:line="240" w:lineRule="auto"/>
              <w:ind w:right="119"/>
              <w:rPr>
                <w:rFonts w:ascii="Cambria" w:hAnsi="Cambria"/>
                <w:sz w:val="16"/>
                <w:szCs w:val="16"/>
                <w:lang w:val="id-ID"/>
              </w:rPr>
            </w:pPr>
          </w:p>
          <w:p w14:paraId="6F1A8F8A" w14:textId="77777777" w:rsidR="005231C1" w:rsidRPr="00AE35D7" w:rsidRDefault="005231C1" w:rsidP="00383883">
            <w:pPr>
              <w:spacing w:line="240" w:lineRule="auto"/>
              <w:ind w:right="119"/>
              <w:rPr>
                <w:rFonts w:ascii="Cambria" w:hAnsi="Cambria"/>
                <w:sz w:val="16"/>
                <w:szCs w:val="16"/>
                <w:lang w:val="id-ID"/>
              </w:rPr>
            </w:pPr>
          </w:p>
          <w:p w14:paraId="69019605" w14:textId="77777777" w:rsidR="005231C1" w:rsidRPr="00AE35D7" w:rsidRDefault="005231C1" w:rsidP="00383883">
            <w:pPr>
              <w:spacing w:line="240" w:lineRule="auto"/>
              <w:ind w:right="119"/>
              <w:rPr>
                <w:rFonts w:ascii="Cambria" w:hAnsi="Cambria"/>
                <w:sz w:val="20"/>
                <w:szCs w:val="20"/>
                <w:lang w:val="id-ID"/>
              </w:rPr>
            </w:pPr>
          </w:p>
        </w:tc>
        <w:tc>
          <w:tcPr>
            <w:tcW w:w="6085" w:type="dxa"/>
          </w:tcPr>
          <w:p w14:paraId="7CE52570" w14:textId="66873A23" w:rsidR="005231C1" w:rsidRPr="00AE35D7" w:rsidRDefault="005231C1" w:rsidP="00383883">
            <w:pPr>
              <w:pStyle w:val="Footer"/>
              <w:jc w:val="both"/>
              <w:rPr>
                <w:rFonts w:ascii="Cambria" w:hAnsi="Cambria"/>
                <w:sz w:val="18"/>
                <w:szCs w:val="18"/>
                <w:lang w:val="id-ID"/>
              </w:rPr>
            </w:pPr>
            <w:r w:rsidRPr="00AE35D7">
              <w:rPr>
                <w:rFonts w:ascii="Cambria" w:hAnsi="Cambria"/>
                <w:b/>
                <w:bCs/>
                <w:noProof/>
                <w:lang w:val="id-ID"/>
              </w:rPr>
              <w:drawing>
                <wp:anchor distT="0" distB="0" distL="114300" distR="114300" simplePos="0" relativeHeight="251680768" behindDoc="0" locked="0" layoutInCell="1" allowOverlap="1" wp14:anchorId="49576051" wp14:editId="3816EB0D">
                  <wp:simplePos x="0" y="0"/>
                  <wp:positionH relativeFrom="column">
                    <wp:posOffset>-64770</wp:posOffset>
                  </wp:positionH>
                  <wp:positionV relativeFrom="paragraph">
                    <wp:posOffset>0</wp:posOffset>
                  </wp:positionV>
                  <wp:extent cx="1026795" cy="1449070"/>
                  <wp:effectExtent l="0" t="0" r="1905"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6795" cy="1449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35D7">
              <w:rPr>
                <w:rFonts w:ascii="Cambria" w:hAnsi="Cambria"/>
                <w:sz w:val="18"/>
                <w:szCs w:val="18"/>
                <w:lang w:val="id-ID"/>
              </w:rPr>
              <w:t xml:space="preserve">ISSN </w:t>
            </w:r>
            <w:r w:rsidR="00023F45">
              <w:fldChar w:fldCharType="begin"/>
            </w:r>
            <w:r w:rsidR="00023F45">
              <w:instrText xml:space="preserve"> HYPERLINK "https://issn.lipi.go.id/terbit/detail/20210614201323938" \t "_blank" </w:instrText>
            </w:r>
            <w:r w:rsidR="00023F45">
              <w:fldChar w:fldCharType="separate"/>
            </w:r>
            <w:r w:rsidRPr="00AE35D7">
              <w:rPr>
                <w:rFonts w:ascii="Cambria" w:hAnsi="Cambria"/>
                <w:color w:val="0070C0"/>
                <w:sz w:val="18"/>
                <w:szCs w:val="18"/>
                <w:lang w:val="id-ID"/>
              </w:rPr>
              <w:t>2797-8508</w:t>
            </w:r>
            <w:r w:rsidR="00023F45">
              <w:rPr>
                <w:rFonts w:ascii="Cambria" w:hAnsi="Cambria"/>
                <w:color w:val="0070C0"/>
                <w:sz w:val="18"/>
                <w:szCs w:val="18"/>
                <w:lang w:val="id-ID"/>
              </w:rPr>
              <w:fldChar w:fldCharType="end"/>
            </w:r>
            <w:r w:rsidRPr="00AE35D7">
              <w:rPr>
                <w:rFonts w:ascii="Cambria" w:hAnsi="Cambria"/>
                <w:sz w:val="18"/>
                <w:szCs w:val="18"/>
                <w:lang w:val="id-ID"/>
              </w:rPr>
              <w:t xml:space="preserve"> (Print)</w:t>
            </w:r>
          </w:p>
          <w:p w14:paraId="7DDA41E7" w14:textId="77777777" w:rsidR="005231C1" w:rsidRPr="00AE35D7" w:rsidRDefault="005231C1" w:rsidP="00383883">
            <w:pPr>
              <w:pStyle w:val="Footer"/>
              <w:jc w:val="both"/>
              <w:rPr>
                <w:rFonts w:ascii="Cambria" w:hAnsi="Cambria"/>
                <w:sz w:val="18"/>
                <w:szCs w:val="18"/>
                <w:lang w:val="id-ID"/>
              </w:rPr>
            </w:pPr>
            <w:r w:rsidRPr="00AE35D7">
              <w:rPr>
                <w:rFonts w:ascii="Cambria" w:hAnsi="Cambria"/>
                <w:sz w:val="18"/>
                <w:szCs w:val="18"/>
                <w:lang w:val="id-ID"/>
              </w:rPr>
              <w:t xml:space="preserve">ISSN </w:t>
            </w:r>
            <w:hyperlink r:id="rId10" w:tgtFrame="_blank" w:history="1">
              <w:r w:rsidRPr="00AE35D7">
                <w:rPr>
                  <w:rFonts w:ascii="Cambria" w:hAnsi="Cambria"/>
                  <w:color w:val="0070C0"/>
                  <w:sz w:val="18"/>
                  <w:szCs w:val="18"/>
                  <w:lang w:val="id-ID"/>
                </w:rPr>
                <w:t>2807-8330</w:t>
              </w:r>
            </w:hyperlink>
            <w:r w:rsidRPr="00AE35D7">
              <w:rPr>
                <w:rFonts w:ascii="Cambria" w:hAnsi="Cambria"/>
                <w:sz w:val="18"/>
                <w:szCs w:val="18"/>
                <w:lang w:val="id-ID"/>
              </w:rPr>
              <w:t xml:space="preserve"> (Online)</w:t>
            </w:r>
          </w:p>
          <w:p w14:paraId="391F43D0" w14:textId="77777777" w:rsidR="005231C1" w:rsidRPr="001669E0" w:rsidRDefault="005231C1" w:rsidP="00383883">
            <w:pPr>
              <w:spacing w:line="240" w:lineRule="auto"/>
              <w:ind w:right="9"/>
              <w:rPr>
                <w:rFonts w:ascii="Cambria" w:hAnsi="Cambria" w:cstheme="minorHAnsi"/>
                <w:b/>
                <w:bCs/>
                <w:sz w:val="28"/>
                <w:szCs w:val="28"/>
              </w:rPr>
            </w:pPr>
            <w:r w:rsidRPr="00955725">
              <w:rPr>
                <w:rFonts w:ascii="Cambria" w:hAnsi="Cambria" w:cstheme="minorHAnsi"/>
                <w:b/>
                <w:bCs/>
                <w:sz w:val="28"/>
                <w:szCs w:val="28"/>
              </w:rPr>
              <w:t xml:space="preserve">VOL. </w:t>
            </w:r>
            <w:r>
              <w:rPr>
                <w:rFonts w:ascii="Cambria" w:hAnsi="Cambria" w:cstheme="minorHAnsi"/>
                <w:b/>
                <w:bCs/>
                <w:sz w:val="28"/>
                <w:szCs w:val="28"/>
              </w:rPr>
              <w:t>6</w:t>
            </w:r>
            <w:r w:rsidRPr="00955725">
              <w:rPr>
                <w:rFonts w:ascii="Cambria" w:hAnsi="Cambria" w:cstheme="minorHAnsi"/>
                <w:b/>
                <w:bCs/>
                <w:sz w:val="28"/>
                <w:szCs w:val="28"/>
              </w:rPr>
              <w:t xml:space="preserve"> NO. 1, JAN-JUNE (202</w:t>
            </w:r>
            <w:r>
              <w:rPr>
                <w:rFonts w:ascii="Cambria" w:hAnsi="Cambria" w:cstheme="minorHAnsi"/>
                <w:b/>
                <w:bCs/>
                <w:sz w:val="28"/>
                <w:szCs w:val="28"/>
              </w:rPr>
              <w:t>6</w:t>
            </w:r>
            <w:r w:rsidRPr="00955725">
              <w:rPr>
                <w:rFonts w:ascii="Cambria" w:hAnsi="Cambria" w:cstheme="minorHAnsi"/>
                <w:b/>
                <w:bCs/>
                <w:sz w:val="28"/>
                <w:szCs w:val="28"/>
              </w:rPr>
              <w:t>)</w:t>
            </w:r>
          </w:p>
          <w:p w14:paraId="7F795701" w14:textId="77777777" w:rsidR="005231C1" w:rsidRPr="00AE35D7" w:rsidRDefault="005231C1" w:rsidP="00383883">
            <w:pPr>
              <w:pStyle w:val="Footer"/>
              <w:jc w:val="both"/>
              <w:rPr>
                <w:rFonts w:ascii="Cambria" w:hAnsi="Cambria"/>
                <w:b/>
                <w:bCs/>
                <w:sz w:val="16"/>
                <w:szCs w:val="16"/>
                <w:lang w:val="id-ID"/>
              </w:rPr>
            </w:pPr>
          </w:p>
          <w:p w14:paraId="6D0BB666" w14:textId="77777777" w:rsidR="005231C1" w:rsidRPr="00AE35D7" w:rsidRDefault="005231C1" w:rsidP="00383883">
            <w:pPr>
              <w:pStyle w:val="Footer"/>
              <w:jc w:val="both"/>
              <w:rPr>
                <w:rFonts w:ascii="Cambria" w:hAnsi="Cambria"/>
                <w:b/>
                <w:bCs/>
                <w:sz w:val="16"/>
                <w:szCs w:val="16"/>
                <w:lang w:val="id-ID"/>
              </w:rPr>
            </w:pPr>
            <w:r w:rsidRPr="00AE35D7">
              <w:rPr>
                <w:rFonts w:ascii="Cambria" w:hAnsi="Cambria"/>
                <w:b/>
                <w:bCs/>
                <w:sz w:val="16"/>
                <w:szCs w:val="16"/>
                <w:lang w:val="id-ID"/>
              </w:rPr>
              <w:t>Riwayat Artikel</w:t>
            </w:r>
          </w:p>
          <w:p w14:paraId="75615CC4" w14:textId="77777777" w:rsidR="005231C1" w:rsidRPr="00AE35D7" w:rsidRDefault="005231C1" w:rsidP="00383883">
            <w:pPr>
              <w:pStyle w:val="Footer"/>
              <w:jc w:val="both"/>
              <w:rPr>
                <w:rFonts w:ascii="Cambria" w:hAnsi="Cambria"/>
                <w:i/>
                <w:iCs/>
                <w:sz w:val="12"/>
                <w:szCs w:val="12"/>
                <w:lang w:val="id-ID"/>
              </w:rPr>
            </w:pPr>
            <w:r w:rsidRPr="00AE35D7">
              <w:rPr>
                <w:rFonts w:ascii="Cambria" w:hAnsi="Cambria"/>
                <w:i/>
                <w:iCs/>
                <w:sz w:val="12"/>
                <w:szCs w:val="12"/>
                <w:lang w:val="id-ID"/>
              </w:rPr>
              <w:t>History of Article</w:t>
            </w:r>
          </w:p>
          <w:p w14:paraId="3330B2D4" w14:textId="77777777" w:rsidR="005231C1" w:rsidRPr="00AE35D7" w:rsidRDefault="005231C1" w:rsidP="00383883">
            <w:pPr>
              <w:pStyle w:val="Footer"/>
              <w:jc w:val="both"/>
              <w:rPr>
                <w:rFonts w:ascii="Cambria" w:hAnsi="Cambria"/>
                <w:sz w:val="16"/>
                <w:szCs w:val="16"/>
                <w:lang w:val="id-ID"/>
              </w:rPr>
            </w:pPr>
            <w:r w:rsidRPr="00AE35D7">
              <w:rPr>
                <w:rFonts w:ascii="Cambria" w:hAnsi="Cambria"/>
                <w:sz w:val="16"/>
                <w:szCs w:val="16"/>
                <w:lang w:val="id-ID"/>
              </w:rPr>
              <w:t xml:space="preserve">Diajukan: </w:t>
            </w:r>
            <w:r>
              <w:rPr>
                <w:rFonts w:ascii="Cambria" w:hAnsi="Cambria"/>
                <w:sz w:val="16"/>
                <w:szCs w:val="16"/>
                <w:lang w:val="id-ID"/>
              </w:rPr>
              <w:t>30</w:t>
            </w:r>
            <w:r w:rsidRPr="00AE35D7">
              <w:rPr>
                <w:rFonts w:ascii="Cambria" w:hAnsi="Cambria"/>
                <w:sz w:val="16"/>
                <w:szCs w:val="16"/>
                <w:lang w:val="id-ID"/>
              </w:rPr>
              <w:t xml:space="preserve"> </w:t>
            </w:r>
            <w:r>
              <w:rPr>
                <w:rFonts w:ascii="Cambria" w:hAnsi="Cambria"/>
                <w:sz w:val="16"/>
                <w:szCs w:val="16"/>
                <w:lang w:val="id-ID"/>
              </w:rPr>
              <w:t>April</w:t>
            </w:r>
            <w:r w:rsidRPr="00AE35D7">
              <w:rPr>
                <w:rFonts w:ascii="Cambria" w:hAnsi="Cambria"/>
                <w:sz w:val="16"/>
                <w:szCs w:val="16"/>
                <w:lang w:val="id-ID"/>
              </w:rPr>
              <w:t xml:space="preserve"> 202</w:t>
            </w:r>
            <w:r>
              <w:rPr>
                <w:rFonts w:ascii="Cambria" w:hAnsi="Cambria"/>
                <w:sz w:val="16"/>
                <w:szCs w:val="16"/>
                <w:lang w:val="id-ID"/>
              </w:rPr>
              <w:t>6</w:t>
            </w:r>
          </w:p>
          <w:p w14:paraId="6E4950F2" w14:textId="77777777" w:rsidR="005231C1" w:rsidRPr="00AE35D7" w:rsidRDefault="005231C1" w:rsidP="00383883">
            <w:pPr>
              <w:pStyle w:val="Footer"/>
              <w:jc w:val="both"/>
              <w:rPr>
                <w:rFonts w:ascii="Cambria" w:hAnsi="Cambria"/>
                <w:sz w:val="12"/>
                <w:szCs w:val="12"/>
                <w:lang w:val="id-ID"/>
              </w:rPr>
            </w:pPr>
            <w:r w:rsidRPr="00AE35D7">
              <w:rPr>
                <w:rFonts w:ascii="Cambria" w:hAnsi="Cambria"/>
                <w:i/>
                <w:iCs/>
                <w:sz w:val="12"/>
                <w:szCs w:val="12"/>
                <w:lang w:val="id-ID"/>
              </w:rPr>
              <w:t>Submitted</w:t>
            </w:r>
          </w:p>
          <w:p w14:paraId="0DB33D44" w14:textId="77777777" w:rsidR="005231C1" w:rsidRPr="00AE35D7" w:rsidRDefault="005231C1" w:rsidP="00383883">
            <w:pPr>
              <w:pStyle w:val="Footer"/>
              <w:jc w:val="both"/>
              <w:rPr>
                <w:rFonts w:ascii="Cambria" w:hAnsi="Cambria"/>
                <w:sz w:val="16"/>
                <w:szCs w:val="16"/>
                <w:lang w:val="id-ID"/>
              </w:rPr>
            </w:pPr>
            <w:r w:rsidRPr="00AE35D7">
              <w:rPr>
                <w:rFonts w:ascii="Cambria" w:hAnsi="Cambria"/>
                <w:sz w:val="16"/>
                <w:szCs w:val="16"/>
                <w:lang w:val="id-ID"/>
              </w:rPr>
              <w:t xml:space="preserve">Direvisi: </w:t>
            </w:r>
            <w:r>
              <w:rPr>
                <w:rFonts w:ascii="Cambria" w:hAnsi="Cambria"/>
                <w:sz w:val="16"/>
                <w:szCs w:val="16"/>
                <w:lang w:val="id-ID"/>
              </w:rPr>
              <w:t>24</w:t>
            </w:r>
            <w:r w:rsidRPr="00AE35D7">
              <w:rPr>
                <w:rFonts w:ascii="Cambria" w:hAnsi="Cambria"/>
                <w:sz w:val="16"/>
                <w:szCs w:val="16"/>
                <w:lang w:val="id-ID"/>
              </w:rPr>
              <w:t xml:space="preserve"> </w:t>
            </w:r>
            <w:r>
              <w:rPr>
                <w:rFonts w:ascii="Cambria" w:hAnsi="Cambria"/>
                <w:sz w:val="16"/>
                <w:szCs w:val="16"/>
                <w:lang w:val="id-ID"/>
              </w:rPr>
              <w:t>Mei</w:t>
            </w:r>
            <w:r w:rsidRPr="00AE35D7">
              <w:rPr>
                <w:rFonts w:ascii="Cambria" w:hAnsi="Cambria"/>
                <w:sz w:val="16"/>
                <w:szCs w:val="16"/>
                <w:lang w:val="id-ID"/>
              </w:rPr>
              <w:t xml:space="preserve"> 202</w:t>
            </w:r>
            <w:r>
              <w:rPr>
                <w:rFonts w:ascii="Cambria" w:hAnsi="Cambria"/>
                <w:sz w:val="16"/>
                <w:szCs w:val="16"/>
                <w:lang w:val="id-ID"/>
              </w:rPr>
              <w:t>6</w:t>
            </w:r>
          </w:p>
          <w:p w14:paraId="30421C2A" w14:textId="77777777" w:rsidR="005231C1" w:rsidRPr="00AE35D7" w:rsidRDefault="005231C1" w:rsidP="00383883">
            <w:pPr>
              <w:pStyle w:val="Footer"/>
              <w:jc w:val="both"/>
              <w:rPr>
                <w:rFonts w:ascii="Cambria" w:hAnsi="Cambria"/>
                <w:sz w:val="12"/>
                <w:szCs w:val="12"/>
                <w:lang w:val="id-ID"/>
              </w:rPr>
            </w:pPr>
            <w:r w:rsidRPr="00AE35D7">
              <w:rPr>
                <w:rFonts w:ascii="Cambria" w:hAnsi="Cambria"/>
                <w:i/>
                <w:iCs/>
                <w:sz w:val="12"/>
                <w:szCs w:val="12"/>
                <w:lang w:val="id-ID"/>
              </w:rPr>
              <w:t>Revised</w:t>
            </w:r>
          </w:p>
          <w:p w14:paraId="733F5584" w14:textId="77777777" w:rsidR="005231C1" w:rsidRPr="00AE35D7" w:rsidRDefault="005231C1" w:rsidP="00383883">
            <w:pPr>
              <w:pStyle w:val="Footer"/>
              <w:jc w:val="both"/>
              <w:rPr>
                <w:rFonts w:ascii="Cambria" w:hAnsi="Cambria"/>
                <w:sz w:val="16"/>
                <w:szCs w:val="16"/>
                <w:lang w:val="id-ID"/>
              </w:rPr>
            </w:pPr>
            <w:r w:rsidRPr="00AE35D7">
              <w:rPr>
                <w:rFonts w:ascii="Cambria" w:hAnsi="Cambria"/>
                <w:sz w:val="16"/>
                <w:szCs w:val="16"/>
                <w:lang w:val="id-ID"/>
              </w:rPr>
              <w:t xml:space="preserve">Diterima: </w:t>
            </w:r>
            <w:r>
              <w:rPr>
                <w:rFonts w:ascii="Cambria" w:hAnsi="Cambria"/>
                <w:sz w:val="16"/>
                <w:szCs w:val="16"/>
                <w:lang w:val="id-ID"/>
              </w:rPr>
              <w:t>10</w:t>
            </w:r>
            <w:r w:rsidRPr="00AE35D7">
              <w:rPr>
                <w:rFonts w:ascii="Cambria" w:hAnsi="Cambria"/>
                <w:sz w:val="16"/>
                <w:szCs w:val="16"/>
                <w:lang w:val="id-ID"/>
              </w:rPr>
              <w:t xml:space="preserve"> </w:t>
            </w:r>
            <w:r>
              <w:rPr>
                <w:rFonts w:ascii="Cambria" w:hAnsi="Cambria"/>
                <w:sz w:val="16"/>
                <w:szCs w:val="16"/>
                <w:lang w:val="id-ID"/>
              </w:rPr>
              <w:t>Juni</w:t>
            </w:r>
            <w:r w:rsidRPr="00AE35D7">
              <w:rPr>
                <w:rFonts w:ascii="Cambria" w:hAnsi="Cambria"/>
                <w:sz w:val="16"/>
                <w:szCs w:val="16"/>
                <w:lang w:val="id-ID"/>
              </w:rPr>
              <w:t xml:space="preserve"> 202</w:t>
            </w:r>
            <w:r>
              <w:rPr>
                <w:rFonts w:ascii="Cambria" w:hAnsi="Cambria"/>
                <w:sz w:val="16"/>
                <w:szCs w:val="16"/>
                <w:lang w:val="id-ID"/>
              </w:rPr>
              <w:t>6</w:t>
            </w:r>
          </w:p>
          <w:p w14:paraId="5FC0961F" w14:textId="77777777" w:rsidR="005231C1" w:rsidRPr="00AE35D7" w:rsidRDefault="005231C1" w:rsidP="00383883">
            <w:pPr>
              <w:pStyle w:val="Footer"/>
              <w:jc w:val="both"/>
              <w:rPr>
                <w:rFonts w:ascii="Cambria" w:hAnsi="Cambria"/>
                <w:sz w:val="12"/>
                <w:szCs w:val="12"/>
                <w:lang w:val="id-ID"/>
              </w:rPr>
            </w:pPr>
            <w:r w:rsidRPr="00AE35D7">
              <w:rPr>
                <w:rFonts w:ascii="Cambria" w:hAnsi="Cambria"/>
                <w:i/>
                <w:iCs/>
                <w:sz w:val="12"/>
                <w:szCs w:val="12"/>
                <w:lang w:val="id-ID"/>
              </w:rPr>
              <w:t>Accepted</w:t>
            </w:r>
          </w:p>
          <w:p w14:paraId="7A4C1620" w14:textId="77777777" w:rsidR="005231C1" w:rsidRPr="00AE35D7" w:rsidRDefault="005231C1" w:rsidP="00383883">
            <w:pPr>
              <w:pStyle w:val="Footer"/>
              <w:jc w:val="both"/>
              <w:rPr>
                <w:rFonts w:ascii="Cambria" w:hAnsi="Cambria"/>
                <w:sz w:val="16"/>
                <w:szCs w:val="16"/>
                <w:lang w:val="id-ID"/>
              </w:rPr>
            </w:pPr>
          </w:p>
          <w:p w14:paraId="53F9B4EC" w14:textId="77777777" w:rsidR="005231C1" w:rsidRPr="00AE35D7" w:rsidRDefault="005231C1" w:rsidP="00383883">
            <w:pPr>
              <w:pStyle w:val="Footer"/>
              <w:jc w:val="both"/>
              <w:rPr>
                <w:rFonts w:ascii="Cambria" w:hAnsi="Cambria"/>
                <w:b/>
                <w:bCs/>
                <w:sz w:val="16"/>
                <w:szCs w:val="16"/>
                <w:lang w:val="id-ID"/>
              </w:rPr>
            </w:pPr>
            <w:r w:rsidRPr="00AE35D7">
              <w:rPr>
                <w:rFonts w:ascii="Cambria" w:hAnsi="Cambria"/>
                <w:b/>
                <w:bCs/>
                <w:sz w:val="16"/>
                <w:szCs w:val="16"/>
                <w:lang w:val="id-ID"/>
              </w:rPr>
              <w:t>Saran Perujukan</w:t>
            </w:r>
          </w:p>
          <w:p w14:paraId="2D9E9FC5" w14:textId="77777777" w:rsidR="005231C1" w:rsidRPr="00AE35D7" w:rsidRDefault="005231C1" w:rsidP="00383883">
            <w:pPr>
              <w:pStyle w:val="Footer"/>
              <w:jc w:val="both"/>
              <w:rPr>
                <w:rFonts w:ascii="Cambria" w:hAnsi="Cambria"/>
                <w:i/>
                <w:iCs/>
                <w:sz w:val="14"/>
                <w:szCs w:val="14"/>
                <w:lang w:val="id-ID"/>
              </w:rPr>
            </w:pPr>
            <w:r w:rsidRPr="00AE35D7">
              <w:rPr>
                <w:rFonts w:ascii="Cambria" w:hAnsi="Cambria"/>
                <w:i/>
                <w:iCs/>
                <w:sz w:val="14"/>
                <w:szCs w:val="14"/>
                <w:lang w:val="id-ID"/>
              </w:rPr>
              <w:t>How to cite:</w:t>
            </w:r>
          </w:p>
          <w:p w14:paraId="396420D5" w14:textId="1FE6A335" w:rsidR="005231C1" w:rsidRPr="00AE35D7" w:rsidRDefault="005231C1" w:rsidP="00383883">
            <w:pPr>
              <w:pStyle w:val="Footer"/>
              <w:jc w:val="both"/>
              <w:rPr>
                <w:rFonts w:ascii="Cambria" w:hAnsi="Cambria"/>
                <w:sz w:val="16"/>
                <w:szCs w:val="16"/>
                <w:lang w:val="id-ID"/>
              </w:rPr>
            </w:pPr>
            <w:r>
              <w:rPr>
                <w:rFonts w:ascii="Cambria" w:hAnsi="Cambria"/>
                <w:sz w:val="16"/>
                <w:szCs w:val="16"/>
                <w:lang w:val="id-ID"/>
              </w:rPr>
              <w:t>Santoso</w:t>
            </w:r>
            <w:r w:rsidRPr="00AE35D7">
              <w:rPr>
                <w:rFonts w:ascii="Cambria" w:hAnsi="Cambria"/>
                <w:sz w:val="16"/>
                <w:szCs w:val="16"/>
                <w:lang w:val="id-ID"/>
              </w:rPr>
              <w:t xml:space="preserve">, </w:t>
            </w:r>
            <w:r>
              <w:rPr>
                <w:rFonts w:ascii="Cambria" w:hAnsi="Cambria"/>
                <w:sz w:val="16"/>
                <w:szCs w:val="16"/>
                <w:lang w:val="id-ID"/>
              </w:rPr>
              <w:t>Evarista</w:t>
            </w:r>
            <w:r w:rsidRPr="00AE35D7">
              <w:rPr>
                <w:rFonts w:ascii="Cambria" w:hAnsi="Cambria"/>
                <w:sz w:val="16"/>
                <w:szCs w:val="16"/>
                <w:lang w:val="id-ID"/>
              </w:rPr>
              <w:t xml:space="preserve">., &amp; </w:t>
            </w:r>
            <w:r w:rsidRPr="00B21356">
              <w:rPr>
                <w:rFonts w:ascii="Cambria" w:hAnsi="Cambria"/>
                <w:sz w:val="16"/>
                <w:szCs w:val="16"/>
                <w:lang w:val="id-ID"/>
              </w:rPr>
              <w:t>Jagaddhita</w:t>
            </w:r>
            <w:r w:rsidRPr="00AE35D7">
              <w:rPr>
                <w:rFonts w:ascii="Cambria" w:hAnsi="Cambria"/>
                <w:sz w:val="16"/>
                <w:szCs w:val="16"/>
                <w:lang w:val="id-ID"/>
              </w:rPr>
              <w:t>,</w:t>
            </w:r>
            <w:r>
              <w:rPr>
                <w:rFonts w:ascii="Cambria" w:hAnsi="Cambria"/>
                <w:sz w:val="16"/>
                <w:szCs w:val="16"/>
                <w:lang w:val="id-ID"/>
              </w:rPr>
              <w:t xml:space="preserve"> Monica. K</w:t>
            </w:r>
            <w:r w:rsidRPr="00AE35D7">
              <w:rPr>
                <w:rFonts w:ascii="Cambria" w:hAnsi="Cambria"/>
                <w:sz w:val="16"/>
                <w:szCs w:val="16"/>
                <w:lang w:val="id-ID"/>
              </w:rPr>
              <w:t>. (202</w:t>
            </w:r>
            <w:r>
              <w:rPr>
                <w:rFonts w:ascii="Cambria" w:hAnsi="Cambria"/>
                <w:sz w:val="16"/>
                <w:szCs w:val="16"/>
                <w:lang w:val="id-ID"/>
              </w:rPr>
              <w:t>6</w:t>
            </w:r>
            <w:r w:rsidRPr="00AE35D7">
              <w:rPr>
                <w:rFonts w:ascii="Cambria" w:hAnsi="Cambria"/>
                <w:sz w:val="16"/>
                <w:szCs w:val="16"/>
                <w:lang w:val="id-ID"/>
              </w:rPr>
              <w:t xml:space="preserve">). </w:t>
            </w:r>
            <w:r w:rsidRPr="001669E0">
              <w:rPr>
                <w:rFonts w:ascii="Cambria" w:hAnsi="Cambria"/>
                <w:sz w:val="16"/>
                <w:szCs w:val="16"/>
                <w:lang w:val="id-ID"/>
              </w:rPr>
              <w:t>Kedudukan Hukum Perjanjian Sewa Menyewa atas Tanah dan Bangunan yang Diletakkan Hak Tanggungan Terkait dengan Optimalisasi Pembayaran Kredit</w:t>
            </w:r>
            <w:r w:rsidRPr="00AE35D7">
              <w:rPr>
                <w:rFonts w:ascii="Cambria" w:hAnsi="Cambria"/>
                <w:sz w:val="16"/>
                <w:szCs w:val="16"/>
                <w:lang w:val="id-ID"/>
              </w:rPr>
              <w:t> </w:t>
            </w:r>
            <w:r w:rsidRPr="00AE35D7">
              <w:rPr>
                <w:rFonts w:ascii="Cambria" w:hAnsi="Cambria"/>
                <w:i/>
                <w:iCs/>
                <w:sz w:val="16"/>
                <w:szCs w:val="16"/>
                <w:lang w:val="id-ID"/>
              </w:rPr>
              <w:t>Ikatan Penulis Mahasiswa Hukum Indonesia Law Journal, </w:t>
            </w:r>
            <w:r>
              <w:rPr>
                <w:rFonts w:ascii="Cambria" w:hAnsi="Cambria"/>
                <w:i/>
                <w:iCs/>
                <w:sz w:val="16"/>
                <w:szCs w:val="16"/>
                <w:lang w:val="id-ID"/>
              </w:rPr>
              <w:t>6</w:t>
            </w:r>
            <w:r w:rsidRPr="00AE35D7">
              <w:rPr>
                <w:rFonts w:ascii="Cambria" w:hAnsi="Cambria"/>
                <w:sz w:val="16"/>
                <w:szCs w:val="16"/>
                <w:lang w:val="id-ID"/>
              </w:rPr>
              <w:t>(1), 1</w:t>
            </w:r>
            <w:r w:rsidR="004B0E39">
              <w:rPr>
                <w:rFonts w:ascii="Cambria" w:hAnsi="Cambria"/>
                <w:sz w:val="16"/>
                <w:szCs w:val="16"/>
                <w:lang w:val="en-US"/>
              </w:rPr>
              <w:t>37</w:t>
            </w:r>
            <w:r w:rsidRPr="00AE35D7">
              <w:rPr>
                <w:rFonts w:ascii="Cambria" w:hAnsi="Cambria"/>
                <w:sz w:val="16"/>
                <w:szCs w:val="16"/>
                <w:lang w:val="id-ID"/>
              </w:rPr>
              <w:t>-1</w:t>
            </w:r>
            <w:r w:rsidR="004B0E39">
              <w:rPr>
                <w:rFonts w:ascii="Cambria" w:hAnsi="Cambria"/>
                <w:sz w:val="16"/>
                <w:szCs w:val="16"/>
                <w:lang w:val="en-US"/>
              </w:rPr>
              <w:t>58</w:t>
            </w:r>
            <w:r w:rsidRPr="00AE35D7">
              <w:rPr>
                <w:rFonts w:ascii="Cambria" w:hAnsi="Cambria"/>
                <w:sz w:val="16"/>
                <w:szCs w:val="16"/>
                <w:lang w:val="id-ID"/>
              </w:rPr>
              <w:t xml:space="preserve">. </w:t>
            </w:r>
            <w:hyperlink r:id="rId11" w:history="1">
              <w:r w:rsidRPr="00EE173E">
                <w:rPr>
                  <w:rStyle w:val="Hyperlink"/>
                  <w:rFonts w:ascii="Cambria" w:hAnsi="Cambria"/>
                  <w:sz w:val="16"/>
                  <w:szCs w:val="16"/>
                  <w:lang w:val="id-ID"/>
                </w:rPr>
                <w:t xml:space="preserve">https://doi.org/10.15294/ipmhi.v6i1.48519 </w:t>
              </w:r>
            </w:hyperlink>
          </w:p>
          <w:p w14:paraId="514C642B" w14:textId="77777777" w:rsidR="005231C1" w:rsidRPr="00AE35D7" w:rsidRDefault="005231C1" w:rsidP="00383883">
            <w:pPr>
              <w:pStyle w:val="Footer"/>
              <w:jc w:val="both"/>
              <w:rPr>
                <w:rFonts w:ascii="Cambria" w:hAnsi="Cambria"/>
                <w:sz w:val="16"/>
                <w:szCs w:val="16"/>
                <w:lang w:val="id-ID"/>
              </w:rPr>
            </w:pPr>
          </w:p>
          <w:p w14:paraId="7AABA8D3" w14:textId="77777777" w:rsidR="005231C1" w:rsidRPr="00AE35D7" w:rsidRDefault="005231C1" w:rsidP="00383883">
            <w:pPr>
              <w:pStyle w:val="Footer"/>
              <w:jc w:val="both"/>
              <w:rPr>
                <w:rFonts w:ascii="Cambria" w:hAnsi="Cambria"/>
                <w:sz w:val="18"/>
                <w:szCs w:val="18"/>
                <w:lang w:val="id-ID"/>
              </w:rPr>
            </w:pPr>
            <w:r w:rsidRPr="00AE35D7">
              <w:rPr>
                <w:rFonts w:ascii="Cambria" w:hAnsi="Cambria"/>
                <w:sz w:val="16"/>
                <w:szCs w:val="16"/>
                <w:lang w:val="id-ID"/>
              </w:rPr>
              <w:t xml:space="preserve">© 2022 Authors. This work is licensed under a </w:t>
            </w:r>
            <w:hyperlink r:id="rId12" w:history="1">
              <w:r w:rsidRPr="00AE35D7">
                <w:rPr>
                  <w:rStyle w:val="Hyperlink"/>
                  <w:rFonts w:ascii="Cambria" w:hAnsi="Cambria"/>
                  <w:sz w:val="16"/>
                  <w:szCs w:val="16"/>
                  <w:u w:val="none"/>
                  <w:lang w:val="id-ID"/>
                </w:rPr>
                <w:t>Attribution-NonCommercial-ShareAlike 4.0 International (CC BY-NC-SA 4.0)</w:t>
              </w:r>
            </w:hyperlink>
            <w:r w:rsidRPr="00AE35D7">
              <w:rPr>
                <w:rFonts w:ascii="Cambria" w:hAnsi="Cambria"/>
                <w:sz w:val="16"/>
                <w:szCs w:val="16"/>
                <w:lang w:val="id-ID"/>
              </w:rPr>
              <w:t xml:space="preserve">.  All writings published in this journal are personal views of the authors and do not represent the views of this journal and the author's affiliated institutions. This title has been indexed by </w:t>
            </w:r>
            <w:hyperlink r:id="rId13" w:history="1">
              <w:r w:rsidRPr="00AE35D7">
                <w:rPr>
                  <w:rStyle w:val="Hyperlink"/>
                  <w:rFonts w:ascii="Cambria" w:hAnsi="Cambria"/>
                  <w:sz w:val="16"/>
                  <w:szCs w:val="16"/>
                  <w:u w:val="none"/>
                  <w:lang w:val="id-ID"/>
                </w:rPr>
                <w:t>Google Scholar</w:t>
              </w:r>
            </w:hyperlink>
          </w:p>
          <w:p w14:paraId="26789360" w14:textId="77777777" w:rsidR="005231C1" w:rsidRPr="00AE35D7" w:rsidRDefault="005231C1" w:rsidP="00383883">
            <w:pPr>
              <w:pStyle w:val="Footer"/>
              <w:jc w:val="both"/>
              <w:rPr>
                <w:rFonts w:ascii="Cambria" w:hAnsi="Cambria"/>
                <w:sz w:val="14"/>
                <w:szCs w:val="14"/>
                <w:lang w:val="id-ID"/>
              </w:rPr>
            </w:pPr>
          </w:p>
          <w:p w14:paraId="7ABA92ED" w14:textId="77777777" w:rsidR="005231C1" w:rsidRPr="00AE35D7" w:rsidRDefault="005231C1" w:rsidP="00383883">
            <w:pPr>
              <w:pStyle w:val="Footer"/>
              <w:jc w:val="both"/>
              <w:rPr>
                <w:rFonts w:ascii="Cambria" w:hAnsi="Cambria"/>
                <w:sz w:val="16"/>
                <w:szCs w:val="16"/>
                <w:lang w:val="id-ID"/>
              </w:rPr>
            </w:pPr>
          </w:p>
        </w:tc>
      </w:tr>
    </w:tbl>
    <w:p w14:paraId="38298B33" w14:textId="77777777" w:rsidR="005231C1" w:rsidRPr="00AE35D7" w:rsidRDefault="005231C1" w:rsidP="005231C1">
      <w:pPr>
        <w:spacing w:after="0" w:line="240" w:lineRule="auto"/>
        <w:ind w:right="9"/>
        <w:jc w:val="both"/>
        <w:rPr>
          <w:rFonts w:ascii="Cambria" w:hAnsi="Cambria" w:cs="Times New Roman"/>
          <w:b/>
          <w:sz w:val="40"/>
          <w:szCs w:val="40"/>
          <w:lang w:val="id-ID"/>
        </w:rPr>
      </w:pPr>
      <w:r w:rsidRPr="00AE35D7">
        <w:rPr>
          <w:rFonts w:ascii="Cambria" w:hAnsi="Cambria" w:cs="Times New Roman"/>
          <w:b/>
          <w:sz w:val="40"/>
          <w:szCs w:val="40"/>
          <w:lang w:val="id-ID"/>
        </w:rPr>
        <w:t>Kedudukan Hukum Perjanjian Sewa Menyewa atas Tanah dan Bangunan yang Diletakkan Hak Tanggungan Terkait dengan Optimalisasi Pembayaran Kredit</w:t>
      </w:r>
    </w:p>
    <w:p w14:paraId="2CCDF87F" w14:textId="77777777" w:rsidR="005231C1" w:rsidRDefault="005231C1" w:rsidP="005231C1">
      <w:pPr>
        <w:spacing w:after="0" w:line="240" w:lineRule="auto"/>
        <w:ind w:right="9"/>
        <w:jc w:val="both"/>
        <w:rPr>
          <w:rFonts w:ascii="Cambria" w:hAnsi="Cambria" w:cs="Times New Roman"/>
          <w:bCs/>
          <w:i/>
          <w:iCs/>
          <w:sz w:val="38"/>
          <w:szCs w:val="38"/>
          <w:lang w:val="id-ID"/>
        </w:rPr>
      </w:pPr>
      <w:r w:rsidRPr="00AE35D7">
        <w:rPr>
          <w:rFonts w:ascii="Cambria" w:hAnsi="Cambria" w:cs="Times New Roman"/>
          <w:bCs/>
          <w:i/>
          <w:iCs/>
          <w:sz w:val="38"/>
          <w:szCs w:val="38"/>
          <w:lang w:val="id-ID"/>
        </w:rPr>
        <w:t>Legal Status of Lease Agreements for Land and Buildings with Mortgage Rights Related to Optimisation of Credit Payments</w:t>
      </w:r>
    </w:p>
    <w:p w14:paraId="74C2F939" w14:textId="77777777" w:rsidR="005231C1" w:rsidRPr="001669E0" w:rsidRDefault="005231C1" w:rsidP="005231C1">
      <w:pPr>
        <w:spacing w:after="0" w:line="240" w:lineRule="auto"/>
        <w:ind w:right="9"/>
        <w:jc w:val="both"/>
        <w:rPr>
          <w:rFonts w:ascii="Cambria" w:hAnsi="Cambria" w:cs="Times New Roman"/>
          <w:bCs/>
          <w:i/>
          <w:iCs/>
          <w:sz w:val="24"/>
          <w:szCs w:val="24"/>
          <w:lang w:val="id-ID"/>
        </w:rPr>
      </w:pPr>
      <w:r>
        <w:rPr>
          <w:noProof/>
        </w:rPr>
        <w:drawing>
          <wp:anchor distT="0" distB="0" distL="114300" distR="114300" simplePos="0" relativeHeight="251684864" behindDoc="0" locked="0" layoutInCell="1" allowOverlap="1" wp14:anchorId="62443394" wp14:editId="6D7B9725">
            <wp:simplePos x="0" y="0"/>
            <wp:positionH relativeFrom="column">
              <wp:posOffset>1316990</wp:posOffset>
            </wp:positionH>
            <wp:positionV relativeFrom="paragraph">
              <wp:posOffset>142240</wp:posOffset>
            </wp:positionV>
            <wp:extent cx="162560" cy="111125"/>
            <wp:effectExtent l="0" t="0" r="8890" b="3175"/>
            <wp:wrapNone/>
            <wp:docPr id="595810474"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32968" name="Picture 2">
                      <a:hlinkClick r:id="rId14"/>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828" t="18754" r="5297" b="19586"/>
                    <a:stretch>
                      <a:fillRect/>
                    </a:stretch>
                  </pic:blipFill>
                  <pic:spPr bwMode="auto">
                    <a:xfrm rot="10800000" flipV="1">
                      <a:off x="0" y="0"/>
                      <a:ext cx="162560" cy="11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3962533D" wp14:editId="0C201B1D">
            <wp:simplePos x="0" y="0"/>
            <wp:positionH relativeFrom="column">
              <wp:posOffset>1124585</wp:posOffset>
            </wp:positionH>
            <wp:positionV relativeFrom="paragraph">
              <wp:posOffset>120650</wp:posOffset>
            </wp:positionV>
            <wp:extent cx="130175" cy="130175"/>
            <wp:effectExtent l="0" t="0" r="3175" b="3175"/>
            <wp:wrapNone/>
            <wp:docPr id="1087809380" name="Picture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09380" name="Picture 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175" cy="130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46BCD3BE" wp14:editId="5514004E">
            <wp:simplePos x="0" y="0"/>
            <wp:positionH relativeFrom="column">
              <wp:posOffset>3727450</wp:posOffset>
            </wp:positionH>
            <wp:positionV relativeFrom="paragraph">
              <wp:posOffset>97790</wp:posOffset>
            </wp:positionV>
            <wp:extent cx="130175" cy="130175"/>
            <wp:effectExtent l="0" t="0" r="3175" b="3175"/>
            <wp:wrapNone/>
            <wp:docPr id="123506600" name="Picture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6600" name="Picture 1">
                      <a:hlinkClick r:id="rId18"/>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175" cy="13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FFEC8" w14:textId="77777777" w:rsidR="005231C1" w:rsidRPr="00AE35D7" w:rsidRDefault="005231C1" w:rsidP="005231C1">
      <w:pPr>
        <w:spacing w:after="0" w:line="240" w:lineRule="auto"/>
        <w:rPr>
          <w:rFonts w:ascii="Cambria" w:hAnsi="Cambria" w:cs="Tahoma"/>
          <w:sz w:val="24"/>
          <w:szCs w:val="24"/>
          <w:lang w:val="id-ID"/>
        </w:rPr>
      </w:pPr>
      <w:r w:rsidRPr="00AE35D7">
        <w:rPr>
          <w:rFonts w:ascii="Cambria" w:hAnsi="Cambria" w:cs="Tahoma"/>
          <w:sz w:val="24"/>
          <w:szCs w:val="24"/>
          <w:lang w:val="id-ID"/>
        </w:rPr>
        <w:t>Evarista Santoso,</w:t>
      </w:r>
      <w:r>
        <w:rPr>
          <w:rFonts w:ascii="Cambria" w:hAnsi="Cambria" w:cs="Tahoma"/>
          <w:sz w:val="24"/>
          <w:szCs w:val="24"/>
          <w:lang w:val="id-ID"/>
        </w:rPr>
        <w:t xml:space="preserve">           </w:t>
      </w:r>
      <w:r w:rsidRPr="00AE35D7">
        <w:rPr>
          <w:rFonts w:ascii="Cambria" w:hAnsi="Cambria" w:cs="Tahoma"/>
          <w:sz w:val="24"/>
          <w:szCs w:val="24"/>
          <w:lang w:val="id-ID"/>
        </w:rPr>
        <w:t xml:space="preserve"> Monica Kunti Sahasika Jagaddhita</w:t>
      </w:r>
    </w:p>
    <w:p w14:paraId="0A3E4143" w14:textId="77777777" w:rsidR="005231C1" w:rsidRPr="00AE35D7" w:rsidRDefault="005231C1" w:rsidP="005231C1">
      <w:pPr>
        <w:spacing w:after="0" w:line="240" w:lineRule="auto"/>
        <w:jc w:val="both"/>
        <w:rPr>
          <w:rFonts w:ascii="Cambria" w:hAnsi="Cambria" w:cs="Tahoma"/>
          <w:sz w:val="24"/>
          <w:szCs w:val="24"/>
          <w:lang w:val="id-ID"/>
        </w:rPr>
      </w:pPr>
      <w:r w:rsidRPr="00AE35D7">
        <w:rPr>
          <w:rFonts w:ascii="Cambria" w:hAnsi="Cambria" w:cs="Tahoma"/>
          <w:sz w:val="24"/>
          <w:szCs w:val="24"/>
          <w:vertAlign w:val="superscript"/>
          <w:lang w:val="id-ID"/>
        </w:rPr>
        <w:t xml:space="preserve">1 </w:t>
      </w:r>
      <w:r>
        <w:rPr>
          <w:rFonts w:ascii="Cambria" w:hAnsi="Cambria" w:cs="Tahoma"/>
          <w:sz w:val="24"/>
          <w:szCs w:val="24"/>
          <w:lang w:val="id-ID"/>
        </w:rPr>
        <w:t>Magister Kenotariatan, F</w:t>
      </w:r>
      <w:r w:rsidRPr="00AE35D7">
        <w:rPr>
          <w:rFonts w:ascii="Cambria" w:hAnsi="Cambria" w:cs="Tahoma"/>
          <w:sz w:val="24"/>
          <w:szCs w:val="24"/>
          <w:lang w:val="id-ID"/>
        </w:rPr>
        <w:t>akultas Hukum Universitas Gadjah Mada</w:t>
      </w:r>
    </w:p>
    <w:p w14:paraId="115A4B89" w14:textId="77777777" w:rsidR="005231C1" w:rsidRPr="00AE35D7" w:rsidRDefault="005231C1" w:rsidP="005231C1">
      <w:pPr>
        <w:spacing w:after="0" w:line="240" w:lineRule="auto"/>
        <w:rPr>
          <w:rFonts w:ascii="Cambria" w:hAnsi="Cambria" w:cs="Tahoma"/>
          <w:sz w:val="24"/>
          <w:szCs w:val="24"/>
          <w:lang w:val="id-ID"/>
        </w:rPr>
      </w:pPr>
      <w:r>
        <w:rPr>
          <w:noProof/>
        </w:rPr>
        <w:drawing>
          <wp:anchor distT="0" distB="0" distL="114300" distR="114300" simplePos="0" relativeHeight="251682816" behindDoc="0" locked="0" layoutInCell="1" allowOverlap="1" wp14:anchorId="7B5C99D5" wp14:editId="2A8676FE">
            <wp:simplePos x="0" y="0"/>
            <wp:positionH relativeFrom="column">
              <wp:posOffset>262890</wp:posOffset>
            </wp:positionH>
            <wp:positionV relativeFrom="paragraph">
              <wp:posOffset>153670</wp:posOffset>
            </wp:positionV>
            <wp:extent cx="162560" cy="111125"/>
            <wp:effectExtent l="0" t="0" r="8890" b="3175"/>
            <wp:wrapNone/>
            <wp:docPr id="230232968"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32968" name="Picture 2">
                      <a:hlinkClick r:id="rId14"/>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828" t="18754" r="5297" b="19586"/>
                    <a:stretch>
                      <a:fillRect/>
                    </a:stretch>
                  </pic:blipFill>
                  <pic:spPr bwMode="auto">
                    <a:xfrm rot="10800000" flipV="1">
                      <a:off x="0" y="0"/>
                      <a:ext cx="162560" cy="11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106FFB" w14:textId="77777777" w:rsidR="005231C1" w:rsidRPr="00AE35D7" w:rsidRDefault="005231C1" w:rsidP="005231C1">
      <w:pPr>
        <w:spacing w:after="0" w:line="240" w:lineRule="auto"/>
        <w:ind w:firstLine="720"/>
        <w:rPr>
          <w:rFonts w:ascii="Cambria" w:hAnsi="Cambria" w:cs="Tahoma"/>
          <w:sz w:val="24"/>
          <w:szCs w:val="24"/>
          <w:lang w:val="id-ID"/>
        </w:rPr>
      </w:pPr>
      <w:r w:rsidRPr="00AE35D7">
        <w:rPr>
          <w:rFonts w:ascii="Cambria" w:hAnsi="Cambria" w:cs="Tahoma"/>
          <w:sz w:val="24"/>
          <w:szCs w:val="24"/>
          <w:lang w:val="id-ID"/>
        </w:rPr>
        <w:t xml:space="preserve">Email Korespondensi: </w:t>
      </w:r>
      <w:hyperlink r:id="rId19" w:history="1">
        <w:r w:rsidRPr="00EE173E">
          <w:rPr>
            <w:rStyle w:val="Hyperlink"/>
            <w:rFonts w:ascii="Cambria" w:hAnsi="Cambria" w:cs="Tahoma"/>
            <w:sz w:val="24"/>
            <w:szCs w:val="24"/>
            <w:lang w:val="id-ID"/>
          </w:rPr>
          <w:t>evarista.santoso@mail.ugm.ac.id</w:t>
        </w:r>
      </w:hyperlink>
      <w:r>
        <w:rPr>
          <w:rFonts w:ascii="Cambria" w:hAnsi="Cambria" w:cs="Tahoma"/>
          <w:sz w:val="24"/>
          <w:szCs w:val="24"/>
          <w:lang w:val="id-ID"/>
        </w:rPr>
        <w:t xml:space="preserve"> </w:t>
      </w:r>
    </w:p>
    <w:p w14:paraId="171B2B0E" w14:textId="78C7F4D7" w:rsidR="007C38D2" w:rsidRDefault="007C38D2" w:rsidP="00A926F2">
      <w:pPr>
        <w:spacing w:after="0" w:line="276" w:lineRule="auto"/>
        <w:ind w:right="9"/>
        <w:rPr>
          <w:rFonts w:ascii="Cambria" w:hAnsi="Cambria" w:cs="Times New Roman"/>
          <w:sz w:val="28"/>
          <w:szCs w:val="28"/>
        </w:rPr>
      </w:pPr>
    </w:p>
    <w:p w14:paraId="61E08A90" w14:textId="77777777" w:rsidR="005231C1" w:rsidRDefault="005231C1" w:rsidP="005231C1">
      <w:pPr>
        <w:spacing w:after="0"/>
        <w:ind w:right="207"/>
        <w:jc w:val="both"/>
        <w:rPr>
          <w:rFonts w:ascii="Cambria" w:hAnsi="Cambria" w:cs="Tahoma"/>
          <w:sz w:val="24"/>
          <w:szCs w:val="24"/>
          <w:lang w:val="id-ID"/>
        </w:rPr>
      </w:pPr>
      <w:r w:rsidRPr="00AE35D7">
        <w:rPr>
          <w:rFonts w:ascii="Cambria" w:hAnsi="Cambria"/>
          <w:b/>
          <w:color w:val="C00000"/>
          <w:sz w:val="24"/>
          <w:szCs w:val="24"/>
          <w:lang w:val="id-ID"/>
        </w:rPr>
        <w:t>Abstract</w:t>
      </w:r>
      <w:r w:rsidRPr="00AE35D7">
        <w:rPr>
          <w:rFonts w:ascii="Cambria" w:hAnsi="Cambria"/>
          <w:sz w:val="28"/>
          <w:szCs w:val="28"/>
          <w:lang w:val="id-ID"/>
        </w:rPr>
        <w:t xml:space="preserve"> </w:t>
      </w:r>
      <w:r w:rsidRPr="00AE35D7">
        <w:rPr>
          <w:rFonts w:ascii="Cambria" w:hAnsi="Cambria" w:cs="Tahoma"/>
          <w:sz w:val="24"/>
          <w:szCs w:val="24"/>
          <w:lang w:val="id-ID"/>
        </w:rPr>
        <w:t xml:space="preserve">This study aims to analyse the legal status of Lease Agreements for Land and Buildings with Mortgage Rights attached. The research method employed is normative juridical research, utilising a statutory regulatory approach and a literature study. The results of this study indicate that lease agreements remain valid as long as they meet the valid requirements of an agreement in Article 1320 of the Civil Code and do not conflict with the provisions of the Deed of Granting of </w:t>
      </w:r>
      <w:r w:rsidRPr="00AE35D7">
        <w:rPr>
          <w:rFonts w:ascii="Cambria" w:hAnsi="Cambria" w:cs="Tahoma"/>
          <w:sz w:val="24"/>
          <w:szCs w:val="24"/>
          <w:lang w:val="id-ID"/>
        </w:rPr>
        <w:lastRenderedPageBreak/>
        <w:t>Mortgage Rights (APHT). In practice, there are two scenarios, namely, the lease is carried out before and after the imposition of the Mortgage Right. Both conditions are permitted in principle, as long as they obtain the creditor's approval. However, the existence of the Mortgage Right has legal implications, particularly regarding creditor protection and the continuity of the tenant's rights. Therefore, risk mitigation instruments such as a Statement of Vacancies are needed to ensure legal certainty for creditors. In addition, optimization of credit payments can also be done through a mechanism of transfer of receivables (cessie) from the rental proceeds to the bank. Thus, the legal status of lease agreements for objects burdened with Mortgage Rights remains recognised, but is subject to certain limitations and requirements to maintain a balance of interests of the parties.</w:t>
      </w:r>
    </w:p>
    <w:p w14:paraId="7F978D4C" w14:textId="77777777" w:rsidR="005231C1" w:rsidRPr="00AE35D7" w:rsidRDefault="005231C1" w:rsidP="005231C1">
      <w:pPr>
        <w:spacing w:after="0"/>
        <w:ind w:right="207"/>
        <w:jc w:val="both"/>
        <w:rPr>
          <w:rFonts w:ascii="Cambria" w:hAnsi="Cambria" w:cs="Tahoma"/>
          <w:sz w:val="24"/>
          <w:szCs w:val="24"/>
          <w:lang w:val="id-ID"/>
        </w:rPr>
      </w:pPr>
    </w:p>
    <w:p w14:paraId="7E30B337" w14:textId="77777777" w:rsidR="005231C1" w:rsidRPr="00B21356" w:rsidRDefault="005231C1" w:rsidP="005231C1">
      <w:pPr>
        <w:spacing w:after="0"/>
        <w:ind w:right="207"/>
        <w:jc w:val="both"/>
        <w:rPr>
          <w:rFonts w:ascii="Cambria" w:hAnsi="Cambria" w:cs="Tahoma"/>
          <w:i/>
          <w:iCs/>
          <w:sz w:val="24"/>
          <w:szCs w:val="24"/>
          <w:lang w:val="id-ID"/>
        </w:rPr>
      </w:pPr>
      <w:r w:rsidRPr="00AE35D7">
        <w:rPr>
          <w:rFonts w:ascii="Cambria" w:hAnsi="Cambria" w:cs="Tahoma"/>
          <w:b/>
          <w:bCs/>
          <w:color w:val="C00000"/>
          <w:sz w:val="24"/>
          <w:szCs w:val="24"/>
          <w:lang w:val="id-ID"/>
        </w:rPr>
        <w:t>Keywords</w:t>
      </w:r>
      <w:r w:rsidRPr="00AE35D7">
        <w:rPr>
          <w:rFonts w:ascii="Cambria" w:hAnsi="Cambria" w:cs="Tahoma"/>
          <w:b/>
          <w:bCs/>
          <w:sz w:val="24"/>
          <w:szCs w:val="24"/>
          <w:lang w:val="id-ID"/>
        </w:rPr>
        <w:t xml:space="preserve"> </w:t>
      </w:r>
      <w:r w:rsidRPr="00B21356">
        <w:rPr>
          <w:rFonts w:ascii="Cambria" w:hAnsi="Cambria" w:cs="Tahoma"/>
          <w:i/>
          <w:iCs/>
          <w:sz w:val="24"/>
          <w:szCs w:val="24"/>
          <w:lang w:val="id-ID"/>
        </w:rPr>
        <w:t>Credit, Lease and rent agreement, and Mortgage right,</w:t>
      </w:r>
    </w:p>
    <w:p w14:paraId="2D583D51" w14:textId="77777777" w:rsidR="005231C1" w:rsidRPr="00AE35D7" w:rsidRDefault="005231C1" w:rsidP="005231C1">
      <w:pPr>
        <w:spacing w:after="0"/>
        <w:ind w:right="207"/>
        <w:jc w:val="both"/>
        <w:rPr>
          <w:rFonts w:ascii="Cambria" w:hAnsi="Cambria" w:cs="Tahoma"/>
          <w:sz w:val="24"/>
          <w:szCs w:val="24"/>
          <w:lang w:val="id-ID"/>
        </w:rPr>
      </w:pPr>
    </w:p>
    <w:p w14:paraId="2D351B7A" w14:textId="77777777" w:rsidR="005231C1" w:rsidRDefault="005231C1" w:rsidP="005231C1">
      <w:pPr>
        <w:spacing w:after="0"/>
        <w:ind w:right="207"/>
        <w:jc w:val="both"/>
        <w:rPr>
          <w:rFonts w:ascii="Cambria" w:hAnsi="Cambria" w:cs="Tahoma"/>
          <w:sz w:val="24"/>
          <w:szCs w:val="24"/>
          <w:lang w:val="id-ID"/>
        </w:rPr>
      </w:pPr>
      <w:r w:rsidRPr="00AE35D7">
        <w:rPr>
          <w:rFonts w:ascii="Cambria" w:hAnsi="Cambria" w:cs="Tahoma"/>
          <w:b/>
          <w:bCs/>
          <w:color w:val="C00000"/>
          <w:sz w:val="24"/>
          <w:szCs w:val="24"/>
          <w:lang w:val="id-ID"/>
        </w:rPr>
        <w:t>Abstrak</w:t>
      </w:r>
      <w:r w:rsidRPr="00AE35D7">
        <w:rPr>
          <w:rFonts w:ascii="Cambria" w:hAnsi="Cambria" w:cs="Tahoma"/>
          <w:b/>
          <w:bCs/>
          <w:sz w:val="24"/>
          <w:szCs w:val="24"/>
          <w:lang w:val="id-ID"/>
        </w:rPr>
        <w:t xml:space="preserve"> </w:t>
      </w:r>
      <w:r w:rsidRPr="00AE35D7">
        <w:rPr>
          <w:rFonts w:ascii="Cambria" w:hAnsi="Cambria" w:cs="Tahoma"/>
          <w:sz w:val="24"/>
          <w:szCs w:val="24"/>
          <w:lang w:val="id-ID"/>
        </w:rPr>
        <w:t>Penelitian ini bertujuan untuk menganalisis kedudukan hukum Perjanjian Sewa Menyewa atas Tanah dan Bangunan yang dilekatkan Hak Tanggungan. Metode penelitian yang digunakan adalah penelitian yuridis normatif dengan pendekatan peraturan perundang-undangan dan studi kepustakaan. Hasil penelitian ini  menunjukkan bahwa perjanjian sewa menyewa tetap sah sepanjang memenuhi syarat sah perjanjian dalam Pasal 1320 KUHPerdata dan tidak bertentangan dengan ketentuan dalam Akta Pemberian Hak Tanggungan (APHT). Dalam praktiknya, terdapat dua skenario, yaitu sewa dilakukan sebelum dan setelah pembebanan Hak Tanggungan. Kedua kondisi tersebut pada prinsipnya diperbolehkan sepanjang mendapat persetujuan dari kreditor. Namun, keberadaan Hak Tanggungan menimbulkan implikasi hukum, khususnya terkait perlindungan kreditor dan keberlangsungan hak penyewa. Oleh karena itu, diperlukan instrumen mitigasi risiko seperti Surat Pernyataan Pengosongan untuk menjamin kepastian hukum bagi kreditor. Selain itu, optimalisasi pembayaran kredit juga dapat dilakukan melalui mekanisme pengalihan piutang (cessie) atas hasil sewa kepada bank. Dengan demikian, kedudukan hukum perjanjian sewa menyewa atas objek yang dibebani Hak Tanggungan tetap diakui, namun tunduk pada batasan dan persyaratan tertentu guna menjaga keseimbangan kepentingan para pihak.</w:t>
      </w:r>
    </w:p>
    <w:p w14:paraId="11CBF81A" w14:textId="77777777" w:rsidR="005231C1" w:rsidRPr="00AE35D7" w:rsidRDefault="005231C1" w:rsidP="005231C1">
      <w:pPr>
        <w:spacing w:after="0"/>
        <w:ind w:right="207"/>
        <w:jc w:val="both"/>
        <w:rPr>
          <w:rFonts w:ascii="Cambria" w:hAnsi="Cambria" w:cs="Tahoma"/>
          <w:sz w:val="24"/>
          <w:szCs w:val="24"/>
          <w:lang w:val="id-ID"/>
        </w:rPr>
      </w:pPr>
    </w:p>
    <w:p w14:paraId="696BE2FF" w14:textId="77777777" w:rsidR="005231C1" w:rsidRPr="00B21356" w:rsidRDefault="005231C1" w:rsidP="005231C1">
      <w:pPr>
        <w:spacing w:after="0"/>
        <w:ind w:right="207"/>
        <w:jc w:val="both"/>
        <w:rPr>
          <w:rFonts w:ascii="Cambria" w:hAnsi="Cambria" w:cs="Tahoma"/>
          <w:sz w:val="24"/>
          <w:szCs w:val="24"/>
          <w:lang w:val="id-ID"/>
        </w:rPr>
      </w:pPr>
      <w:r w:rsidRPr="00AE35D7">
        <w:rPr>
          <w:rFonts w:ascii="Cambria" w:hAnsi="Cambria" w:cs="Times New Roman"/>
          <w:b/>
          <w:color w:val="C00000"/>
          <w:sz w:val="24"/>
          <w:szCs w:val="24"/>
          <w:lang w:val="id-ID"/>
        </w:rPr>
        <w:t xml:space="preserve">Kata </w:t>
      </w:r>
      <w:r>
        <w:rPr>
          <w:rFonts w:ascii="Cambria" w:hAnsi="Cambria" w:cs="Times New Roman"/>
          <w:b/>
          <w:color w:val="C00000"/>
          <w:sz w:val="24"/>
          <w:szCs w:val="24"/>
          <w:lang w:val="id-ID"/>
        </w:rPr>
        <w:t>K</w:t>
      </w:r>
      <w:r w:rsidRPr="00AE35D7">
        <w:rPr>
          <w:rFonts w:ascii="Cambria" w:hAnsi="Cambria" w:cs="Times New Roman"/>
          <w:b/>
          <w:color w:val="C00000"/>
          <w:sz w:val="24"/>
          <w:szCs w:val="24"/>
          <w:lang w:val="id-ID"/>
        </w:rPr>
        <w:t>unci</w:t>
      </w:r>
      <w:r w:rsidRPr="00AE35D7">
        <w:rPr>
          <w:rFonts w:ascii="Cambria" w:hAnsi="Cambria" w:cs="Times New Roman"/>
          <w:bCs/>
          <w:sz w:val="24"/>
          <w:szCs w:val="24"/>
          <w:lang w:val="id-ID"/>
        </w:rPr>
        <w:t xml:space="preserve"> </w:t>
      </w:r>
      <w:r w:rsidRPr="00B21356">
        <w:rPr>
          <w:rFonts w:ascii="Cambria" w:hAnsi="Cambria" w:cs="Times New Roman"/>
          <w:bCs/>
          <w:i/>
          <w:iCs/>
          <w:sz w:val="24"/>
          <w:szCs w:val="24"/>
          <w:lang w:val="id-ID"/>
        </w:rPr>
        <w:t>Hak Tanggungan, kredit, Sewa menyewa</w:t>
      </w:r>
    </w:p>
    <w:p w14:paraId="0C9BA3D0" w14:textId="34111574" w:rsidR="00F659C1" w:rsidRPr="00DF69DF" w:rsidRDefault="00F659C1" w:rsidP="005231C1">
      <w:pPr>
        <w:spacing w:after="0" w:line="276" w:lineRule="auto"/>
        <w:jc w:val="both"/>
        <w:rPr>
          <w:rFonts w:ascii="Cambria" w:hAnsi="Cambria"/>
          <w:b/>
          <w:sz w:val="28"/>
          <w:szCs w:val="28"/>
        </w:rPr>
      </w:pPr>
    </w:p>
    <w:p w14:paraId="469D3988" w14:textId="66CE51BC" w:rsidR="00A96A84" w:rsidRPr="00DF69DF" w:rsidRDefault="00955725" w:rsidP="006B0087">
      <w:pPr>
        <w:numPr>
          <w:ilvl w:val="0"/>
          <w:numId w:val="1"/>
        </w:numPr>
        <w:spacing w:after="0" w:line="276" w:lineRule="auto"/>
        <w:ind w:left="426" w:hanging="426"/>
        <w:jc w:val="both"/>
        <w:rPr>
          <w:rFonts w:ascii="Cambria" w:hAnsi="Cambria"/>
          <w:b/>
          <w:sz w:val="28"/>
          <w:szCs w:val="28"/>
        </w:rPr>
      </w:pPr>
      <w:proofErr w:type="spellStart"/>
      <w:r>
        <w:rPr>
          <w:rFonts w:ascii="Cambria" w:hAnsi="Cambria" w:cs="Arial"/>
          <w:b/>
          <w:color w:val="C00000"/>
          <w:sz w:val="28"/>
          <w:szCs w:val="28"/>
        </w:rPr>
        <w:t>Pendahuluan</w:t>
      </w:r>
      <w:proofErr w:type="spellEnd"/>
    </w:p>
    <w:p w14:paraId="2CFCB363"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Perjanjian sewa menyewa lazim terjadi dalam masyarakat. Selayaknya konsep perjanjian pada umumnya, perjanjian sewa-menyewa harus didasari asas-asas dasar perjanjian seperti kepribadian (seseorang mengadakan perjanjian hanya untuk dirinya sendiri dan bukan untuk orang lain), konsensualisme (kesepakatan </w:t>
      </w:r>
      <w:r w:rsidRPr="00C1240A">
        <w:rPr>
          <w:rFonts w:ascii="Cambria" w:eastAsia="Book Antiqua" w:hAnsi="Cambria" w:cs="Book Antiqua"/>
          <w:sz w:val="24"/>
          <w:szCs w:val="24"/>
          <w:lang w:val="id-ID"/>
        </w:rPr>
        <w:lastRenderedPageBreak/>
        <w:t>diantara para pihak, yaitu penyewa dan pemberi sewa)</w:t>
      </w:r>
      <w:r w:rsidRPr="00C1240A">
        <w:rPr>
          <w:rFonts w:ascii="Cambria" w:eastAsia="Book Antiqua" w:hAnsi="Cambria" w:cs="Book Antiqua"/>
          <w:sz w:val="24"/>
          <w:szCs w:val="24"/>
          <w:vertAlign w:val="superscript"/>
          <w:lang w:val="id-ID"/>
        </w:rPr>
        <w:footnoteReference w:id="1"/>
      </w:r>
      <w:r w:rsidRPr="00C1240A">
        <w:rPr>
          <w:rFonts w:ascii="Cambria" w:eastAsia="Book Antiqua" w:hAnsi="Cambria" w:cs="Book Antiqua"/>
          <w:sz w:val="24"/>
          <w:szCs w:val="24"/>
          <w:lang w:val="id-ID"/>
        </w:rPr>
        <w:t>, kebebasan berkontrak (para pihak yang membuat perjanjian diperbolehkan menyusun dan membuat kesepakatan sepanjang bukan sesuatu yang dilarang)</w:t>
      </w:r>
      <w:r w:rsidRPr="00C1240A">
        <w:rPr>
          <w:rFonts w:ascii="Cambria" w:eastAsia="Book Antiqua" w:hAnsi="Cambria" w:cs="Book Antiqua"/>
          <w:sz w:val="24"/>
          <w:szCs w:val="24"/>
          <w:vertAlign w:val="superscript"/>
          <w:lang w:val="id-ID"/>
        </w:rPr>
        <w:footnoteReference w:id="2"/>
      </w:r>
      <w:r w:rsidRPr="00C1240A">
        <w:rPr>
          <w:rFonts w:ascii="Cambria" w:eastAsia="Book Antiqua" w:hAnsi="Cambria" w:cs="Book Antiqua"/>
          <w:sz w:val="24"/>
          <w:szCs w:val="24"/>
          <w:lang w:val="id-ID"/>
        </w:rPr>
        <w:t>, itikad baik (pelaksanaan perjanjian dengan mengindahkan ketentuan norma kepatutan dan kesusilaan)</w:t>
      </w:r>
      <w:r w:rsidRPr="00C1240A">
        <w:rPr>
          <w:rFonts w:ascii="Cambria" w:eastAsia="Book Antiqua" w:hAnsi="Cambria" w:cs="Book Antiqua"/>
          <w:sz w:val="24"/>
          <w:szCs w:val="24"/>
          <w:vertAlign w:val="superscript"/>
          <w:lang w:val="id-ID"/>
        </w:rPr>
        <w:footnoteReference w:id="3"/>
      </w:r>
      <w:r w:rsidRPr="00C1240A">
        <w:rPr>
          <w:rFonts w:ascii="Cambria" w:eastAsia="Book Antiqua" w:hAnsi="Cambria" w:cs="Book Antiqua"/>
          <w:sz w:val="24"/>
          <w:szCs w:val="24"/>
          <w:lang w:val="id-ID"/>
        </w:rPr>
        <w:t xml:space="preserve">, dan </w:t>
      </w:r>
      <w:r w:rsidRPr="00C1240A">
        <w:rPr>
          <w:rFonts w:ascii="Cambria" w:eastAsia="Book Antiqua" w:hAnsi="Cambria" w:cs="Book Antiqua"/>
          <w:i/>
          <w:iCs/>
          <w:sz w:val="24"/>
          <w:szCs w:val="24"/>
          <w:lang w:val="id-ID"/>
        </w:rPr>
        <w:t>pacta sunt servanda (</w:t>
      </w:r>
      <w:r w:rsidRPr="00C1240A">
        <w:rPr>
          <w:rFonts w:ascii="Cambria" w:eastAsia="Book Antiqua" w:hAnsi="Cambria" w:cs="Book Antiqua"/>
          <w:sz w:val="24"/>
          <w:szCs w:val="24"/>
          <w:lang w:val="id-ID"/>
        </w:rPr>
        <w:t>perjanjian yang dibuat secara sah mengikat para pihak layaknya undang-undang)</w:t>
      </w:r>
      <w:r w:rsidRPr="00C1240A">
        <w:rPr>
          <w:rFonts w:ascii="Cambria" w:eastAsia="Book Antiqua" w:hAnsi="Cambria" w:cs="Book Antiqua"/>
          <w:sz w:val="24"/>
          <w:szCs w:val="24"/>
          <w:vertAlign w:val="superscript"/>
          <w:lang w:val="id-ID"/>
        </w:rPr>
        <w:footnoteReference w:id="4"/>
      </w:r>
      <w:r w:rsidRPr="00C1240A">
        <w:rPr>
          <w:rFonts w:ascii="Cambria" w:eastAsia="Book Antiqua" w:hAnsi="Cambria" w:cs="Book Antiqua"/>
          <w:sz w:val="24"/>
          <w:szCs w:val="24"/>
          <w:lang w:val="id-ID"/>
        </w:rPr>
        <w:t xml:space="preserve">. Selain itu, perjanjian sewa-menyewa juga harus memenuhi syarat sah perjanjian, sebagaimana tertulis dalam Pasal 1320 Kitab Undang-Undang Hukum Perdata (selanjutnya disebut KUHPER). </w:t>
      </w:r>
    </w:p>
    <w:p w14:paraId="757AAEEF"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Perjanjian sewa menyewa merupakan salah satu bentuk perjanjian bernama yang diatur dalam buku ketiga khususnya Pasal 1548 sampai dengan Pasal 1600 KUHPER. Objek sewa dapat berupa benda bergerak maupun tidak bergerak</w:t>
      </w:r>
      <w:r w:rsidRPr="00C1240A">
        <w:rPr>
          <w:rFonts w:ascii="Cambria" w:eastAsia="Book Antiqua" w:hAnsi="Cambria" w:cs="Book Antiqua"/>
          <w:sz w:val="24"/>
          <w:szCs w:val="24"/>
          <w:vertAlign w:val="superscript"/>
          <w:lang w:val="id-ID"/>
        </w:rPr>
        <w:footnoteReference w:id="5"/>
      </w:r>
      <w:r w:rsidRPr="00C1240A">
        <w:rPr>
          <w:rFonts w:ascii="Cambria" w:eastAsia="Book Antiqua" w:hAnsi="Cambria" w:cs="Book Antiqua"/>
          <w:sz w:val="24"/>
          <w:szCs w:val="24"/>
          <w:lang w:val="id-ID"/>
        </w:rPr>
        <w:t>, yang salah satunya termasuk tanah maupun bangunan. Sebagai bentuk perjanjian timbal balik, terdapat hak dan kewajiban dari masing-masing Penyewa dan Pemberi Sewa (Pemilik Objek Sewa). Penyewa dalam hal ini memiliki hak untuk bisa menikmati tanah dan/atau bangunan yang disewanya dan berkewajiban untuk membayar biaya sewa tepat waktu. Di sisi lain, Pemberi Sewa  harus mempersiapkan tanah dan/atau bangunan sebagai objek sewa dalam keadaan kosong serta menjamin bahwa penyewa bisa menikmati objek sewa dengan tentram hingga masa sewa-menyewa berakhir namun di satu sisi juga berhak untuk menerima harga sewa yang telah disepakati.</w:t>
      </w:r>
      <w:r w:rsidRPr="00C1240A">
        <w:rPr>
          <w:rFonts w:ascii="Cambria" w:eastAsia="Book Antiqua" w:hAnsi="Cambria" w:cs="Book Antiqua"/>
          <w:sz w:val="24"/>
          <w:szCs w:val="24"/>
          <w:vertAlign w:val="superscript"/>
          <w:lang w:val="id-ID"/>
        </w:rPr>
        <w:footnoteReference w:id="6"/>
      </w:r>
      <w:r w:rsidRPr="00C1240A">
        <w:rPr>
          <w:rFonts w:ascii="Cambria" w:eastAsia="Book Antiqua" w:hAnsi="Cambria" w:cs="Book Antiqua"/>
          <w:sz w:val="24"/>
          <w:szCs w:val="24"/>
          <w:lang w:val="id-ID"/>
        </w:rPr>
        <w:t xml:space="preserve"> Oleh karena perjanjian sewa-menyewa merupakan perjanjian konsensuil yang dapat dibuat berdasarkan kesepakatan para pihak, maka pengakhiran perjanjian ini juga berdasarkan kesepakatan para pihak dengan didasari asas kebebasan berkontrak. </w:t>
      </w:r>
    </w:p>
    <w:p w14:paraId="7E95FC15"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Dalam praktik keperdataan, kepemilikan atas aset tanah dan bangunan tidak semata-mata dimanfaatkan untuk pemenuhan kebutuhan dasar seperti tempat tinggal atau objek sewa-menyewa saja. Seringkali, pemilik tanah dan bangunan memerlukan dana untuk menunjang perekonomiannya, sehingga pemilik objek tanah dan bangunan berupaya untuk mengoptimalkan pemanfaatan aset-aset yang dimilikinya. Salah satu hal yang lazim dilakukan adalah dengan memperoleh pembiayaan melalui lembaga keuangan, seperti bank, dengan menjadikan tanah dan bangunannya tersebut menjadi jaminan.</w:t>
      </w:r>
    </w:p>
    <w:p w14:paraId="5AF4BC2C"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Bank pada prinsipnya memiliki fungsi untuk menghimpun dana dari masyarakat dalam bentuk berupa simpanan dan menyalurkannya kembali dalam bentuk kredit atau bentuk-bentuk lainnya.</w:t>
      </w:r>
      <w:r w:rsidRPr="00C1240A">
        <w:rPr>
          <w:rFonts w:ascii="Cambria" w:eastAsia="Book Antiqua" w:hAnsi="Cambria" w:cs="Book Antiqua"/>
          <w:sz w:val="24"/>
          <w:szCs w:val="24"/>
          <w:vertAlign w:val="superscript"/>
          <w:lang w:val="id-ID"/>
        </w:rPr>
        <w:footnoteReference w:id="7"/>
      </w:r>
      <w:r w:rsidRPr="00C1240A">
        <w:rPr>
          <w:rFonts w:ascii="Cambria" w:eastAsia="Book Antiqua" w:hAnsi="Cambria" w:cs="Book Antiqua"/>
          <w:sz w:val="24"/>
          <w:szCs w:val="24"/>
          <w:lang w:val="id-ID"/>
        </w:rPr>
        <w:t xml:space="preserve"> Pelaksanaan fungsi penyaluran dana tersebut tentu dilandasi dengan adanya suatu perikatan yang mengikat antara pihak bank dan nasabah. Perikatan inilah yang pada umumnya diwujudkan dalam bentuk perjanjian kredit. Perjanjian kredit merupakan perjanjian pokok yang menjadi dasar hubungan pinjam meminjam antara kreditor dan debitor yang lahir dari </w:t>
      </w:r>
      <w:r w:rsidRPr="00C1240A">
        <w:rPr>
          <w:rFonts w:ascii="Cambria" w:eastAsia="Book Antiqua" w:hAnsi="Cambria" w:cs="Book Antiqua"/>
          <w:sz w:val="24"/>
          <w:szCs w:val="24"/>
          <w:lang w:val="id-ID"/>
        </w:rPr>
        <w:lastRenderedPageBreak/>
        <w:t>kesepakatan para pihak. Pada kasus seperti ini, umumnya perjanjian kredit sebagai perjanjian pokoknya dengan diikuti perjanjian jaminan sebagai perjanjian accesoir.</w:t>
      </w:r>
    </w:p>
    <w:p w14:paraId="79E3B847" w14:textId="77777777" w:rsidR="005231C1" w:rsidRPr="00C1240A" w:rsidRDefault="005231C1" w:rsidP="005231C1">
      <w:pPr>
        <w:spacing w:after="0" w:line="240" w:lineRule="auto"/>
        <w:ind w:firstLine="720"/>
        <w:jc w:val="both"/>
        <w:rPr>
          <w:rFonts w:ascii="Cambria" w:eastAsia="Book Antiqua" w:hAnsi="Cambria" w:cs="Book Antiqua"/>
          <w:b/>
          <w:bCs/>
          <w:sz w:val="24"/>
          <w:szCs w:val="24"/>
          <w:lang w:val="id-ID"/>
        </w:rPr>
      </w:pPr>
      <w:r w:rsidRPr="00C1240A">
        <w:rPr>
          <w:rFonts w:ascii="Cambria" w:eastAsia="Book Antiqua" w:hAnsi="Cambria" w:cs="Book Antiqua"/>
          <w:sz w:val="24"/>
          <w:szCs w:val="24"/>
          <w:lang w:val="id-ID"/>
        </w:rPr>
        <w:t>Ketentuan mengenai kredit diatur dalam Undang-Undang Nomor 10 Tahun 1998 tentang Perbankan yang merupakan landasan hukum mengenai pemberian kredit. Regulasi ini mengatur bahwa salah satu prinsip yang harus dipegang oleh bank adalah prinsip kehati-hatian. Penerapan prinsip ini dilakukan untuk meminimalisir risiko yang timbul dari jaminan yang diberikan pihak debitor sebagai bentuk perlindungan hukum bagi kreditor untuk menjamin pelunasan utang.</w:t>
      </w:r>
      <w:r w:rsidRPr="00C1240A">
        <w:rPr>
          <w:rFonts w:ascii="Cambria" w:eastAsia="Book Antiqua" w:hAnsi="Cambria" w:cs="Book Antiqua"/>
          <w:sz w:val="24"/>
          <w:szCs w:val="24"/>
          <w:vertAlign w:val="superscript"/>
          <w:lang w:val="id-ID"/>
        </w:rPr>
        <w:footnoteReference w:id="8"/>
      </w:r>
    </w:p>
    <w:p w14:paraId="302162E5"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Pada hubungan utang piutang, keberadaan jaminan memberikan kepastian hukum bagi kreditor atas pelunasan utang debitor sebagai instrumen mitigasi risiko manakala debitor cidera janji (wanprestasi). Oleh karena itu, jaminan dapat dipahami sebagai suatu mekanisme untuk memastikan dipenuhinya kewajiban yang dapat dinilai dengan sejumlah uang yang timbul dari adanya suatu perikatan hukum. Merujuk pada Pasal 1131 dan Pasal 1132 KUHPER, jaminan dapat diklasifikan menjadi jaminan umum dan jaminan khusus. Jaminan umum merupakan jaminan yang lahir secara langsung dari ketentuan undang-undang, yang mencakup seluruh harta kekayaan debitur, baik berupa benda bergerak maupun benda tidak bergerak, serta benda yang telah ada maupun yang akan ada di kemudian hari.</w:t>
      </w:r>
      <w:r w:rsidRPr="00C1240A">
        <w:rPr>
          <w:rFonts w:ascii="Cambria" w:eastAsia="Book Antiqua" w:hAnsi="Cambria" w:cs="Book Antiqua"/>
          <w:sz w:val="24"/>
          <w:szCs w:val="24"/>
          <w:vertAlign w:val="superscript"/>
          <w:lang w:val="id-ID"/>
        </w:rPr>
        <w:footnoteReference w:id="9"/>
      </w:r>
      <w:r w:rsidRPr="00C1240A">
        <w:rPr>
          <w:rFonts w:ascii="Cambria" w:eastAsia="Book Antiqua" w:hAnsi="Cambria" w:cs="Book Antiqua"/>
          <w:sz w:val="24"/>
          <w:szCs w:val="24"/>
          <w:lang w:val="id-ID"/>
        </w:rPr>
        <w:t xml:space="preserve"> Dalam jaminan umum, kedudukan para kreditor adalah sama, sehingga masing-masing kreditor berhak memperoleh pelunasan secara proporsional sesuai dengan besarnya piutang mereka.</w:t>
      </w:r>
      <w:r w:rsidRPr="00C1240A">
        <w:rPr>
          <w:rFonts w:ascii="Cambria" w:eastAsia="Book Antiqua" w:hAnsi="Cambria" w:cs="Book Antiqua"/>
          <w:sz w:val="24"/>
          <w:szCs w:val="24"/>
          <w:vertAlign w:val="superscript"/>
          <w:lang w:val="id-ID"/>
        </w:rPr>
        <w:footnoteReference w:id="10"/>
      </w:r>
      <w:r w:rsidRPr="00C1240A">
        <w:rPr>
          <w:rFonts w:ascii="Cambria" w:eastAsia="Book Antiqua" w:hAnsi="Cambria" w:cs="Book Antiqua"/>
          <w:sz w:val="24"/>
          <w:szCs w:val="24"/>
          <w:lang w:val="id-ID"/>
        </w:rPr>
        <w:t xml:space="preserve"> Sedangkan jaminan khusus, dijelaskan pada Pasal 1132 KUHPER bahwa “</w:t>
      </w:r>
      <w:r w:rsidRPr="00C1240A">
        <w:rPr>
          <w:rFonts w:ascii="Cambria" w:eastAsia="Book Antiqua" w:hAnsi="Cambria" w:cs="Book Antiqua"/>
          <w:i/>
          <w:iCs/>
          <w:sz w:val="24"/>
          <w:szCs w:val="24"/>
          <w:lang w:val="id-ID"/>
        </w:rPr>
        <w:t>kecuali apabila di antara para berpiutang itu ada alasan-alasan yang sah untuk didahulukan</w:t>
      </w:r>
      <w:r w:rsidRPr="00C1240A">
        <w:rPr>
          <w:rFonts w:ascii="Cambria" w:eastAsia="Book Antiqua" w:hAnsi="Cambria" w:cs="Book Antiqua"/>
          <w:sz w:val="24"/>
          <w:szCs w:val="24"/>
          <w:lang w:val="id-ID"/>
        </w:rPr>
        <w:t>.”, sehingga kekhususan dari jaminan ini terletak pada perikatan yang diperjanjikan khusus dari jaminan ini serta merujuk lebih spesifik pada jenis benda yang akan dijadikan jaminan. Jaminan khusus dibedakan menjadi 2 yakni, jaminan kebendaan dan jaminan perorangan. Jaminan kebendaan merupakan jaminan yang berwujud benda, sedangkan jaminan perorangan adalah jaminan yang berwujud kesanggupan seseorang untuk berprestasi.</w:t>
      </w:r>
    </w:p>
    <w:p w14:paraId="0BDBC2A3"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Dalam konstruksi hukum jaminan di Indonesia, pembebanan aset berupa tanah dan bangunan sebagai jaminan utang diwujudkan melalui pranata Hak Tanggungan. Instrumen jaminan kebendaan ini secara khusus diatur dalam Undang-Undang Nomor 4 Tahun 1996 tentang Hak Tanggungan atas Tanah Beserta Benda-Benda yang Berkaitan dengan Tanah (Selanjutnya disebut UUHT). Berdasarkan payung hukum tersebut, Hak Tanggungan didefinisikan sebagai hak jaminan yang dibebankan pada hak atas tanah baik berikut maupun tidak berikut benda-benda lain yang merupakan satu kesatuan dengan tanah itu guna pelunasan utang tertentu. Pembebanan ini secara yuridis memberikan kepada kreditor pemegang hak tersebut kedudukan yang diutamakan (</w:t>
      </w:r>
      <w:r w:rsidRPr="00C1240A">
        <w:rPr>
          <w:rFonts w:ascii="Cambria" w:eastAsia="Book Antiqua" w:hAnsi="Cambria" w:cs="Book Antiqua"/>
          <w:i/>
          <w:iCs/>
          <w:sz w:val="24"/>
          <w:szCs w:val="24"/>
          <w:lang w:val="id-ID"/>
        </w:rPr>
        <w:t>droit de preference)</w:t>
      </w:r>
      <w:r w:rsidRPr="00C1240A">
        <w:rPr>
          <w:rFonts w:ascii="Cambria" w:eastAsia="Book Antiqua" w:hAnsi="Cambria" w:cs="Book Antiqua"/>
          <w:sz w:val="24"/>
          <w:szCs w:val="24"/>
          <w:lang w:val="id-ID"/>
        </w:rPr>
        <w:t xml:space="preserve"> dibandingkan dengan kreditor-kreditor lainnya.</w:t>
      </w:r>
      <w:r w:rsidRPr="00C1240A">
        <w:rPr>
          <w:rFonts w:ascii="Cambria" w:eastAsia="Book Antiqua" w:hAnsi="Cambria" w:cs="Book Antiqua"/>
          <w:sz w:val="24"/>
          <w:szCs w:val="24"/>
          <w:vertAlign w:val="superscript"/>
          <w:lang w:val="id-ID"/>
        </w:rPr>
        <w:footnoteReference w:id="11"/>
      </w:r>
      <w:r w:rsidRPr="00C1240A">
        <w:rPr>
          <w:rFonts w:ascii="Cambria" w:eastAsia="Book Antiqua" w:hAnsi="Cambria" w:cs="Book Antiqua"/>
          <w:sz w:val="24"/>
          <w:szCs w:val="24"/>
          <w:lang w:val="id-ID"/>
        </w:rPr>
        <w:t xml:space="preserve"> Selain itu, keistimewaan Hak tanggungan terletak pada </w:t>
      </w:r>
      <w:r w:rsidRPr="00C1240A">
        <w:rPr>
          <w:rFonts w:ascii="Cambria" w:eastAsia="Book Antiqua" w:hAnsi="Cambria" w:cs="Book Antiqua"/>
          <w:sz w:val="24"/>
          <w:szCs w:val="24"/>
          <w:lang w:val="id-ID"/>
        </w:rPr>
        <w:lastRenderedPageBreak/>
        <w:t xml:space="preserve">asas </w:t>
      </w:r>
      <w:r w:rsidRPr="00C1240A">
        <w:rPr>
          <w:rFonts w:ascii="Cambria" w:eastAsia="Book Antiqua" w:hAnsi="Cambria" w:cs="Book Antiqua"/>
          <w:i/>
          <w:iCs/>
          <w:sz w:val="24"/>
          <w:szCs w:val="24"/>
          <w:lang w:val="id-ID"/>
        </w:rPr>
        <w:t>droit de suite</w:t>
      </w:r>
      <w:r w:rsidRPr="00C1240A">
        <w:rPr>
          <w:rFonts w:ascii="Cambria" w:eastAsia="Book Antiqua" w:hAnsi="Cambria" w:cs="Book Antiqua"/>
          <w:sz w:val="24"/>
          <w:szCs w:val="24"/>
          <w:lang w:val="id-ID"/>
        </w:rPr>
        <w:t>, yakni sifat mengikuti objeknya dalam tangan siapapun. Artinya bahwa hak tersebut akan tetap melekat pada objek tanah yang dijaminkan meskipun objek tersebut telah beralih kepada pihak lainnya.</w:t>
      </w:r>
      <w:r w:rsidRPr="00C1240A">
        <w:rPr>
          <w:rFonts w:ascii="Cambria" w:eastAsia="Book Antiqua" w:hAnsi="Cambria" w:cs="Book Antiqua"/>
          <w:sz w:val="24"/>
          <w:szCs w:val="24"/>
          <w:vertAlign w:val="superscript"/>
          <w:lang w:val="id-ID"/>
        </w:rPr>
        <w:footnoteReference w:id="12"/>
      </w:r>
    </w:p>
    <w:p w14:paraId="08C699B8"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Dalam praktik perbankan, debitor yang mengajukan kredit kepada bank seringkali menjaminkan tanah dan bangunannya sebagai jaminan utang. Tanah dan bangunan tersebutlah yang nantinya akan dibebankan dengan hak tanggungan. Biasanya pembebanan Hak tanggungan dilakukan setelah adanya perjanjian pokok yakni perjanjian kredit antara debitor dengan pihak bank yang nantinya akan dituangkan ke dalam Akta Pemberian Hak Tanggungan (Selanjutnya disebut APHT) yang didaftarkan di kantor pertanahan. </w:t>
      </w:r>
    </w:p>
    <w:p w14:paraId="4603EBA7"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Akan tetapi, dalam realitas di lapangan, seringkali objek tanah dan bangunan yang tengah dibebani dengan Hak Tanggungan juga disewakan debitor terhadap pihak ketiga. Permasalahan yang bisa terjadi adalah bilamana nasabah debitor menyewakan tanah dan bangunan miliknya yang sudah dijaminkan dengan hak tanggungan, ditakutkan timbul penyusutan nilai ekonomis dari tanah dan bangunan itu dan tidak sesuai dengan nilai awal tanah dan bangunan itu dijaminkan. Disisi lain, upaya debitor menyewakan tanah dan bangunan miliknya ditujukan agar ia lebih mudah dalam membayar angsuran hutangnya kepada bank. </w:t>
      </w:r>
    </w:p>
    <w:p w14:paraId="1F744E45"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Berdasarkan uraian singkat diatas, penulis tertarik untuk melakukan analisis mengenai sejauh mana tanah bangunan milik nasabah debitor bisa digunakan ketika tanah bangunan tersebut dilekati Hak Tanggungan, dengan judul penelitian “Kedudukan Hukum Perjanjian Sewa Menyewa atas Tanah dan Bangunan yang Diletakkan Hak Tanggungan Terkait dengan Optimalisasi Pembayaran Kredit”. Rumusan masalah dalam penelitian ini mengenai keabsahan perbuatan hukum pemberi sewa terhadap objek sewa berupa tanah dan bangunan yang sedang dibebani Hak Tanggungan. Adapun tujuan penelitian ini menganalisis keabsahan perbuatan hukum pemberi sewa terhadap objek sewa berupa tanah dan bangunan yang sedang dibebani Hak Tanggungan. Meskipun</w:t>
      </w:r>
      <w:r w:rsidRPr="00C1240A">
        <w:rPr>
          <w:rFonts w:ascii="Cambria" w:eastAsia="Book Antiqua" w:hAnsi="Cambria" w:cs="Book Antiqua"/>
          <w:color w:val="FFFFFF"/>
          <w:sz w:val="24"/>
          <w:szCs w:val="24"/>
          <w:lang w:val="id-ID"/>
        </w:rPr>
        <w:t xml:space="preserve"> </w:t>
      </w:r>
      <w:r w:rsidRPr="00C1240A">
        <w:rPr>
          <w:rFonts w:ascii="Cambria" w:eastAsia="Book Antiqua" w:hAnsi="Cambria" w:cs="Book Antiqua"/>
          <w:sz w:val="24"/>
          <w:szCs w:val="24"/>
          <w:lang w:val="id-ID"/>
        </w:rPr>
        <w:t>sudah banyak penelitian terdahulu yang membahas terkait perlindungan hukum dalam sewa menyewa maupun pelaksanaan Hak Tanggungan, namun penelitian yang berfokus pada kedudukan hukum pemberi sewa atas objek sewa yang dibebani Hak Tanggungan, sepengetahuan penulis belum pernah dikaji sebelumnya. Meski demikian terdapat 2 (dua) penelitian terdahulu yang relevan dengan penelitian yang akan penulis teliti, diantaranya:</w:t>
      </w:r>
    </w:p>
    <w:p w14:paraId="4BEB766C" w14:textId="77777777" w:rsidR="005231C1" w:rsidRPr="00C1240A" w:rsidRDefault="005231C1" w:rsidP="005231C1">
      <w:pPr>
        <w:numPr>
          <w:ilvl w:val="0"/>
          <w:numId w:val="11"/>
        </w:numPr>
        <w:spacing w:after="0" w:line="240" w:lineRule="auto"/>
        <w:ind w:left="425"/>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Skripsi karya Luh Sunari Dewi Sri Muspadi yang dikeluarkan pada tahun 2026 dengan judul “Perlindungan Hukum Terhadap Penyewa Atas Objek Sewa Menyewa Tanah yang Masih Dibebani Hak Tanggungan”.</w:t>
      </w:r>
      <w:r w:rsidRPr="00C1240A">
        <w:rPr>
          <w:rFonts w:ascii="Cambria" w:eastAsia="Book Antiqua" w:hAnsi="Cambria" w:cs="Book Antiqua"/>
          <w:sz w:val="24"/>
          <w:szCs w:val="24"/>
          <w:vertAlign w:val="superscript"/>
          <w:lang w:val="id-ID"/>
        </w:rPr>
        <w:footnoteReference w:id="13"/>
      </w:r>
    </w:p>
    <w:p w14:paraId="232AE068" w14:textId="77777777" w:rsidR="005231C1" w:rsidRPr="00C1240A" w:rsidRDefault="005231C1" w:rsidP="005231C1">
      <w:pPr>
        <w:spacing w:after="0" w:line="240" w:lineRule="auto"/>
        <w:ind w:left="425"/>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Penelitian ini menitikberatkan fokus terhadap perlindungan hukum bagi penyewa ketika objek sewa sudah dibebani Hak Tanggungan sejak awal perjanjian sewa menyewa terjadi atau saat lelang objek sewa dilaksanakan. Di sisi lain, penelitian yang akan dilakukan penulis memiliki titik fokus pada tindakan pemilik objek sewa yang membebankan Hak Tanggungan atas objek sewa sebagai upaya untuk pelunasan hutang kepada kreditor serta sejauh mana </w:t>
      </w:r>
      <w:r w:rsidRPr="00C1240A">
        <w:rPr>
          <w:rFonts w:ascii="Cambria" w:eastAsia="Book Antiqua" w:hAnsi="Cambria" w:cs="Book Antiqua"/>
          <w:sz w:val="24"/>
          <w:szCs w:val="24"/>
          <w:lang w:val="id-ID"/>
        </w:rPr>
        <w:lastRenderedPageBreak/>
        <w:t xml:space="preserve">perbuatan hukumnya akan mempengaruhi keberlangsungan perjanjian utang-piutangnya. </w:t>
      </w:r>
    </w:p>
    <w:p w14:paraId="3EEFC116" w14:textId="77777777" w:rsidR="005231C1" w:rsidRPr="00C1240A" w:rsidRDefault="005231C1" w:rsidP="005231C1">
      <w:pPr>
        <w:numPr>
          <w:ilvl w:val="0"/>
          <w:numId w:val="11"/>
        </w:numPr>
        <w:spacing w:after="0" w:line="240" w:lineRule="auto"/>
        <w:ind w:left="425"/>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Jurnal karya Dewa Gede Swamitra Mahottama, dikeluarkan oleh Jurnal Pacta Sunt Servanda pada tahun 2025 dengan judul “Perlindungan Hukum Pemegang Hak Sewa dalam Kepemilikan  Atas  Objek  Sewa  Tanah  yang  Berada  dalam Eksekusi  Hak   Tanggungan   Menurut Hukum Positif di Indonesia”.</w:t>
      </w:r>
      <w:r w:rsidRPr="00C1240A">
        <w:rPr>
          <w:rFonts w:ascii="Cambria" w:eastAsia="Book Antiqua" w:hAnsi="Cambria" w:cs="Book Antiqua"/>
          <w:sz w:val="24"/>
          <w:szCs w:val="24"/>
          <w:vertAlign w:val="superscript"/>
          <w:lang w:val="id-ID"/>
        </w:rPr>
        <w:footnoteReference w:id="14"/>
      </w:r>
    </w:p>
    <w:p w14:paraId="636C98F6" w14:textId="2318F4C1" w:rsidR="005231C1" w:rsidRDefault="005231C1" w:rsidP="005231C1">
      <w:pPr>
        <w:spacing w:line="240" w:lineRule="auto"/>
        <w:ind w:left="425"/>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Penelitian ini menitikberatkan fokus pada perlindungan hukum bagi penyewa tanah dan/atau bangunan ketika objek yang disewanya sudah berada pada tahap eksekutori (lelang) akibat pemilik objek sewa sebagai debitor wanprestasi, dimana penelitian ini hanya dilakukan secara normatif. Di sisi lain, penelitian yang akan dilakukan penulis memiliki fokus pada kedudukan hukum pemberi sewa yang menyewakan tanah dan bangunannya sekaligus menjaminkan objek tersebut dengan Hak Tanggungan.</w:t>
      </w:r>
    </w:p>
    <w:p w14:paraId="304F6A3B" w14:textId="77777777" w:rsidR="005231C1" w:rsidRPr="00C1240A" w:rsidRDefault="005231C1" w:rsidP="005231C1">
      <w:pPr>
        <w:spacing w:line="240" w:lineRule="auto"/>
        <w:ind w:left="425"/>
        <w:jc w:val="both"/>
        <w:rPr>
          <w:rFonts w:ascii="Cambria" w:eastAsia="Book Antiqua" w:hAnsi="Cambria" w:cs="Book Antiqua"/>
          <w:sz w:val="24"/>
          <w:szCs w:val="24"/>
          <w:lang w:val="id-ID"/>
        </w:rPr>
      </w:pPr>
    </w:p>
    <w:p w14:paraId="2EEC1866" w14:textId="0C76E76B" w:rsidR="00B35A25" w:rsidRPr="00DF69DF" w:rsidRDefault="00B35A25" w:rsidP="006B0087">
      <w:pPr>
        <w:numPr>
          <w:ilvl w:val="0"/>
          <w:numId w:val="1"/>
        </w:numPr>
        <w:spacing w:after="0" w:line="276" w:lineRule="auto"/>
        <w:ind w:left="426" w:hanging="426"/>
        <w:jc w:val="both"/>
        <w:rPr>
          <w:rFonts w:ascii="Cambria" w:hAnsi="Cambria"/>
          <w:sz w:val="24"/>
          <w:szCs w:val="24"/>
        </w:rPr>
      </w:pPr>
      <w:r w:rsidRPr="00DF69DF">
        <w:rPr>
          <w:rFonts w:ascii="Cambria" w:hAnsi="Cambria" w:cs="Arial"/>
          <w:b/>
          <w:color w:val="C00000"/>
          <w:sz w:val="28"/>
          <w:szCs w:val="28"/>
          <w:lang w:val="id-ID"/>
        </w:rPr>
        <w:t>Me</w:t>
      </w:r>
      <w:proofErr w:type="spellStart"/>
      <w:r w:rsidR="00417108">
        <w:rPr>
          <w:rFonts w:ascii="Cambria" w:hAnsi="Cambria" w:cs="Arial"/>
          <w:b/>
          <w:color w:val="C00000"/>
          <w:sz w:val="28"/>
          <w:szCs w:val="28"/>
          <w:lang w:val="en-US"/>
        </w:rPr>
        <w:t>tode</w:t>
      </w:r>
      <w:proofErr w:type="spellEnd"/>
    </w:p>
    <w:p w14:paraId="04145916" w14:textId="77777777" w:rsidR="005231C1" w:rsidRPr="00AE35D7" w:rsidRDefault="005231C1" w:rsidP="005231C1">
      <w:pPr>
        <w:pStyle w:val="JEM22aBODYARTIKEL"/>
        <w:spacing w:line="276" w:lineRule="auto"/>
        <w:ind w:firstLine="567"/>
        <w:rPr>
          <w:rFonts w:ascii="Cambria" w:hAnsi="Cambria"/>
          <w:lang w:val="id-ID"/>
        </w:rPr>
      </w:pPr>
      <w:r w:rsidRPr="00AE35D7">
        <w:rPr>
          <w:rFonts w:ascii="Cambria" w:hAnsi="Cambria"/>
          <w:lang w:val="id-ID"/>
        </w:rPr>
        <w:t>Jenis penelitian ini menggunakan pendekatan yuridis normatif. Penelitian yuridis normatif merupakan yang difokuskan pada pengkajian penerapan kaidah-kaidah atau norma dalam hukum positif. Melalui metode ini, hukum dikonstruksikan sebagai norma, aturan, asas hukum, doktrin-doktrin, serta berbagai sumber kepustakaan lainnya yang relevan dengan topik penelitian. Pemilihan metode normatif ditujukan sebagai pisau analisis guna mengkaji secara komprehensif mengenai keabsahan perbuatan hukum pemberi sewa terhadap objek sewa berupa tanah dan bangunan yang sedang dibebani Hak Tanggungan. Guna membedah objek penelitian yang ingin dikaji, penelitian ini menggunakan pendekatan peraturan perundang-undangan (statute approach) yang dilakukan dengan menelaah secara holistik dan sistematis berbagai regulasi, konsistensi, serta hierarki peraturan perundang-undangan yang berkorelasi dengan objek permasalahan.</w:t>
      </w:r>
      <w:sdt>
        <w:sdtPr>
          <w:rPr>
            <w:rFonts w:ascii="Cambria" w:hAnsi="Cambria"/>
            <w:lang w:val="id-ID"/>
          </w:rPr>
          <w:tag w:val="MENDELEY_CITATION_v3_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"/>
          <w:id w:val="-1789737544"/>
          <w:placeholder>
            <w:docPart w:val="3606C7C415584F459CE45A1998B7369F"/>
          </w:placeholder>
        </w:sdtPr>
        <w:sdtEndPr/>
        <w:sdtContent>
          <w:r w:rsidRPr="00AE35D7">
            <w:rPr>
              <w:rStyle w:val="FootnoteReference"/>
              <w:rFonts w:ascii="Cambria" w:hAnsi="Cambria"/>
              <w:lang w:val="id-ID"/>
            </w:rPr>
            <w:footnoteReference w:id="15"/>
          </w:r>
        </w:sdtContent>
      </w:sdt>
    </w:p>
    <w:p w14:paraId="1456AD6B" w14:textId="77777777" w:rsidR="001F4CDF" w:rsidRPr="00DF69DF" w:rsidRDefault="001F4CDF" w:rsidP="00B35A25">
      <w:pPr>
        <w:pStyle w:val="JEM22aBODYARTIKEL"/>
        <w:spacing w:line="276" w:lineRule="auto"/>
        <w:rPr>
          <w:rFonts w:ascii="Cambria" w:hAnsi="Cambria"/>
          <w:lang w:val="en-US"/>
        </w:rPr>
      </w:pPr>
    </w:p>
    <w:p w14:paraId="2A968263" w14:textId="63A56D39" w:rsidR="00B35A25" w:rsidRPr="00DF69DF" w:rsidRDefault="001F4CDF" w:rsidP="006B0087">
      <w:pPr>
        <w:numPr>
          <w:ilvl w:val="0"/>
          <w:numId w:val="1"/>
        </w:numPr>
        <w:spacing w:after="0" w:line="276" w:lineRule="auto"/>
        <w:ind w:left="426" w:hanging="426"/>
        <w:jc w:val="both"/>
        <w:rPr>
          <w:rFonts w:ascii="Cambria" w:hAnsi="Cambria" w:cs="Arial"/>
          <w:b/>
          <w:color w:val="C00000"/>
          <w:sz w:val="28"/>
          <w:szCs w:val="28"/>
          <w:lang w:val="id-ID"/>
        </w:rPr>
      </w:pPr>
      <w:r>
        <w:rPr>
          <w:rFonts w:ascii="Cambria" w:hAnsi="Cambria" w:cs="Arial"/>
          <w:b/>
          <w:color w:val="C00000"/>
          <w:sz w:val="28"/>
          <w:szCs w:val="28"/>
          <w:lang w:val="en-US"/>
        </w:rPr>
        <w:t>Hasil dan Pembahasan</w:t>
      </w:r>
    </w:p>
    <w:p w14:paraId="74F58626" w14:textId="77777777" w:rsidR="005231C1" w:rsidRPr="00C1240A" w:rsidRDefault="005231C1" w:rsidP="005231C1">
      <w:pPr>
        <w:spacing w:after="0" w:line="240" w:lineRule="auto"/>
        <w:ind w:firstLine="720"/>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Berdasarkan Pasal 506 KUHPER, tanah dan bangunan diklasifikasikan sebagai benda yang tidak bergerak. Sebagai aset yang bernilai ekonomis tinggi, keberadaan tanah dan bangunan sendiri memiliki kedudukan yang signifikan. Pemanfaatannya kini tidak hanya sekadar untuk pemenuhan kebutuhan tempat tinggal semata, namun telah meluas menjadi objek dalam hubungan hukum keperdataan. Belakangan ini, kebutuhan ekonomi mendorong pemanfaatan tanah dan bangunan tidak hanya bertitik pada jual beli, namun dapat dimanfaatkan dalam pada kegiatan lain. Salah satu bentuk pemanfaatan yang dapat dilakukan terhadap </w:t>
      </w:r>
      <w:r w:rsidRPr="00C1240A">
        <w:rPr>
          <w:rFonts w:ascii="Cambria" w:eastAsia="Book Antiqua" w:hAnsi="Cambria" w:cs="Book Antiqua"/>
          <w:sz w:val="24"/>
          <w:szCs w:val="24"/>
          <w:lang w:val="id-ID"/>
        </w:rPr>
        <w:lastRenderedPageBreak/>
        <w:t xml:space="preserve">objek tanah dan bangunan adalah melalui hubungan sewa menyewa, hal ini didasarkan pada perjanjian sewa menyewa antara pemilik tanah dan bangunan kepada si penyewa dalam jangka waktu tertentu. Secara yuridis, sewa menyewa terklasifikasi dalam perjanjian bernama yang telah diatur pada Pasal 1548 sampai dengan Pasal 1600 KUHPER. Dalam Pasal 1548 KUHPER tersebut menjelaskan definisi dari sewa menyewa sebagai berikut : </w:t>
      </w:r>
    </w:p>
    <w:p w14:paraId="0A285E5D" w14:textId="77777777" w:rsidR="005231C1" w:rsidRPr="00C1240A" w:rsidRDefault="005231C1" w:rsidP="005231C1">
      <w:pPr>
        <w:spacing w:after="0" w:line="240" w:lineRule="auto"/>
        <w:ind w:left="720"/>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“Sewa menyewa ialah suatu persetujuan, dengan mana pihak yang satu mengikatkan dirinya untuk memberikan kepada pihak yang lainnya kenikmatan dari sesuatu barang, selama suatu waktu tertentu dan dengan pembayaran suatu harga, yang oleh pihak tersebut terakhir itu disanggupi pembayarannya.”</w:t>
      </w:r>
    </w:p>
    <w:p w14:paraId="4E7F34B7" w14:textId="011642D3" w:rsidR="005231C1" w:rsidRPr="00C1240A" w:rsidRDefault="005231C1" w:rsidP="005231C1">
      <w:pPr>
        <w:spacing w:line="240" w:lineRule="auto"/>
        <w:ind w:firstLine="720"/>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 xml:space="preserve">Lebih lanjut, nilai jual yang stabil menjadikan tanah dan bangunan sebagai objek jaminan yang ideal. Sebagai benda tidak bergerak, tanah dan bangunan dapat dibebani dengan Hak Tanggungan. Hal ini ditegaskan dalam Pasal 4 ayat (1) UUHT yang pada pokoknya menyatakan bahwa Hak Tanggungan dapat dibebankan pada hak atas tanah beserta bangunan yang merupakan satu kesatuan dengan tanah tersebut. Berdasarkan konstruksi hukum tersebut, tanah dan bangunan sangat mungkin bersinggungan sebagai objek sewa-menyewa sekaligus objek Hak Tanggungan. Persinggungan antara kedua perbuatan hukum ini umumnya terjadi dalam dua skenario sebagai berikut : </w:t>
      </w:r>
    </w:p>
    <w:p w14:paraId="4FDD2EB8" w14:textId="77777777" w:rsidR="005231C1" w:rsidRPr="00AE35D7" w:rsidRDefault="005231C1" w:rsidP="005231C1">
      <w:pPr>
        <w:pStyle w:val="JEM23SUBHEADING"/>
        <w:numPr>
          <w:ilvl w:val="0"/>
          <w:numId w:val="10"/>
        </w:numPr>
        <w:spacing w:line="276" w:lineRule="auto"/>
        <w:ind w:left="426" w:hanging="426"/>
        <w:rPr>
          <w:rFonts w:ascii="Cambria" w:hAnsi="Cambria"/>
          <w:color w:val="C00000"/>
          <w:lang w:val="id-ID"/>
        </w:rPr>
      </w:pPr>
      <w:r w:rsidRPr="00AE35D7">
        <w:rPr>
          <w:rFonts w:ascii="Cambria" w:hAnsi="Cambria"/>
          <w:color w:val="C00000"/>
          <w:lang w:val="id-ID"/>
        </w:rPr>
        <w:t>S</w:t>
      </w:r>
      <w:r>
        <w:rPr>
          <w:rFonts w:ascii="Cambria" w:hAnsi="Cambria"/>
          <w:color w:val="C00000"/>
          <w:lang w:val="id-ID"/>
        </w:rPr>
        <w:t xml:space="preserve">ewa-menyewa dilakukan sebelum objek tanah dan bangunan dibebankan dengan Hak Tanggungan </w:t>
      </w:r>
    </w:p>
    <w:p w14:paraId="73563111" w14:textId="77777777" w:rsidR="005231C1" w:rsidRPr="00C1240A" w:rsidRDefault="005231C1" w:rsidP="005231C1">
      <w:pPr>
        <w:spacing w:after="0"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Dalam skenario ini, terdapat objek berupa tanah dan bangunan yang disewakan oleh pemilik kepada pihak ketiga (dalam hal ini penyewa) yang kemudian setelah disewakan, tanah dan bangunan tersebut dijadikan jaminan dalam bentuk hak tanggungan atas perjanjian hutang piutang yang diadakan antara pemilik objek sewa dengan bank. Pada tahap awal, para pihak membuat perjanjian sewa menyewa atas tanah dan bangunan. Definisi dari perjanjian sewa menyewa terdapat di Pasal 1548 KUHPER. Berdasarkan rumusan pasal tersebut, terdapat beberapa esensi dari sewa menyewa, yakni yang pertama adalah persetujuan, memberikan kenikmatan, waktu tertentu dan harga yang disepakati. Dalam hubungan hukum ini, dapat diambil benang merah bahwa terdapat hak dan kewajiban timbal balik dari masing-masing pihak. Aspek ini juga telah diakomodir dalam Peraturan Pemerintah Nomor 14 Tahun 2016 tentang Penyelenggaraan Perumahan dan Kawasan Permukiman (Selanjutnya disebut PP Nomor 14 Tahun 2016) pada Pasal 28 ayat (4) dan ayat (5). Dalam pasal </w:t>
      </w:r>
      <w:r w:rsidRPr="00C1240A">
        <w:rPr>
          <w:rFonts w:ascii="Cambria" w:eastAsia="Book Antiqua" w:hAnsi="Cambria" w:cs="Book Antiqua"/>
          <w:i/>
          <w:iCs/>
          <w:sz w:val="24"/>
          <w:szCs w:val="24"/>
          <w:lang w:val="id-ID"/>
        </w:rPr>
        <w:t>a quo</w:t>
      </w:r>
      <w:r w:rsidRPr="00C1240A">
        <w:rPr>
          <w:rFonts w:ascii="Cambria" w:eastAsia="Book Antiqua" w:hAnsi="Cambria" w:cs="Book Antiqua"/>
          <w:sz w:val="24"/>
          <w:szCs w:val="24"/>
          <w:lang w:val="id-ID"/>
        </w:rPr>
        <w:t xml:space="preserve"> menjelaskan bahwa setidak-tidaknya penghunian rumah yang dilakukan dengan cara sewa menyewa didasarkan dengan adanya perjanjian tertulis antara penyewa dan pemberi sewa. Lebih lanjut, ketentuan mengenai perjanjian tersebut harus memuat ketentuan mengenai hak dan kewajiban, jangka waktu, harga sewa serta meliputi keadaan kahar yang mungkin akan terjadi. </w:t>
      </w:r>
    </w:p>
    <w:p w14:paraId="4CA54C6A" w14:textId="77777777" w:rsidR="005231C1" w:rsidRPr="00C1240A" w:rsidRDefault="005231C1" w:rsidP="005231C1">
      <w:pPr>
        <w:spacing w:after="0"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Penting untuk diperhatikan bahwa perjanjian sewa-menyewa sebaiknya dibuat secara tertulis. Perjanjian dapat dibuat lisan atau tertulis sepanjang memenuhi syarat-syarat perjanjian yang termaktub pada Pasal 1320 KUHPER, meskipun pada prinsipnya perjanjian tidak selalu mensyaratkan bentuk </w:t>
      </w:r>
      <w:r w:rsidRPr="00C1240A">
        <w:rPr>
          <w:rFonts w:ascii="Cambria" w:eastAsia="Book Antiqua" w:hAnsi="Cambria" w:cs="Book Antiqua"/>
          <w:sz w:val="24"/>
          <w:szCs w:val="24"/>
          <w:lang w:val="id-ID"/>
        </w:rPr>
        <w:lastRenderedPageBreak/>
        <w:t>perjanjian secara tertulis, akan tetapi, pembuatan perjanjian secara tertulis memiliki tujuan penting yaitu memberikan kepastian dan perlindungan hukum bagi para pihak yang terikat di dalamnya. Hal ini sejalan dengan asas kebebasan berkontrak yang memberikan kebebasan kepada para pihak untuk menentukan isi, bentuk dan cara mengikatkan diri dalam perjanjian. Asas kebebasan berkontrak ini merupakan perwujudan dari hak asasi manusia untuk secara bebas menentukan dan mengikatkan diri dalam suatu hubungan hukum.</w:t>
      </w:r>
      <w:r w:rsidRPr="00C1240A">
        <w:rPr>
          <w:rFonts w:ascii="Cambria" w:eastAsia="Book Antiqua" w:hAnsi="Cambria" w:cs="Book Antiqua"/>
          <w:sz w:val="24"/>
          <w:szCs w:val="24"/>
          <w:vertAlign w:val="superscript"/>
          <w:lang w:val="id-ID"/>
        </w:rPr>
        <w:footnoteReference w:id="16"/>
      </w:r>
      <w:r w:rsidRPr="00C1240A">
        <w:rPr>
          <w:rFonts w:ascii="Cambria" w:eastAsia="Book Antiqua" w:hAnsi="Cambria" w:cs="Book Antiqua"/>
          <w:sz w:val="24"/>
          <w:szCs w:val="24"/>
          <w:lang w:val="id-ID"/>
        </w:rPr>
        <w:t xml:space="preserve"> </w:t>
      </w:r>
    </w:p>
    <w:p w14:paraId="7C71666E" w14:textId="77777777" w:rsidR="005231C1" w:rsidRPr="00C1240A" w:rsidRDefault="005231C1" w:rsidP="005231C1">
      <w:pPr>
        <w:spacing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KUHPER tidak mensyaratkan secara tegas tentang bentuk dari perjanjian sewa-menyewa. Namun, dasar dari pembuatan sebuah perjanjian dapat dilihat dari pasal 1320 KUHPER yang mensyaratkan : </w:t>
      </w:r>
    </w:p>
    <w:p w14:paraId="257387B1" w14:textId="77777777" w:rsidR="005231C1" w:rsidRPr="00C1240A" w:rsidRDefault="005231C1" w:rsidP="005231C1">
      <w:pPr>
        <w:numPr>
          <w:ilvl w:val="0"/>
          <w:numId w:val="14"/>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Sepakat mereka yang mengikatkan diri</w:t>
      </w:r>
    </w:p>
    <w:p w14:paraId="5C296359" w14:textId="77777777" w:rsidR="005231C1" w:rsidRPr="00C1240A" w:rsidRDefault="005231C1" w:rsidP="005231C1">
      <w:pPr>
        <w:numPr>
          <w:ilvl w:val="0"/>
          <w:numId w:val="14"/>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Kecakapan untuk membuat suatu perikatan</w:t>
      </w:r>
    </w:p>
    <w:p w14:paraId="3AD52333" w14:textId="77777777" w:rsidR="005231C1" w:rsidRPr="00C1240A" w:rsidRDefault="005231C1" w:rsidP="005231C1">
      <w:pPr>
        <w:numPr>
          <w:ilvl w:val="0"/>
          <w:numId w:val="14"/>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 xml:space="preserve">Suatu hal tertentu </w:t>
      </w:r>
    </w:p>
    <w:p w14:paraId="1DB43B83" w14:textId="77777777" w:rsidR="005231C1" w:rsidRDefault="005231C1" w:rsidP="005231C1">
      <w:pPr>
        <w:numPr>
          <w:ilvl w:val="0"/>
          <w:numId w:val="14"/>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 xml:space="preserve">Suatu sebab yang halal </w:t>
      </w:r>
    </w:p>
    <w:p w14:paraId="265BDE38" w14:textId="77777777" w:rsidR="005231C1" w:rsidRPr="00B21356" w:rsidRDefault="005231C1" w:rsidP="005231C1">
      <w:pPr>
        <w:spacing w:after="0" w:line="240" w:lineRule="auto"/>
        <w:ind w:left="1275"/>
        <w:jc w:val="both"/>
        <w:rPr>
          <w:rFonts w:ascii="Cambria" w:eastAsia="Book Antiqua" w:hAnsi="Cambria" w:cs="Book Antiqua"/>
          <w:i/>
          <w:iCs/>
          <w:sz w:val="24"/>
          <w:szCs w:val="24"/>
          <w:lang w:val="id-ID"/>
        </w:rPr>
      </w:pPr>
    </w:p>
    <w:p w14:paraId="2D68C4B7" w14:textId="77777777" w:rsidR="005231C1" w:rsidRPr="00C1240A" w:rsidRDefault="005231C1" w:rsidP="005231C1">
      <w:pPr>
        <w:spacing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Dari ketentuan dalam PP Nomor 14 Tahun 2016 dan syarat yang telah ditentukan dalam KUHPER dapat disimpulkan bahwa dalam perjanjian sewa-menyewa setidaknya mencakup unsur-unsur berikut :</w:t>
      </w:r>
      <w:r w:rsidRPr="00C1240A">
        <w:rPr>
          <w:rFonts w:ascii="Cambria" w:eastAsia="Book Antiqua" w:hAnsi="Cambria" w:cs="Book Antiqua"/>
          <w:sz w:val="24"/>
          <w:szCs w:val="24"/>
          <w:vertAlign w:val="superscript"/>
          <w:lang w:val="id-ID"/>
        </w:rPr>
        <w:footnoteReference w:id="17"/>
      </w:r>
    </w:p>
    <w:p w14:paraId="274F6711" w14:textId="77777777" w:rsidR="005231C1" w:rsidRPr="00C1240A" w:rsidRDefault="005231C1" w:rsidP="005231C1">
      <w:pPr>
        <w:numPr>
          <w:ilvl w:val="0"/>
          <w:numId w:val="12"/>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Adanya dua pihak yang terlibat, yakni pihak yang menyewakan dan pihak yang menyewa.</w:t>
      </w:r>
    </w:p>
    <w:p w14:paraId="2C31AEB3" w14:textId="77777777" w:rsidR="005231C1" w:rsidRPr="00C1240A" w:rsidRDefault="005231C1" w:rsidP="005231C1">
      <w:pPr>
        <w:numPr>
          <w:ilvl w:val="0"/>
          <w:numId w:val="12"/>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Adanya kesepakatan antara kedua belah pihak untuk mengikatkan diri dalam hubungan sewa menyewa.</w:t>
      </w:r>
    </w:p>
    <w:p w14:paraId="0907D35C" w14:textId="77777777" w:rsidR="005231C1" w:rsidRPr="00C1240A" w:rsidRDefault="005231C1" w:rsidP="005231C1">
      <w:pPr>
        <w:numPr>
          <w:ilvl w:val="0"/>
          <w:numId w:val="12"/>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Adanya objek sewa.</w:t>
      </w:r>
    </w:p>
    <w:p w14:paraId="0C442B18" w14:textId="77777777" w:rsidR="005231C1" w:rsidRPr="00C1240A" w:rsidRDefault="005231C1" w:rsidP="005231C1">
      <w:pPr>
        <w:numPr>
          <w:ilvl w:val="0"/>
          <w:numId w:val="12"/>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Adanya kewajiban bagi pihak yang menyewakan untuk memberikan kenikmatan atas penggunaan objek yang disewakan.</w:t>
      </w:r>
    </w:p>
    <w:p w14:paraId="2E35F3D0" w14:textId="77777777" w:rsidR="005231C1" w:rsidRDefault="005231C1" w:rsidP="005231C1">
      <w:pPr>
        <w:numPr>
          <w:ilvl w:val="0"/>
          <w:numId w:val="12"/>
        </w:numPr>
        <w:spacing w:after="0" w:line="240" w:lineRule="auto"/>
        <w:ind w:left="1275"/>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Adanya kewajiban bagi pihak penyewa untuk membayar sejumlah uang tertentu sebagai harga sewa.</w:t>
      </w:r>
    </w:p>
    <w:p w14:paraId="66D73FF6" w14:textId="77777777" w:rsidR="005231C1" w:rsidRPr="00744996" w:rsidRDefault="005231C1" w:rsidP="005231C1">
      <w:pPr>
        <w:spacing w:after="0" w:line="240" w:lineRule="auto"/>
        <w:ind w:left="1275"/>
        <w:jc w:val="both"/>
        <w:rPr>
          <w:rFonts w:ascii="Cambria" w:eastAsia="Book Antiqua" w:hAnsi="Cambria" w:cs="Book Antiqua"/>
          <w:i/>
          <w:iCs/>
          <w:sz w:val="24"/>
          <w:szCs w:val="24"/>
          <w:lang w:val="id-ID"/>
        </w:rPr>
      </w:pPr>
    </w:p>
    <w:p w14:paraId="6ABDB28E" w14:textId="77777777" w:rsidR="005231C1" w:rsidRPr="00C1240A" w:rsidRDefault="005231C1" w:rsidP="005231C1">
      <w:pPr>
        <w:spacing w:after="0"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Oleh karena itu, dalam perjanjian sewa menyewa setidaknya harus memuat unsur-unsur sebagaimana yang telah diuraikan sebelumnya. Perjanjian sewa pada dasarnya merupakan hubungan hukum yang bersifat perseorangan</w:t>
      </w:r>
      <w:r w:rsidRPr="00C1240A">
        <w:rPr>
          <w:rFonts w:ascii="Cambria" w:eastAsia="Book Antiqua" w:hAnsi="Cambria" w:cs="Book Antiqua"/>
          <w:sz w:val="24"/>
          <w:szCs w:val="24"/>
          <w:vertAlign w:val="superscript"/>
          <w:lang w:val="id-ID"/>
        </w:rPr>
        <w:footnoteReference w:id="18"/>
      </w:r>
      <w:r w:rsidRPr="00C1240A">
        <w:rPr>
          <w:rFonts w:ascii="Cambria" w:eastAsia="Book Antiqua" w:hAnsi="Cambria" w:cs="Book Antiqua"/>
          <w:sz w:val="24"/>
          <w:szCs w:val="24"/>
          <w:lang w:val="id-ID"/>
        </w:rPr>
        <w:t xml:space="preserve">, namun para pihak yang bersangkutan berhak mendapatkan perlindungan hukum sepanjang perjanjian sewanya dibuat secara sah dan dilaksanakan dengan itikad baik. Dalam hubungan hukum ini, pemberi sewa berkewajiban untuk menjamin pihak penyewa dapat menikmati objek sewa secara aman dan tenteram serta melindungi segala bentuk ancaman dari pihak ketiga selama berlangsungnya masa sewa. Selain itu, di dalam perjanjian sewa menyewa juga harus didasarkan pada prinsip kesetaraan dengan landasan teori keadilan. Apabila prinsip tersebut tidak terpenuhi, maka perjanjian tersebut akan berpotensi menimbulkan ketidakseimbangan antara hak dan kewajiban </w:t>
      </w:r>
      <w:r w:rsidRPr="00C1240A">
        <w:rPr>
          <w:rFonts w:ascii="Cambria" w:eastAsia="Book Antiqua" w:hAnsi="Cambria" w:cs="Book Antiqua"/>
          <w:sz w:val="24"/>
          <w:szCs w:val="24"/>
          <w:lang w:val="id-ID"/>
        </w:rPr>
        <w:lastRenderedPageBreak/>
        <w:t>diantara para pihak, sehingga dapat mempengaruhi kualitas keadilan dari perjanjian itu sendiri.</w:t>
      </w:r>
    </w:p>
    <w:p w14:paraId="0A77EAE6" w14:textId="77777777" w:rsidR="005231C1" w:rsidRPr="00C1240A" w:rsidRDefault="005231C1" w:rsidP="005231C1">
      <w:pPr>
        <w:spacing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 xml:space="preserve">Umumnya, dalam perjanjian sewa menyewa yang terjadi sehari hari dibuat dengan cara tidak formal tanpa didaftarkan ke Badan Pertanahan Nasional (Selanjutnya disebut BPN), serta tidak dibuatkan akta yang berbentuk notariil. Dalam hal ini pemberi sewa memiliki tanggung jawab administratif, yakni guna mendaftarkan perjanjian sewa di BPN untuk menjamin asas publisitas dan kepastian hukum. Hal ini adalah cerminan dari Pasal 44 ayat (1) Peraturan Pemerintah Nomor 24 Tahun 1997 tentang Pendaftaran Tanah yang menyatakan bahwa : </w:t>
      </w:r>
    </w:p>
    <w:p w14:paraId="357B2FF4" w14:textId="77777777" w:rsidR="005231C1" w:rsidRPr="00C3580A" w:rsidRDefault="005231C1" w:rsidP="005231C1">
      <w:pPr>
        <w:spacing w:line="240" w:lineRule="auto"/>
        <w:ind w:left="992"/>
        <w:jc w:val="both"/>
        <w:rPr>
          <w:rFonts w:ascii="Cambria" w:eastAsia="Book Antiqua" w:hAnsi="Cambria" w:cs="Book Antiqua"/>
          <w:i/>
          <w:iCs/>
          <w:sz w:val="24"/>
          <w:szCs w:val="24"/>
          <w:lang w:val="id-ID"/>
        </w:rPr>
      </w:pPr>
      <w:r w:rsidRPr="00C1240A">
        <w:rPr>
          <w:rFonts w:ascii="Cambria" w:eastAsia="Book Antiqua" w:hAnsi="Cambria" w:cs="Book Antiqua"/>
          <w:i/>
          <w:iCs/>
          <w:sz w:val="24"/>
          <w:szCs w:val="24"/>
          <w:lang w:val="id-ID"/>
        </w:rPr>
        <w:t>“Pembebanan hak tanggungan pada hak atas tanah atau hak milik atas rumah susun, pembebanan hak guna bangunan, hak pakai dan hak sewa untuk bangunan atas hak milik, dan pembebanan lain pada hak atas tanah atau hak milik atas satuan rumah susun yang ditentukan dengan peraturan perundang-undangan, dapat didaftar jika dibuktikan dengan akta yang dibuat oleh PPAT yang berwenang menurut ketentuan peraturan perundang-undangan yang berlaku.”</w:t>
      </w:r>
    </w:p>
    <w:p w14:paraId="51EB7889" w14:textId="77777777" w:rsidR="005231C1" w:rsidRPr="00C1240A" w:rsidRDefault="005231C1" w:rsidP="005231C1">
      <w:pPr>
        <w:spacing w:after="0" w:line="240" w:lineRule="auto"/>
        <w:ind w:left="425" w:firstLine="566"/>
        <w:jc w:val="both"/>
        <w:rPr>
          <w:rFonts w:ascii="Cambria" w:eastAsia="Book Antiqua" w:hAnsi="Cambria" w:cs="Book Antiqua"/>
          <w:sz w:val="24"/>
          <w:szCs w:val="24"/>
          <w:highlight w:val="yellow"/>
          <w:lang w:val="id-ID"/>
        </w:rPr>
      </w:pPr>
      <w:r w:rsidRPr="00C1240A">
        <w:rPr>
          <w:rFonts w:ascii="Cambria" w:eastAsia="Book Antiqua" w:hAnsi="Cambria" w:cs="Book Antiqua"/>
          <w:sz w:val="24"/>
          <w:szCs w:val="24"/>
          <w:lang w:val="id-ID"/>
        </w:rPr>
        <w:t>Dengan adanya pengaturan tersebut, maka sebenarnya penyewa memiliki hak untuk diakui secara hukum. Maka daripada itu, sebaiknya dalam perjanjian sewa menyewa antara penyewa dan pemberi sewa dapat memastikan bahwa hubungan sewa menyewa juga didaftarkan ke BPN sebagai bentuk perlindungan kepada penyewa. Apabila dalam hal ini si pemberi sewa tidak memenuhi kewajiban tersebut, dapat dianggap sebagai bentuk kelalaian.</w:t>
      </w:r>
      <w:r w:rsidRPr="00C1240A">
        <w:rPr>
          <w:rFonts w:ascii="Cambria" w:eastAsia="Book Antiqua" w:hAnsi="Cambria" w:cs="Book Antiqua"/>
          <w:sz w:val="24"/>
          <w:szCs w:val="24"/>
          <w:vertAlign w:val="superscript"/>
          <w:lang w:val="id-ID"/>
        </w:rPr>
        <w:footnoteReference w:id="19"/>
      </w:r>
    </w:p>
    <w:p w14:paraId="517BF1E4" w14:textId="77777777" w:rsidR="005231C1" w:rsidRPr="00C1240A" w:rsidRDefault="005231C1" w:rsidP="005231C1">
      <w:pPr>
        <w:spacing w:after="0"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 xml:space="preserve">Pemilik tanah dan bangunan pada dasarnya memiliki hak paling sempurna atas objek yang dimilikinya. Dalam konteks hukum perdata, hal ini disebut dengan hak </w:t>
      </w:r>
      <w:r w:rsidRPr="00C1240A">
        <w:rPr>
          <w:rFonts w:ascii="Cambria" w:eastAsia="Book Antiqua" w:hAnsi="Cambria" w:cs="Book Antiqua"/>
          <w:i/>
          <w:iCs/>
          <w:sz w:val="24"/>
          <w:szCs w:val="24"/>
          <w:highlight w:val="white"/>
          <w:lang w:val="id-ID"/>
        </w:rPr>
        <w:t>eigendom</w:t>
      </w:r>
      <w:r w:rsidRPr="00C1240A">
        <w:rPr>
          <w:rFonts w:ascii="Cambria" w:eastAsia="Book Antiqua" w:hAnsi="Cambria" w:cs="Book Antiqua"/>
          <w:sz w:val="24"/>
          <w:szCs w:val="24"/>
          <w:highlight w:val="white"/>
          <w:lang w:val="id-ID"/>
        </w:rPr>
        <w:t>.</w:t>
      </w:r>
      <w:r w:rsidRPr="00C1240A">
        <w:rPr>
          <w:rFonts w:ascii="Cambria" w:eastAsia="Book Antiqua" w:hAnsi="Cambria" w:cs="Book Antiqua"/>
          <w:sz w:val="24"/>
          <w:szCs w:val="24"/>
          <w:highlight w:val="white"/>
          <w:vertAlign w:val="superscript"/>
          <w:lang w:val="id-ID"/>
        </w:rPr>
        <w:footnoteReference w:id="20"/>
      </w:r>
      <w:r w:rsidRPr="00C1240A">
        <w:rPr>
          <w:rFonts w:ascii="Cambria" w:eastAsia="Book Antiqua" w:hAnsi="Cambria" w:cs="Book Antiqua"/>
          <w:sz w:val="24"/>
          <w:szCs w:val="24"/>
          <w:highlight w:val="white"/>
          <w:lang w:val="id-ID"/>
        </w:rPr>
        <w:t xml:space="preserve"> Oleh karena itu, pemegang hak kebendaan atas suatu barang pada prinsipnya memiliki kebebasan untuk menggunakan dan melakukan apa saja atas barangnya sepanjang tidak melanggar hak-hak orang lain.</w:t>
      </w:r>
      <w:r w:rsidRPr="00C1240A">
        <w:rPr>
          <w:rFonts w:ascii="Cambria" w:eastAsia="Book Antiqua" w:hAnsi="Cambria" w:cs="Book Antiqua"/>
          <w:sz w:val="24"/>
          <w:szCs w:val="24"/>
          <w:highlight w:val="white"/>
          <w:vertAlign w:val="superscript"/>
          <w:lang w:val="id-ID"/>
        </w:rPr>
        <w:footnoteReference w:id="21"/>
      </w:r>
      <w:r w:rsidRPr="00C1240A">
        <w:rPr>
          <w:rFonts w:ascii="Cambria" w:eastAsia="Book Antiqua" w:hAnsi="Cambria" w:cs="Book Antiqua"/>
          <w:sz w:val="24"/>
          <w:szCs w:val="24"/>
          <w:highlight w:val="white"/>
          <w:lang w:val="id-ID"/>
        </w:rPr>
        <w:t xml:space="preserve"> Dengan adanya kewenangan tersebut, dapat diasumsikan bahwa seorang pemilik tanah dan bangunan pada prinsipnya memiliki keabsahan untuk memanfaatkan tanahnya secara optimal untuk memperoleh manfaat ekonomis. </w:t>
      </w:r>
    </w:p>
    <w:p w14:paraId="1AFB94AB" w14:textId="77777777" w:rsidR="005231C1" w:rsidRPr="00C1240A" w:rsidRDefault="005231C1" w:rsidP="005231C1">
      <w:pPr>
        <w:spacing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highlight w:val="white"/>
          <w:lang w:val="id-ID"/>
        </w:rPr>
        <w:t xml:space="preserve">Untuk memperoleh fasilitas pembiayaan dari bank, tanah dan bangunan yang dimiliki seseorang dapat dijadikan sebagai objek jaminan. </w:t>
      </w:r>
      <w:r w:rsidRPr="00C1240A">
        <w:rPr>
          <w:rFonts w:ascii="Cambria" w:eastAsia="Book Antiqua" w:hAnsi="Cambria" w:cs="Book Antiqua"/>
          <w:sz w:val="24"/>
          <w:szCs w:val="24"/>
          <w:lang w:val="id-ID"/>
        </w:rPr>
        <w:t>Jaminan kemudian lebih lanjut dibagi menjadi jaminan umum dan jaminan khusus, dimana kemudian jaminan khusus dibagi menjadi jaminan perorangan dan kebendaan. jaminan benda bergerak dan tidak bergerak. Pada realitanya, dalam memberikan kredit kepada nasabah debitor, jaminan yang diterima bank terbagi menjadi 2, yaitu:</w:t>
      </w:r>
      <w:r w:rsidRPr="00C1240A">
        <w:rPr>
          <w:rFonts w:ascii="Cambria" w:eastAsia="Book Antiqua" w:hAnsi="Cambria" w:cs="Book Antiqua"/>
          <w:sz w:val="24"/>
          <w:szCs w:val="24"/>
          <w:vertAlign w:val="superscript"/>
          <w:lang w:val="id-ID"/>
        </w:rPr>
        <w:footnoteReference w:id="22"/>
      </w:r>
    </w:p>
    <w:p w14:paraId="4083199F" w14:textId="77777777" w:rsidR="005231C1" w:rsidRPr="00C1240A" w:rsidRDefault="005231C1" w:rsidP="005231C1">
      <w:pPr>
        <w:numPr>
          <w:ilvl w:val="0"/>
          <w:numId w:val="16"/>
        </w:numPr>
        <w:spacing w:after="0" w:line="240" w:lineRule="auto"/>
        <w:ind w:left="992"/>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lastRenderedPageBreak/>
        <w:t xml:space="preserve">Jaminan Perorangan, sering dikenal dengan sebutan </w:t>
      </w:r>
      <w:r w:rsidRPr="00C1240A">
        <w:rPr>
          <w:rFonts w:ascii="Cambria" w:eastAsia="Book Antiqua" w:hAnsi="Cambria" w:cs="Book Antiqua"/>
          <w:i/>
          <w:iCs/>
          <w:sz w:val="24"/>
          <w:szCs w:val="24"/>
          <w:lang w:val="id-ID"/>
        </w:rPr>
        <w:t>borgtocht</w:t>
      </w:r>
      <w:r w:rsidRPr="00C1240A">
        <w:rPr>
          <w:rFonts w:ascii="Cambria" w:eastAsia="Book Antiqua" w:hAnsi="Cambria" w:cs="Book Antiqua"/>
          <w:sz w:val="24"/>
          <w:szCs w:val="24"/>
          <w:lang w:val="id-ID"/>
        </w:rPr>
        <w:t xml:space="preserve"> merupakan jaminan dari pihak ketiga untuk kepentingan kreditor memenuhi kewajiban debitor jika debitor gagal bayar.</w:t>
      </w:r>
    </w:p>
    <w:p w14:paraId="007AB6C4" w14:textId="77777777" w:rsidR="005231C1" w:rsidRPr="00C1240A" w:rsidRDefault="005231C1" w:rsidP="005231C1">
      <w:pPr>
        <w:numPr>
          <w:ilvl w:val="0"/>
          <w:numId w:val="16"/>
        </w:numPr>
        <w:spacing w:after="0" w:line="240" w:lineRule="auto"/>
        <w:ind w:left="992"/>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t>Jaminan Kebendaan, meliputi Gadai (untuk benda bergerak), Hipotik (untuk kapal, pesawat terbang, dan helikopter), Fidusia (untuk benda bergerak dan tidak bergerak khususnya tanah dan/atau bangunan yang tidak bisa dilekati Hak Tanggungan), dan Hak Tanggungan (untuk tanah dan/atau bangunan).</w:t>
      </w:r>
    </w:p>
    <w:p w14:paraId="7EC2340C" w14:textId="77777777" w:rsidR="005231C1" w:rsidRPr="00C1240A" w:rsidRDefault="005231C1" w:rsidP="005231C1">
      <w:pPr>
        <w:spacing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lang w:val="id-ID"/>
        </w:rPr>
        <w:t>Pemberian kredit dari bank kepada nasabah debitor selain menggunakan jaminan umum, sering juga ditambah jaminan khusus kebendaan khususnya Hak Tanggungan supaya bank bisa menjadi kreditor preferen. D</w:t>
      </w:r>
      <w:r w:rsidRPr="00C1240A">
        <w:rPr>
          <w:rFonts w:ascii="Cambria" w:eastAsia="Book Antiqua" w:hAnsi="Cambria" w:cs="Book Antiqua"/>
          <w:sz w:val="24"/>
          <w:szCs w:val="24"/>
          <w:highlight w:val="white"/>
          <w:lang w:val="id-ID"/>
        </w:rPr>
        <w:t xml:space="preserve">i Indonesia, pengaturan mengenai jaminan yang objeknya adalah tanah dan bangunan di atasnya diatur dalam UUHT. Pasal 1 angka 1 undang-undang ini menegaskan bahwa : </w:t>
      </w:r>
    </w:p>
    <w:p w14:paraId="7B53AF10" w14:textId="77777777" w:rsidR="005231C1" w:rsidRPr="00C3580A" w:rsidRDefault="005231C1" w:rsidP="005231C1">
      <w:pPr>
        <w:spacing w:line="240" w:lineRule="auto"/>
        <w:ind w:left="992"/>
        <w:jc w:val="both"/>
        <w:rPr>
          <w:rFonts w:ascii="Cambria" w:eastAsia="Book Antiqua" w:hAnsi="Cambria" w:cs="Book Antiqua"/>
          <w:i/>
          <w:iCs/>
          <w:sz w:val="24"/>
          <w:szCs w:val="24"/>
          <w:highlight w:val="white"/>
          <w:lang w:val="id-ID"/>
        </w:rPr>
      </w:pPr>
      <w:r w:rsidRPr="00C1240A">
        <w:rPr>
          <w:rFonts w:ascii="Cambria" w:eastAsia="Book Antiqua" w:hAnsi="Cambria" w:cs="Book Antiqua"/>
          <w:i/>
          <w:iCs/>
          <w:sz w:val="24"/>
          <w:szCs w:val="24"/>
          <w:highlight w:val="white"/>
          <w:lang w:val="id-ID"/>
        </w:rPr>
        <w:t>“Hak Tanggungan, adalah hak jaminan yang dibebankan pada hak atas tanah sebagaimana dimaksud dalam Undang-undang Nomor 5 Tahun 1960 tentang Peraturan Dasar Pokok-Pokok Agraria, berikut atau tidak berikut benda-benda lain yang merupakan satu kesatuan dengan tanah itu, untuk pelunasan utang tertentu, yang memberikan kedudukan yang diutamakan kepada kreditor tertentu terhadap kreditor-kreditor lain”</w:t>
      </w:r>
    </w:p>
    <w:p w14:paraId="546FE42F" w14:textId="77777777" w:rsidR="005231C1" w:rsidRPr="00C1240A" w:rsidRDefault="005231C1" w:rsidP="005231C1">
      <w:pPr>
        <w:spacing w:after="0"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 xml:space="preserve">Pembebanan Hak Tanggungan harus dibuat dalam bentuk akta PPAT yang memuat janji janji sebagaimana disebutkan dalam Pasal 11 UU </w:t>
      </w:r>
      <w:r w:rsidRPr="00C1240A">
        <w:rPr>
          <w:rFonts w:ascii="Cambria" w:eastAsia="Book Antiqua" w:hAnsi="Cambria" w:cs="Book Antiqua"/>
          <w:i/>
          <w:iCs/>
          <w:sz w:val="24"/>
          <w:szCs w:val="24"/>
          <w:highlight w:val="white"/>
          <w:lang w:val="id-ID"/>
        </w:rPr>
        <w:t xml:space="preserve">a quo. </w:t>
      </w:r>
      <w:r w:rsidRPr="00C1240A">
        <w:rPr>
          <w:rFonts w:ascii="Cambria" w:eastAsia="Book Antiqua" w:hAnsi="Cambria" w:cs="Book Antiqua"/>
          <w:sz w:val="24"/>
          <w:szCs w:val="24"/>
          <w:highlight w:val="white"/>
          <w:lang w:val="id-ID"/>
        </w:rPr>
        <w:t>Secara spesifik, dalam ayat (2) huruf a mengakomodasi perlindungan bagi kreditor pemegang Hak Tanggungan melalui pencantuman klausul pembatasan bagi pemberi Hak Tanggungan. Janji ini mencakup larangan bagi pemberi Hak Tanggungan untuk melakukan perbuatan hukum berupa penyewaan objek jaminan kepada pihak ketiga, menambah atau mengubah tenggat waktu sewa yang telah berjalan, hingga mengenai penerimaan pembayaran uang sewa dimuka kecuali mendapat persetujuan dari pemegang Hak Tanggungan.</w:t>
      </w:r>
    </w:p>
    <w:p w14:paraId="6391C427" w14:textId="77777777" w:rsidR="005231C1" w:rsidRDefault="005231C1" w:rsidP="005231C1">
      <w:pPr>
        <w:spacing w:after="0"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Penjelasan pasal tersebut memberikan penegasan normatif bahwa kehadiran  janji janji yang termuat pada Pasal 11 ayat (2) ini memiliki karakteristik hukum yang bersifat fakultatif bukan limitatif. Hal ini mengindikasikan bahwa pembentuk undang-undang tetap menjunjung tinggi prinsip asas kebebasan berkontrak yang memperbolehkan para pihak untuk bernegosiasi dan memutuskan secara independen terkait klausula-klausula yang akan dimuat dalam APHT. Lebih lanjut, makna dari pasal ini bukan dibentuk untuk benar-benar menghilangkan hak kebendaan pemberi Hak Tanggungan secara mutlak, akan tetapi pemberi Hak Tanggungan tetap memiliki legitimasi untuk mempergunakan objek yang dimilikinya sepanjang memperoleh persetujuan dan izin tertulis dari pemegang Hak Tanggungan. Konstruksi hukum ini hakikatnya diperuntukkan untuk membangun harmonisasi yang menguntungkan bagi para pihak. Di satu sisi pihak kreditor mendapat perlindungan atas objek yang dijaminkan dan di sisi lain pihak debitor sejatinya masih memegang hak penguasaan untuk mendayagunakan asetnya, dengan persyaratan berupa persetujuan dan izin tertulis dari pemegang Hak Tanggungan.</w:t>
      </w:r>
    </w:p>
    <w:p w14:paraId="6A1EE747" w14:textId="77777777" w:rsidR="005231C1" w:rsidRPr="00356760" w:rsidRDefault="005231C1" w:rsidP="005231C1">
      <w:pPr>
        <w:spacing w:after="0" w:line="240" w:lineRule="auto"/>
        <w:ind w:left="425" w:firstLine="566"/>
        <w:jc w:val="both"/>
        <w:rPr>
          <w:rFonts w:ascii="Cambria" w:eastAsia="Book Antiqua" w:hAnsi="Cambria" w:cs="Book Antiqua"/>
          <w:sz w:val="24"/>
          <w:szCs w:val="24"/>
          <w:lang w:val="id-ID"/>
        </w:rPr>
      </w:pPr>
      <w:r w:rsidRPr="00C1240A">
        <w:rPr>
          <w:rFonts w:ascii="Cambria" w:eastAsia="Book Antiqua" w:hAnsi="Cambria" w:cs="Book Antiqua"/>
          <w:sz w:val="24"/>
          <w:szCs w:val="24"/>
          <w:lang w:val="id-ID"/>
        </w:rPr>
        <w:lastRenderedPageBreak/>
        <w:t>D</w:t>
      </w:r>
      <w:r w:rsidRPr="00C1240A">
        <w:rPr>
          <w:rFonts w:ascii="Cambria" w:eastAsia="Book Antiqua" w:hAnsi="Cambria" w:cs="Book Antiqua"/>
          <w:sz w:val="24"/>
          <w:szCs w:val="24"/>
          <w:highlight w:val="white"/>
          <w:lang w:val="id-ID"/>
        </w:rPr>
        <w:t>alam kondisi menjaminkan aset yang tengah terikat perjanjian sewa-menyewa dengan pihak ketiga sejatinya menimbulkan kerentanan yuridis bagi pihak kreditor pemegang Hak Tanggungan. Kerentanan ini bersumber dari penafsiran atas Pasal 1576 KUHPER yang menyatakan bahwa jual beli tidak akan memutus sewa menyewa. Akan tetapi, perlu digaris bawahi bahwa pasal ini dapat diperluas makna sebagai pemindahan hak</w:t>
      </w:r>
      <w:r w:rsidRPr="00C1240A">
        <w:rPr>
          <w:rFonts w:ascii="Cambria" w:eastAsia="Book Antiqua" w:hAnsi="Cambria" w:cs="Book Antiqua"/>
          <w:sz w:val="24"/>
          <w:szCs w:val="24"/>
          <w:highlight w:val="white"/>
          <w:vertAlign w:val="superscript"/>
          <w:lang w:val="id-ID"/>
        </w:rPr>
        <w:footnoteReference w:id="23"/>
      </w:r>
      <w:r w:rsidRPr="00C1240A">
        <w:rPr>
          <w:rFonts w:ascii="Cambria" w:eastAsia="Book Antiqua" w:hAnsi="Cambria" w:cs="Book Antiqua"/>
          <w:sz w:val="24"/>
          <w:szCs w:val="24"/>
          <w:highlight w:val="white"/>
          <w:lang w:val="id-ID"/>
        </w:rPr>
        <w:t xml:space="preserve"> atas objek seperti salah satunya adalah dijaminkan. Ketentuan ini sebenarnya menggarisbawahi bahwa perpindahan hak kepemilikan melalui dieksekusinya suatu hak tanggungan, tidak serta merta menggugurkan hak sewa dari penyewa yang </w:t>
      </w:r>
      <w:r w:rsidRPr="00356760">
        <w:rPr>
          <w:rFonts w:ascii="Cambria" w:eastAsia="Book Antiqua" w:hAnsi="Cambria" w:cs="Book Antiqua"/>
          <w:sz w:val="24"/>
          <w:szCs w:val="24"/>
          <w:lang w:val="id-ID"/>
        </w:rPr>
        <w:t>dilakukan sebelumnya. Dalam hal ini berarti bahwa perjanjian sewa menyewa tidak semata mata berakhir walaupun barang yang disewanya itu beralih tangan</w:t>
      </w:r>
      <w:r w:rsidRPr="00356760">
        <w:rPr>
          <w:rStyle w:val="FootnoteReference"/>
          <w:rFonts w:ascii="Cambria" w:eastAsia="Book Antiqua" w:hAnsi="Cambria" w:cs="Book Antiqua"/>
          <w:sz w:val="24"/>
          <w:szCs w:val="24"/>
          <w:lang w:val="id-ID"/>
        </w:rPr>
        <w:footnoteReference w:id="24"/>
      </w:r>
      <w:r w:rsidRPr="00356760">
        <w:rPr>
          <w:rFonts w:ascii="Cambria" w:eastAsia="Book Antiqua" w:hAnsi="Cambria" w:cs="Book Antiqua"/>
          <w:sz w:val="24"/>
          <w:szCs w:val="24"/>
          <w:lang w:val="id-ID"/>
        </w:rPr>
        <w:t xml:space="preserve"> (dalam ini dikuasai oleh bank sebagai kreditor). Persoalan hukum yang paling krusial dalam penelitian ini terletak pada benturan norma antara asas </w:t>
      </w:r>
      <w:r w:rsidRPr="00356760">
        <w:rPr>
          <w:rFonts w:ascii="Cambria" w:eastAsia="Book Antiqua" w:hAnsi="Cambria" w:cs="Book Antiqua"/>
          <w:i/>
          <w:iCs/>
          <w:sz w:val="24"/>
          <w:szCs w:val="24"/>
          <w:lang w:val="id-ID"/>
        </w:rPr>
        <w:t>koop breekt geen huur</w:t>
      </w:r>
      <w:r w:rsidRPr="00356760">
        <w:rPr>
          <w:rFonts w:ascii="Cambria" w:eastAsia="Book Antiqua" w:hAnsi="Cambria" w:cs="Book Antiqua"/>
          <w:sz w:val="24"/>
          <w:szCs w:val="24"/>
          <w:lang w:val="id-ID"/>
        </w:rPr>
        <w:t xml:space="preserve"> sebagaimana diatur dalam Pasal 1576 KUHPerdata dengan hak eksekutorial kreditor pemegang Hak Tanggungan berdasarkan UUHT. Pasal tersebut pada prinsipnya memberikan perlindungan kepada penyewa dengan menentukan bahwa jual beli tidak memutus hubungan sewa menyewa. Berdasarkan asas tersebut, penyewa tetap berhak menikmati objek sewa sampai berakhirnya jangka waktu sewa yang telah diperjanjikan, meskipun terjadi peralihan hak atas objek tersebut kepada pihak lain.</w:t>
      </w:r>
    </w:p>
    <w:p w14:paraId="3E9B8A33" w14:textId="77777777" w:rsidR="005231C1" w:rsidRPr="007E47F6" w:rsidRDefault="005231C1" w:rsidP="005231C1">
      <w:pPr>
        <w:spacing w:after="0" w:line="240" w:lineRule="auto"/>
        <w:ind w:left="425" w:firstLine="566"/>
        <w:jc w:val="both"/>
      </w:pPr>
      <w:r w:rsidRPr="00356760">
        <w:rPr>
          <w:rFonts w:ascii="Cambria" w:eastAsia="Book Antiqua" w:hAnsi="Cambria" w:cs="Book Antiqua"/>
          <w:sz w:val="24"/>
          <w:szCs w:val="24"/>
          <w:lang w:val="id-ID"/>
        </w:rPr>
        <w:t xml:space="preserve">Permasalahan kemudian muncul ketika objek yang sedang disewa dieksekusi melalui pelelangan umum akibat debitor wanprestasi. Dalam konteks ini timbul pertanyaan hukum, apakah pelelangan eksekusi Hak Tanggungan dapat dipersamakan sebagai bentuk “jual beli” sebagaimana dimaksud dalam Pasal 1576 KUHPerdata. Apabila ketentuan tersebut diterapkan secara mutlak, maka pemenang lelang harus tetap menghormati hubungan sewa menyewa yang telah ada sebelumnya sampai masa sewanya berakhir. Kondisi demikian di satu sisi memberikan perlindungan hukum kepada penyewa sebagai pihak ketiga yang beritikad baik. Akan tetapi, di sisi lain keadaan tersebut berpotensi mengurangi efektivitas hak eksekutorial kreditor pemegang Hak Tanggungan. Sebelum lelang dilaksanakan, terdapat beberapa ketentuan yang harus dipenuhi, salah satunya adalah membuat pengumuman lelang baik dalam bentuk selebaran, surat kabar, maupun tertulis pada aplikasi lelang. Atas pengumuman tersebut diharapkan pihak-pihak yang merasa haknya dilanggar dengan adanya lelang, dapat mengajukan kebaratan tertulis ke Kantor Pelayanan Kekayaan Negara dan Lelang (KPKNL) tempat objek tersebut dilelang. Jika tidak terdapat keberatan, maka proses lelang dapat dilanjutkan untuk memperoleh pemenang yang akan memiliki objek tersebut.  Dalam hal objek yang masih terikat dengan hubungan sewa menyewa, pemenang lelang tidak dapat segera menguasai objek jaminan, sehingga nilai ekonomis objek lelang dapat menurun dan minat calon pembeli lelang menjadi </w:t>
      </w:r>
      <w:r w:rsidRPr="00356760">
        <w:rPr>
          <w:rFonts w:ascii="Cambria" w:eastAsia="Book Antiqua" w:hAnsi="Cambria" w:cs="Book Antiqua"/>
          <w:sz w:val="24"/>
          <w:szCs w:val="24"/>
          <w:lang w:val="id-ID"/>
        </w:rPr>
        <w:lastRenderedPageBreak/>
        <w:t>berkurang. Akibatnya, kepastian hukum dan kepentingan kreditor untuk memperoleh pelunasan piutang menjadi terganggu.</w:t>
      </w:r>
    </w:p>
    <w:p w14:paraId="7011A695" w14:textId="77777777" w:rsidR="005231C1" w:rsidRPr="00C1240A" w:rsidRDefault="005231C1" w:rsidP="005231C1">
      <w:pPr>
        <w:spacing w:after="0"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Meskipun terdapat resiko-resiko yang sedemikian rupa, lembaga perbankan pada dasarnya tetap memiliki diskresi untuk menerima jaminan berstatus disewakan. Langkah ini dapat direalisasikan dengan syarat bank mengimplementasikan prosedur mitigasi risiko yang komprehensif, sebagai manifestasi dari kepatuhan terhadap prinsip kehati-hatian (</w:t>
      </w:r>
      <w:r w:rsidRPr="00C1240A">
        <w:rPr>
          <w:rFonts w:ascii="Cambria" w:eastAsia="Book Antiqua" w:hAnsi="Cambria" w:cs="Book Antiqua"/>
          <w:i/>
          <w:iCs/>
          <w:sz w:val="24"/>
          <w:szCs w:val="24"/>
          <w:highlight w:val="white"/>
          <w:lang w:val="id-ID"/>
        </w:rPr>
        <w:t>prudential banking principle</w:t>
      </w:r>
      <w:r w:rsidRPr="00C1240A">
        <w:rPr>
          <w:rFonts w:ascii="Cambria" w:eastAsia="Book Antiqua" w:hAnsi="Cambria" w:cs="Book Antiqua"/>
          <w:sz w:val="24"/>
          <w:szCs w:val="24"/>
          <w:highlight w:val="white"/>
          <w:lang w:val="id-ID"/>
        </w:rPr>
        <w:t>). Prinsip ini menuntut bank untuk bertindak cermat dalam mengelola dan menghimpun dana masyarakat dengan sangat hati-hati.</w:t>
      </w:r>
      <w:r w:rsidRPr="00C1240A">
        <w:rPr>
          <w:rFonts w:ascii="Cambria" w:eastAsia="Book Antiqua" w:hAnsi="Cambria" w:cs="Book Antiqua"/>
          <w:sz w:val="24"/>
          <w:szCs w:val="24"/>
          <w:highlight w:val="white"/>
          <w:vertAlign w:val="superscript"/>
          <w:lang w:val="id-ID"/>
        </w:rPr>
        <w:footnoteReference w:id="25"/>
      </w:r>
      <w:r w:rsidRPr="00C1240A">
        <w:rPr>
          <w:rFonts w:ascii="Cambria" w:eastAsia="Book Antiqua" w:hAnsi="Cambria" w:cs="Book Antiqua"/>
          <w:sz w:val="24"/>
          <w:szCs w:val="24"/>
          <w:highlight w:val="white"/>
          <w:lang w:val="id-ID"/>
        </w:rPr>
        <w:t xml:space="preserve"> Hal ini dilakukan guna memastikan bahwa seluruh kegiatan bank yang dilaksanakan itu patuh pada prinsip dan aturan yang berlaku.</w:t>
      </w:r>
      <w:r w:rsidRPr="00C1240A">
        <w:rPr>
          <w:rFonts w:ascii="Cambria" w:eastAsia="Book Antiqua" w:hAnsi="Cambria" w:cs="Book Antiqua"/>
          <w:sz w:val="24"/>
          <w:szCs w:val="24"/>
          <w:highlight w:val="white"/>
          <w:vertAlign w:val="superscript"/>
          <w:lang w:val="id-ID"/>
        </w:rPr>
        <w:footnoteReference w:id="26"/>
      </w:r>
      <w:r w:rsidRPr="00C1240A">
        <w:rPr>
          <w:rFonts w:ascii="Cambria" w:eastAsia="Book Antiqua" w:hAnsi="Cambria" w:cs="Book Antiqua"/>
          <w:sz w:val="24"/>
          <w:szCs w:val="24"/>
          <w:highlight w:val="white"/>
          <w:lang w:val="id-ID"/>
        </w:rPr>
        <w:t xml:space="preserve"> Oleh karena itu, dalam penyaluran kredit kepada nasabah, bank diwajibkan untuk melakukan analisis mendalam untuk meyakini niat baik dan kesanggupan nasabah debitor untuk melakukan pelunasan.</w:t>
      </w:r>
    </w:p>
    <w:p w14:paraId="70309D15" w14:textId="77777777" w:rsidR="005231C1" w:rsidRPr="00C1240A" w:rsidRDefault="005231C1" w:rsidP="005231C1">
      <w:pPr>
        <w:spacing w:after="0"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 xml:space="preserve">Sebagai perwujudan dari langkah mitigasi risiko tersebut, bank pada prinsipnya mensyaratkan adanya instrumen hukum berupa Surat Pernyataan Pengosongan. Berkaitan dengan kasus ini berdasarkan skema bahwa objek jaminan sedang dikuasai oleh pihak ketiga (penyewa), keberadaan surat pernyataan pengosongan ini menjadi sangat penting. Dokumen ini berfungsi untuk memberikan perlindungan preventif kepada bank selaku kreditor. Dengan adanya komitmen tertulis mengenai surat pengosongan ini, bank memiliki dasar untuk memastikan proses eksekusi atau pelelangan objek jaminannya dapat terealisasikan dengan lancar tanpa ada hambatan oleh berlakunya sewa menyewa yang mungkin belum berakhir masa sewanya. Hal ini tentu akan mengamankan posisi bank untuk memperoleh kembali pelunasan piutangnya. </w:t>
      </w:r>
      <w:r w:rsidRPr="00C1240A">
        <w:rPr>
          <w:rFonts w:ascii="Cambria" w:eastAsia="Book Antiqua" w:hAnsi="Cambria" w:cs="Book Antiqua"/>
          <w:sz w:val="24"/>
          <w:szCs w:val="24"/>
          <w:highlight w:val="white"/>
          <w:lang w:val="id-ID"/>
        </w:rPr>
        <w:tab/>
      </w:r>
      <w:r w:rsidRPr="00C1240A">
        <w:rPr>
          <w:rFonts w:ascii="Cambria" w:eastAsia="Book Antiqua" w:hAnsi="Cambria" w:cs="Book Antiqua"/>
          <w:sz w:val="24"/>
          <w:szCs w:val="24"/>
          <w:highlight w:val="white"/>
          <w:lang w:val="id-ID"/>
        </w:rPr>
        <w:tab/>
      </w:r>
    </w:p>
    <w:p w14:paraId="140731AE" w14:textId="77777777" w:rsidR="005231C1" w:rsidRPr="00C1240A" w:rsidRDefault="005231C1" w:rsidP="005231C1">
      <w:pPr>
        <w:spacing w:line="240" w:lineRule="auto"/>
        <w:ind w:left="425" w:firstLine="566"/>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Adapun isi dari surat pernyataan pengosongan yang harus ditandatangani oleh pihak penyewa, pemilik objek hak tanggungan, dan bank meliputi:</w:t>
      </w:r>
      <w:r w:rsidRPr="00C1240A">
        <w:rPr>
          <w:rFonts w:ascii="Cambria" w:eastAsia="Book Antiqua" w:hAnsi="Cambria" w:cs="Book Antiqua"/>
          <w:sz w:val="24"/>
          <w:szCs w:val="24"/>
          <w:highlight w:val="white"/>
          <w:vertAlign w:val="superscript"/>
          <w:lang w:val="id-ID"/>
        </w:rPr>
        <w:footnoteReference w:id="27"/>
      </w:r>
    </w:p>
    <w:p w14:paraId="7309AE35" w14:textId="77777777" w:rsidR="005231C1" w:rsidRPr="00C1240A" w:rsidRDefault="005231C1" w:rsidP="005231C1">
      <w:pPr>
        <w:numPr>
          <w:ilvl w:val="0"/>
          <w:numId w:val="13"/>
        </w:numPr>
        <w:spacing w:after="0" w:line="240" w:lineRule="auto"/>
        <w:ind w:left="992"/>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Identitas dan kedudukan para pihak;</w:t>
      </w:r>
    </w:p>
    <w:p w14:paraId="556D2AD4" w14:textId="77777777" w:rsidR="005231C1" w:rsidRPr="00C1240A" w:rsidRDefault="005231C1" w:rsidP="005231C1">
      <w:pPr>
        <w:numPr>
          <w:ilvl w:val="0"/>
          <w:numId w:val="13"/>
        </w:numPr>
        <w:spacing w:after="0" w:line="240" w:lineRule="auto"/>
        <w:ind w:left="992"/>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Premise yang menjelaskan tanah dan bangunan sebagai objek sewa dan hak tanggungan;</w:t>
      </w:r>
    </w:p>
    <w:p w14:paraId="5810DF5B" w14:textId="77777777" w:rsidR="005231C1" w:rsidRPr="00C1240A" w:rsidRDefault="005231C1" w:rsidP="005231C1">
      <w:pPr>
        <w:numPr>
          <w:ilvl w:val="0"/>
          <w:numId w:val="13"/>
        </w:numPr>
        <w:spacing w:after="0" w:line="240" w:lineRule="auto"/>
        <w:ind w:left="992"/>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Isi perjanjian (yang mencakup) :</w:t>
      </w:r>
    </w:p>
    <w:p w14:paraId="1A5585D2"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Pernyataan penyewa yang mengetahui bahwa objek sewanya digunakan sebagai jaminan Hak Tanggungan kepada bank;</w:t>
      </w:r>
    </w:p>
    <w:p w14:paraId="5DFB8202"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Pernyataan penyewa dapat meminta ganti rugi kepada pemilik objek Tanah dan Bangunan;</w:t>
      </w:r>
    </w:p>
    <w:p w14:paraId="14B773D3"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Pernyataan penyewa yang akan mengosongkan objek Tanah dan Bangunan, ketika pemilik objek Tanah dan Bangunan gagal bayar;</w:t>
      </w:r>
    </w:p>
    <w:p w14:paraId="5CE32B1C"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Pernyataan pemilik objek untuk memastikan bahwa objek Tanah dan Bangunan telah dikosongi sejak dikirimkannya permintaan dari pihak bank;</w:t>
      </w:r>
    </w:p>
    <w:p w14:paraId="11F9B9A0"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lastRenderedPageBreak/>
        <w:t>Pernyataan penyewa dan pemilik objek Tanah dan Bangunan untuk tidak mengahalangi pihak bank dalam menjalankan haknya manakala pemilik objek Tanah dan Bangunan gagal bayar;</w:t>
      </w:r>
    </w:p>
    <w:p w14:paraId="3452EA8B"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Pemberian denda kepada pihak pemilik objek Tanah dan Bangunan yang tidak dapat memenuhi kewajibannya ketika gagal bayar;</w:t>
      </w:r>
    </w:p>
    <w:p w14:paraId="6BFCB1E8" w14:textId="77777777" w:rsidR="005231C1" w:rsidRPr="00C1240A" w:rsidRDefault="005231C1" w:rsidP="005231C1">
      <w:pPr>
        <w:numPr>
          <w:ilvl w:val="0"/>
          <w:numId w:val="15"/>
        </w:numPr>
        <w:spacing w:after="0" w:line="240" w:lineRule="auto"/>
        <w:ind w:left="1417"/>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Pernyataan penyewa dan pemilik objek Tanah dan Bangunan untuk tidak melakukan upaya hukum kepada bank atas tindakan pengosongan objek Tanah dan Bangunan.</w:t>
      </w:r>
    </w:p>
    <w:p w14:paraId="58420232" w14:textId="223F4D4D" w:rsidR="005231C1" w:rsidRDefault="005231C1" w:rsidP="005231C1">
      <w:pPr>
        <w:numPr>
          <w:ilvl w:val="0"/>
          <w:numId w:val="13"/>
        </w:numPr>
        <w:spacing w:after="0" w:line="240" w:lineRule="auto"/>
        <w:ind w:left="992"/>
        <w:jc w:val="both"/>
        <w:rPr>
          <w:rFonts w:ascii="Cambria" w:eastAsia="Book Antiqua" w:hAnsi="Cambria" w:cs="Book Antiqua"/>
          <w:sz w:val="24"/>
          <w:szCs w:val="24"/>
          <w:highlight w:val="white"/>
          <w:lang w:val="id-ID"/>
        </w:rPr>
      </w:pPr>
      <w:r w:rsidRPr="00C1240A">
        <w:rPr>
          <w:rFonts w:ascii="Cambria" w:eastAsia="Book Antiqua" w:hAnsi="Cambria" w:cs="Book Antiqua"/>
          <w:sz w:val="24"/>
          <w:szCs w:val="24"/>
          <w:highlight w:val="white"/>
          <w:lang w:val="id-ID"/>
        </w:rPr>
        <w:t>Penutup dan ditandatangani oleh para pihak.</w:t>
      </w:r>
    </w:p>
    <w:p w14:paraId="775B2E2C" w14:textId="77777777" w:rsidR="005231C1" w:rsidRPr="00C1240A" w:rsidRDefault="005231C1" w:rsidP="005231C1">
      <w:pPr>
        <w:spacing w:after="0" w:line="240" w:lineRule="auto"/>
        <w:ind w:left="992"/>
        <w:jc w:val="both"/>
        <w:rPr>
          <w:rFonts w:ascii="Cambria" w:eastAsia="Book Antiqua" w:hAnsi="Cambria" w:cs="Book Antiqua"/>
          <w:sz w:val="24"/>
          <w:szCs w:val="24"/>
          <w:highlight w:val="white"/>
          <w:lang w:val="id-ID"/>
        </w:rPr>
      </w:pPr>
    </w:p>
    <w:p w14:paraId="0007516A" w14:textId="77777777" w:rsidR="005231C1" w:rsidRDefault="005231C1" w:rsidP="005231C1">
      <w:pPr>
        <w:spacing w:line="240" w:lineRule="auto"/>
        <w:ind w:left="425" w:firstLine="566"/>
        <w:jc w:val="both"/>
        <w:rPr>
          <w:rFonts w:ascii="Cambria" w:eastAsia="Book Antiqua" w:hAnsi="Cambria" w:cs="Book Antiqua"/>
          <w:sz w:val="24"/>
          <w:szCs w:val="24"/>
          <w:lang w:val="id-ID"/>
        </w:rPr>
      </w:pPr>
      <w:r>
        <w:rPr>
          <w:rFonts w:ascii="Cambria" w:eastAsia="Book Antiqua" w:hAnsi="Cambria" w:cs="Book Antiqua"/>
          <w:sz w:val="24"/>
          <w:szCs w:val="24"/>
          <w:highlight w:val="white"/>
          <w:lang w:val="id-ID"/>
        </w:rPr>
        <w:t xml:space="preserve">Surat pernyataan pengosongan ini dibuat berdasarkan janji-janji yang tercantum dalam APHT , </w:t>
      </w:r>
      <w:r w:rsidRPr="2D9B0F59">
        <w:rPr>
          <w:rFonts w:ascii="Cambria" w:eastAsia="Book Antiqua" w:hAnsi="Cambria" w:cs="Book Antiqua"/>
          <w:sz w:val="24"/>
          <w:szCs w:val="24"/>
          <w:highlight w:val="white"/>
          <w:lang w:val="id-ID"/>
        </w:rPr>
        <w:t>sebagaimana</w:t>
      </w:r>
      <w:r>
        <w:rPr>
          <w:rFonts w:ascii="Cambria" w:eastAsia="Book Antiqua" w:hAnsi="Cambria" w:cs="Book Antiqua"/>
          <w:sz w:val="24"/>
          <w:szCs w:val="24"/>
          <w:highlight w:val="white"/>
          <w:lang w:val="id-ID"/>
        </w:rPr>
        <w:t xml:space="preserve"> tertulis dalam Pasal 11 ayat (2) huruf j yakni : </w:t>
      </w:r>
      <w:r w:rsidRPr="00D6662B">
        <w:rPr>
          <w:rFonts w:ascii="Cambria" w:eastAsia="Book Antiqua" w:hAnsi="Cambria" w:cs="Book Antiqua"/>
          <w:i/>
          <w:iCs/>
          <w:sz w:val="24"/>
          <w:szCs w:val="24"/>
          <w:highlight w:val="white"/>
          <w:lang w:val="id-ID"/>
        </w:rPr>
        <w:t>“janji bahwa pemberi Hak Tanggungan akan mengosongkan obyek Hak Tanggungan pada waktu eksekusi Hak Tanggungan”</w:t>
      </w:r>
      <w:r>
        <w:rPr>
          <w:rFonts w:ascii="Cambria" w:eastAsia="Book Antiqua" w:hAnsi="Cambria" w:cs="Book Antiqua"/>
          <w:i/>
          <w:iCs/>
          <w:sz w:val="24"/>
          <w:szCs w:val="24"/>
          <w:highlight w:val="white"/>
          <w:lang w:val="id-ID"/>
        </w:rPr>
        <w:t>.</w:t>
      </w:r>
      <w:r>
        <w:rPr>
          <w:rFonts w:ascii="Cambria" w:eastAsia="Book Antiqua" w:hAnsi="Cambria" w:cs="Book Antiqua"/>
          <w:sz w:val="24"/>
          <w:szCs w:val="24"/>
          <w:highlight w:val="white"/>
          <w:lang w:val="id-ID"/>
        </w:rPr>
        <w:t xml:space="preserve"> Janji ini ditujukan kepada pemilik objek Tanah dan </w:t>
      </w:r>
      <w:r w:rsidRPr="3756C995">
        <w:rPr>
          <w:rFonts w:ascii="Cambria" w:eastAsia="Book Antiqua" w:hAnsi="Cambria" w:cs="Book Antiqua"/>
          <w:sz w:val="24"/>
          <w:szCs w:val="24"/>
          <w:highlight w:val="white"/>
          <w:lang w:val="id-ID"/>
        </w:rPr>
        <w:t xml:space="preserve">Bangunan </w:t>
      </w:r>
      <w:r w:rsidRPr="5E0DDFA7">
        <w:rPr>
          <w:rFonts w:ascii="Cambria" w:eastAsia="Book Antiqua" w:hAnsi="Cambria" w:cs="Book Antiqua"/>
          <w:sz w:val="24"/>
          <w:szCs w:val="24"/>
          <w:highlight w:val="white"/>
          <w:lang w:val="id-ID"/>
        </w:rPr>
        <w:t xml:space="preserve">dalam </w:t>
      </w:r>
      <w:r w:rsidRPr="3E2ADD05">
        <w:rPr>
          <w:rFonts w:ascii="Cambria" w:eastAsia="Book Antiqua" w:hAnsi="Cambria" w:cs="Book Antiqua"/>
          <w:sz w:val="24"/>
          <w:szCs w:val="24"/>
          <w:highlight w:val="white"/>
          <w:lang w:val="id-ID"/>
        </w:rPr>
        <w:t>kondisi objek</w:t>
      </w:r>
      <w:r w:rsidRPr="1544D700">
        <w:rPr>
          <w:rFonts w:ascii="Cambria" w:eastAsia="Book Antiqua" w:hAnsi="Cambria" w:cs="Book Antiqua"/>
          <w:sz w:val="24"/>
          <w:szCs w:val="24"/>
          <w:highlight w:val="white"/>
          <w:lang w:val="id-ID"/>
        </w:rPr>
        <w:t xml:space="preserve"> </w:t>
      </w:r>
      <w:r w:rsidRPr="62E6E021">
        <w:rPr>
          <w:rFonts w:ascii="Cambria" w:eastAsia="Book Antiqua" w:hAnsi="Cambria" w:cs="Book Antiqua"/>
          <w:sz w:val="24"/>
          <w:szCs w:val="24"/>
          <w:highlight w:val="white"/>
          <w:lang w:val="id-ID"/>
        </w:rPr>
        <w:t xml:space="preserve">tersebut </w:t>
      </w:r>
      <w:r w:rsidRPr="7CCCAC9E">
        <w:rPr>
          <w:rFonts w:ascii="Cambria" w:eastAsia="Book Antiqua" w:hAnsi="Cambria" w:cs="Book Antiqua"/>
          <w:sz w:val="24"/>
          <w:szCs w:val="24"/>
          <w:highlight w:val="white"/>
          <w:lang w:val="id-ID"/>
        </w:rPr>
        <w:t xml:space="preserve">hanya </w:t>
      </w:r>
      <w:r w:rsidRPr="72CD1689">
        <w:rPr>
          <w:rFonts w:ascii="Cambria" w:eastAsia="Book Antiqua" w:hAnsi="Cambria" w:cs="Book Antiqua"/>
          <w:sz w:val="24"/>
          <w:szCs w:val="24"/>
          <w:highlight w:val="white"/>
          <w:lang w:val="id-ID"/>
        </w:rPr>
        <w:t xml:space="preserve">dikuasai oleh </w:t>
      </w:r>
      <w:r w:rsidRPr="48297F32">
        <w:rPr>
          <w:rFonts w:ascii="Cambria" w:eastAsia="Book Antiqua" w:hAnsi="Cambria" w:cs="Book Antiqua"/>
          <w:sz w:val="24"/>
          <w:szCs w:val="24"/>
          <w:highlight w:val="white"/>
          <w:lang w:val="id-ID"/>
        </w:rPr>
        <w:t>pemilik,</w:t>
      </w:r>
      <w:r w:rsidRPr="52133A33">
        <w:rPr>
          <w:rFonts w:ascii="Cambria" w:eastAsia="Book Antiqua" w:hAnsi="Cambria" w:cs="Book Antiqua"/>
          <w:sz w:val="24"/>
          <w:szCs w:val="24"/>
          <w:highlight w:val="white"/>
          <w:lang w:val="id-ID"/>
        </w:rPr>
        <w:t xml:space="preserve"> </w:t>
      </w:r>
      <w:r w:rsidRPr="6E501B94">
        <w:rPr>
          <w:rFonts w:ascii="Cambria" w:eastAsia="Book Antiqua" w:hAnsi="Cambria" w:cs="Book Antiqua"/>
          <w:sz w:val="24"/>
          <w:szCs w:val="24"/>
          <w:highlight w:val="white"/>
          <w:lang w:val="id-ID"/>
        </w:rPr>
        <w:t xml:space="preserve">akan </w:t>
      </w:r>
      <w:r w:rsidRPr="2F608BD9">
        <w:rPr>
          <w:rFonts w:ascii="Cambria" w:eastAsia="Book Antiqua" w:hAnsi="Cambria" w:cs="Book Antiqua"/>
          <w:sz w:val="24"/>
          <w:szCs w:val="24"/>
          <w:highlight w:val="white"/>
          <w:lang w:val="id-ID"/>
        </w:rPr>
        <w:t xml:space="preserve">tetapi </w:t>
      </w:r>
      <w:r w:rsidRPr="7E6CD233">
        <w:rPr>
          <w:rFonts w:ascii="Cambria" w:eastAsia="Book Antiqua" w:hAnsi="Cambria" w:cs="Book Antiqua"/>
          <w:sz w:val="24"/>
          <w:szCs w:val="24"/>
          <w:highlight w:val="white"/>
          <w:lang w:val="id-ID"/>
        </w:rPr>
        <w:t>dalam</w:t>
      </w:r>
      <w:r w:rsidRPr="7C3F81D0">
        <w:rPr>
          <w:rFonts w:ascii="Cambria" w:eastAsia="Book Antiqua" w:hAnsi="Cambria" w:cs="Book Antiqua"/>
          <w:sz w:val="24"/>
          <w:szCs w:val="24"/>
          <w:highlight w:val="white"/>
          <w:lang w:val="id-ID"/>
        </w:rPr>
        <w:t xml:space="preserve"> hal terdapat pihak ketiga yaitu penyewa, maka diperlukan </w:t>
      </w:r>
      <w:r w:rsidRPr="56F94B64">
        <w:rPr>
          <w:rFonts w:ascii="Cambria" w:eastAsia="Book Antiqua" w:hAnsi="Cambria" w:cs="Book Antiqua"/>
          <w:sz w:val="24"/>
          <w:szCs w:val="24"/>
          <w:highlight w:val="white"/>
          <w:lang w:val="id-ID"/>
        </w:rPr>
        <w:t xml:space="preserve">instrumen </w:t>
      </w:r>
      <w:r w:rsidRPr="053A9CF2">
        <w:rPr>
          <w:rFonts w:ascii="Cambria" w:eastAsia="Book Antiqua" w:hAnsi="Cambria" w:cs="Book Antiqua"/>
          <w:sz w:val="24"/>
          <w:szCs w:val="24"/>
          <w:highlight w:val="white"/>
          <w:lang w:val="id-ID"/>
        </w:rPr>
        <w:t xml:space="preserve">yang </w:t>
      </w:r>
      <w:r w:rsidRPr="6B05B142">
        <w:rPr>
          <w:rFonts w:ascii="Cambria" w:eastAsia="Book Antiqua" w:hAnsi="Cambria" w:cs="Book Antiqua"/>
          <w:sz w:val="24"/>
          <w:szCs w:val="24"/>
          <w:highlight w:val="white"/>
          <w:lang w:val="id-ID"/>
        </w:rPr>
        <w:t xml:space="preserve">menjamin </w:t>
      </w:r>
      <w:r w:rsidRPr="2FAFB296">
        <w:rPr>
          <w:rFonts w:ascii="Cambria" w:eastAsia="Book Antiqua" w:hAnsi="Cambria" w:cs="Book Antiqua"/>
          <w:sz w:val="24"/>
          <w:szCs w:val="24"/>
          <w:highlight w:val="white"/>
          <w:lang w:val="id-ID"/>
        </w:rPr>
        <w:t xml:space="preserve">terlaksananya </w:t>
      </w:r>
      <w:r w:rsidRPr="589CC70B">
        <w:rPr>
          <w:rFonts w:ascii="Cambria" w:eastAsia="Book Antiqua" w:hAnsi="Cambria" w:cs="Book Antiqua"/>
          <w:sz w:val="24"/>
          <w:szCs w:val="24"/>
          <w:highlight w:val="white"/>
          <w:lang w:val="id-ID"/>
        </w:rPr>
        <w:t xml:space="preserve">pengosongan </w:t>
      </w:r>
      <w:r w:rsidRPr="47C14CC6">
        <w:rPr>
          <w:rFonts w:ascii="Cambria" w:eastAsia="Book Antiqua" w:hAnsi="Cambria" w:cs="Book Antiqua"/>
          <w:sz w:val="24"/>
          <w:szCs w:val="24"/>
          <w:highlight w:val="white"/>
          <w:lang w:val="id-ID"/>
        </w:rPr>
        <w:t xml:space="preserve">tersebut </w:t>
      </w:r>
      <w:r w:rsidRPr="31ADE1C9">
        <w:rPr>
          <w:rFonts w:ascii="Cambria" w:eastAsia="Book Antiqua" w:hAnsi="Cambria" w:cs="Book Antiqua"/>
          <w:sz w:val="24"/>
          <w:szCs w:val="24"/>
          <w:highlight w:val="white"/>
          <w:lang w:val="id-ID"/>
        </w:rPr>
        <w:t>melalui Surat</w:t>
      </w:r>
      <w:r w:rsidRPr="7C3F81D0">
        <w:rPr>
          <w:rFonts w:ascii="Cambria" w:eastAsia="Book Antiqua" w:hAnsi="Cambria" w:cs="Book Antiqua"/>
          <w:sz w:val="24"/>
          <w:szCs w:val="24"/>
          <w:highlight w:val="white"/>
          <w:lang w:val="id-ID"/>
        </w:rPr>
        <w:t xml:space="preserve"> </w:t>
      </w:r>
      <w:r w:rsidRPr="4AE4965B">
        <w:rPr>
          <w:rFonts w:ascii="Cambria" w:eastAsia="Book Antiqua" w:hAnsi="Cambria" w:cs="Book Antiqua"/>
          <w:sz w:val="24"/>
          <w:szCs w:val="24"/>
          <w:highlight w:val="white"/>
          <w:lang w:val="id-ID"/>
        </w:rPr>
        <w:t>Pernyataan</w:t>
      </w:r>
      <w:r w:rsidRPr="10DC75DB">
        <w:rPr>
          <w:rFonts w:ascii="Cambria" w:eastAsia="Book Antiqua" w:hAnsi="Cambria" w:cs="Book Antiqua"/>
          <w:sz w:val="24"/>
          <w:szCs w:val="24"/>
          <w:highlight w:val="white"/>
          <w:lang w:val="id-ID"/>
        </w:rPr>
        <w:t xml:space="preserve"> </w:t>
      </w:r>
      <w:r w:rsidRPr="2B467C60">
        <w:rPr>
          <w:rFonts w:ascii="Cambria" w:eastAsia="Book Antiqua" w:hAnsi="Cambria" w:cs="Book Antiqua"/>
          <w:sz w:val="24"/>
          <w:szCs w:val="24"/>
          <w:highlight w:val="white"/>
          <w:lang w:val="id-ID"/>
        </w:rPr>
        <w:t>Pengosongan</w:t>
      </w:r>
      <w:r w:rsidRPr="02F6A453">
        <w:rPr>
          <w:rFonts w:ascii="Cambria" w:eastAsia="Book Antiqua" w:hAnsi="Cambria" w:cs="Book Antiqua"/>
          <w:sz w:val="24"/>
          <w:szCs w:val="24"/>
          <w:highlight w:val="white"/>
          <w:lang w:val="id-ID"/>
        </w:rPr>
        <w:t xml:space="preserve">. </w:t>
      </w:r>
      <w:r w:rsidRPr="08E41BA1">
        <w:rPr>
          <w:rFonts w:ascii="Cambria" w:eastAsia="Book Antiqua" w:hAnsi="Cambria" w:cs="Book Antiqua"/>
          <w:sz w:val="24"/>
          <w:szCs w:val="24"/>
          <w:highlight w:val="white"/>
          <w:lang w:val="id-ID"/>
        </w:rPr>
        <w:t xml:space="preserve"> </w:t>
      </w:r>
      <w:r w:rsidRPr="70A97F91">
        <w:rPr>
          <w:rFonts w:ascii="Cambria" w:eastAsia="Book Antiqua" w:hAnsi="Cambria" w:cs="Book Antiqua"/>
          <w:sz w:val="24"/>
          <w:szCs w:val="24"/>
          <w:highlight w:val="white"/>
          <w:lang w:val="id-ID"/>
        </w:rPr>
        <w:t xml:space="preserve">Keberadaan Surat </w:t>
      </w:r>
      <w:r w:rsidRPr="6B998F2E">
        <w:rPr>
          <w:rFonts w:ascii="Cambria" w:eastAsia="Book Antiqua" w:hAnsi="Cambria" w:cs="Book Antiqua"/>
          <w:sz w:val="24"/>
          <w:szCs w:val="24"/>
          <w:highlight w:val="white"/>
          <w:lang w:val="id-ID"/>
        </w:rPr>
        <w:t xml:space="preserve">Pernyataan </w:t>
      </w:r>
      <w:r w:rsidRPr="17FB9E3C">
        <w:rPr>
          <w:rFonts w:ascii="Cambria" w:eastAsia="Book Antiqua" w:hAnsi="Cambria" w:cs="Book Antiqua"/>
          <w:sz w:val="24"/>
          <w:szCs w:val="24"/>
          <w:highlight w:val="white"/>
          <w:lang w:val="id-ID"/>
        </w:rPr>
        <w:t xml:space="preserve">Pengosongan ini </w:t>
      </w:r>
      <w:r w:rsidRPr="2AE3EA96">
        <w:rPr>
          <w:rFonts w:ascii="Cambria" w:eastAsia="Book Antiqua" w:hAnsi="Cambria" w:cs="Book Antiqua"/>
          <w:sz w:val="24"/>
          <w:szCs w:val="24"/>
          <w:highlight w:val="white"/>
          <w:lang w:val="id-ID"/>
        </w:rPr>
        <w:t xml:space="preserve">tidak </w:t>
      </w:r>
      <w:r w:rsidRPr="1945D021">
        <w:rPr>
          <w:rFonts w:ascii="Cambria" w:eastAsia="Book Antiqua" w:hAnsi="Cambria" w:cs="Book Antiqua"/>
          <w:sz w:val="24"/>
          <w:szCs w:val="24"/>
          <w:highlight w:val="white"/>
          <w:lang w:val="id-ID"/>
        </w:rPr>
        <w:t xml:space="preserve">hanya </w:t>
      </w:r>
      <w:r w:rsidRPr="2EC51709">
        <w:rPr>
          <w:rFonts w:ascii="Cambria" w:eastAsia="Book Antiqua" w:hAnsi="Cambria" w:cs="Book Antiqua"/>
          <w:sz w:val="24"/>
          <w:szCs w:val="24"/>
          <w:highlight w:val="white"/>
          <w:lang w:val="id-ID"/>
        </w:rPr>
        <w:t xml:space="preserve">berfungsi </w:t>
      </w:r>
      <w:r w:rsidRPr="27F740A6">
        <w:rPr>
          <w:rFonts w:ascii="Cambria" w:eastAsia="Book Antiqua" w:hAnsi="Cambria" w:cs="Book Antiqua"/>
          <w:sz w:val="24"/>
          <w:szCs w:val="24"/>
          <w:highlight w:val="white"/>
          <w:lang w:val="id-ID"/>
        </w:rPr>
        <w:t xml:space="preserve">menjamin </w:t>
      </w:r>
      <w:r w:rsidRPr="6F45D3A6">
        <w:rPr>
          <w:rFonts w:ascii="Cambria" w:eastAsia="Book Antiqua" w:hAnsi="Cambria" w:cs="Book Antiqua"/>
          <w:sz w:val="24"/>
          <w:szCs w:val="24"/>
          <w:highlight w:val="white"/>
          <w:lang w:val="id-ID"/>
        </w:rPr>
        <w:t xml:space="preserve">kepastian </w:t>
      </w:r>
      <w:r w:rsidRPr="5F93ABE0">
        <w:rPr>
          <w:rFonts w:ascii="Cambria" w:eastAsia="Book Antiqua" w:hAnsi="Cambria" w:cs="Book Antiqua"/>
          <w:sz w:val="24"/>
          <w:szCs w:val="24"/>
          <w:highlight w:val="white"/>
          <w:lang w:val="id-ID"/>
        </w:rPr>
        <w:t xml:space="preserve">pemilik </w:t>
      </w:r>
      <w:r w:rsidRPr="6152D8BE">
        <w:rPr>
          <w:rFonts w:ascii="Cambria" w:eastAsia="Book Antiqua" w:hAnsi="Cambria" w:cs="Book Antiqua"/>
          <w:sz w:val="24"/>
          <w:szCs w:val="24"/>
          <w:highlight w:val="white"/>
          <w:lang w:val="id-ID"/>
        </w:rPr>
        <w:t xml:space="preserve">untuk mengosongkan </w:t>
      </w:r>
      <w:r w:rsidRPr="64046C8C">
        <w:rPr>
          <w:rFonts w:ascii="Cambria" w:eastAsia="Book Antiqua" w:hAnsi="Cambria" w:cs="Book Antiqua"/>
          <w:sz w:val="24"/>
          <w:szCs w:val="24"/>
          <w:highlight w:val="white"/>
          <w:lang w:val="id-ID"/>
        </w:rPr>
        <w:t>objeknya</w:t>
      </w:r>
      <w:r w:rsidRPr="63C8439C">
        <w:rPr>
          <w:rFonts w:ascii="Cambria" w:eastAsia="Book Antiqua" w:hAnsi="Cambria" w:cs="Book Antiqua"/>
          <w:sz w:val="24"/>
          <w:szCs w:val="24"/>
          <w:highlight w:val="white"/>
          <w:lang w:val="id-ID"/>
        </w:rPr>
        <w:t xml:space="preserve">, </w:t>
      </w:r>
      <w:r w:rsidRPr="0E607669">
        <w:rPr>
          <w:rFonts w:ascii="Cambria" w:eastAsia="Book Antiqua" w:hAnsi="Cambria" w:cs="Book Antiqua"/>
          <w:sz w:val="24"/>
          <w:szCs w:val="24"/>
          <w:highlight w:val="white"/>
          <w:lang w:val="id-ID"/>
        </w:rPr>
        <w:t xml:space="preserve">tetapi juga </w:t>
      </w:r>
      <w:r w:rsidRPr="5EC60C14">
        <w:rPr>
          <w:rFonts w:ascii="Cambria" w:eastAsia="Book Antiqua" w:hAnsi="Cambria" w:cs="Book Antiqua"/>
          <w:sz w:val="24"/>
          <w:szCs w:val="24"/>
          <w:highlight w:val="white"/>
          <w:lang w:val="id-ID"/>
        </w:rPr>
        <w:t xml:space="preserve">dapat </w:t>
      </w:r>
      <w:r w:rsidRPr="2B13BCD1">
        <w:rPr>
          <w:rFonts w:ascii="Cambria" w:eastAsia="Book Antiqua" w:hAnsi="Cambria" w:cs="Book Antiqua"/>
          <w:sz w:val="24"/>
          <w:szCs w:val="24"/>
          <w:highlight w:val="white"/>
          <w:lang w:val="id-ID"/>
        </w:rPr>
        <w:t xml:space="preserve">menjadi sarana </w:t>
      </w:r>
      <w:r w:rsidRPr="22449C4B">
        <w:rPr>
          <w:rFonts w:ascii="Cambria" w:eastAsia="Book Antiqua" w:hAnsi="Cambria" w:cs="Book Antiqua"/>
          <w:sz w:val="24"/>
          <w:szCs w:val="24"/>
          <w:highlight w:val="white"/>
          <w:lang w:val="id-ID"/>
        </w:rPr>
        <w:t xml:space="preserve">perlindungan </w:t>
      </w:r>
      <w:r w:rsidRPr="3B9B22E2">
        <w:rPr>
          <w:rFonts w:ascii="Cambria" w:eastAsia="Book Antiqua" w:hAnsi="Cambria" w:cs="Book Antiqua"/>
          <w:sz w:val="24"/>
          <w:szCs w:val="24"/>
          <w:highlight w:val="white"/>
          <w:lang w:val="id-ID"/>
        </w:rPr>
        <w:t xml:space="preserve">terhadap kepentingan </w:t>
      </w:r>
      <w:r w:rsidRPr="2A58FFCF">
        <w:rPr>
          <w:rFonts w:ascii="Cambria" w:eastAsia="Book Antiqua" w:hAnsi="Cambria" w:cs="Book Antiqua"/>
          <w:sz w:val="24"/>
          <w:szCs w:val="24"/>
          <w:highlight w:val="white"/>
          <w:lang w:val="id-ID"/>
        </w:rPr>
        <w:t xml:space="preserve">penyewa. </w:t>
      </w:r>
      <w:r w:rsidRPr="7A1F2F59">
        <w:rPr>
          <w:rFonts w:ascii="Cambria" w:eastAsia="Book Antiqua" w:hAnsi="Cambria" w:cs="Book Antiqua"/>
          <w:sz w:val="24"/>
          <w:szCs w:val="24"/>
          <w:highlight w:val="white"/>
          <w:lang w:val="id-ID"/>
        </w:rPr>
        <w:t xml:space="preserve">Perlindungan </w:t>
      </w:r>
      <w:r w:rsidRPr="3ED45C02">
        <w:rPr>
          <w:rFonts w:ascii="Cambria" w:eastAsia="Book Antiqua" w:hAnsi="Cambria" w:cs="Book Antiqua"/>
          <w:sz w:val="24"/>
          <w:szCs w:val="24"/>
          <w:highlight w:val="white"/>
          <w:lang w:val="id-ID"/>
        </w:rPr>
        <w:t xml:space="preserve">tersebut </w:t>
      </w:r>
      <w:r w:rsidRPr="6BA7D793">
        <w:rPr>
          <w:rFonts w:ascii="Cambria" w:eastAsia="Book Antiqua" w:hAnsi="Cambria" w:cs="Book Antiqua"/>
          <w:sz w:val="24"/>
          <w:szCs w:val="24"/>
          <w:highlight w:val="white"/>
          <w:lang w:val="id-ID"/>
        </w:rPr>
        <w:t xml:space="preserve">diwujudkan dalam </w:t>
      </w:r>
      <w:r w:rsidRPr="6E8EEAB1">
        <w:rPr>
          <w:rFonts w:ascii="Cambria" w:eastAsia="Book Antiqua" w:hAnsi="Cambria" w:cs="Book Antiqua"/>
          <w:sz w:val="24"/>
          <w:szCs w:val="24"/>
          <w:highlight w:val="white"/>
          <w:lang w:val="id-ID"/>
        </w:rPr>
        <w:t xml:space="preserve">bentuk pembayaran </w:t>
      </w:r>
      <w:r w:rsidRPr="25AC311C">
        <w:rPr>
          <w:rFonts w:ascii="Cambria" w:eastAsia="Book Antiqua" w:hAnsi="Cambria" w:cs="Book Antiqua"/>
          <w:sz w:val="24"/>
          <w:szCs w:val="24"/>
          <w:highlight w:val="white"/>
          <w:lang w:val="id-ID"/>
        </w:rPr>
        <w:t xml:space="preserve">kompensasi sisa uang masa sewa dari </w:t>
      </w:r>
      <w:r w:rsidRPr="7CDDCC90">
        <w:rPr>
          <w:rFonts w:ascii="Cambria" w:eastAsia="Book Antiqua" w:hAnsi="Cambria" w:cs="Book Antiqua"/>
          <w:sz w:val="24"/>
          <w:szCs w:val="24"/>
          <w:highlight w:val="white"/>
          <w:lang w:val="id-ID"/>
        </w:rPr>
        <w:t xml:space="preserve">pemilik </w:t>
      </w:r>
      <w:r w:rsidRPr="5E498852">
        <w:rPr>
          <w:rFonts w:ascii="Cambria" w:eastAsia="Book Antiqua" w:hAnsi="Cambria" w:cs="Book Antiqua"/>
          <w:sz w:val="24"/>
          <w:szCs w:val="24"/>
          <w:highlight w:val="white"/>
          <w:lang w:val="id-ID"/>
        </w:rPr>
        <w:t xml:space="preserve">objek Tanah dan </w:t>
      </w:r>
      <w:r w:rsidRPr="7244D467">
        <w:rPr>
          <w:rFonts w:ascii="Cambria" w:eastAsia="Book Antiqua" w:hAnsi="Cambria" w:cs="Book Antiqua"/>
          <w:sz w:val="24"/>
          <w:szCs w:val="24"/>
          <w:highlight w:val="white"/>
          <w:lang w:val="id-ID"/>
        </w:rPr>
        <w:t xml:space="preserve">Bangunan. </w:t>
      </w:r>
    </w:p>
    <w:p w14:paraId="33CAF3B3" w14:textId="77777777" w:rsidR="005231C1" w:rsidRPr="00F33E38" w:rsidRDefault="005231C1" w:rsidP="005231C1">
      <w:pPr>
        <w:spacing w:line="240" w:lineRule="auto"/>
        <w:ind w:left="425" w:firstLine="566"/>
        <w:jc w:val="both"/>
        <w:rPr>
          <w:lang w:val="id-ID"/>
        </w:rPr>
      </w:pPr>
    </w:p>
    <w:p w14:paraId="0BF3E99B" w14:textId="77777777" w:rsidR="005231C1" w:rsidRDefault="005231C1" w:rsidP="005231C1">
      <w:pPr>
        <w:pStyle w:val="JEM23SUBHEADING"/>
        <w:numPr>
          <w:ilvl w:val="0"/>
          <w:numId w:val="10"/>
        </w:numPr>
        <w:spacing w:line="276" w:lineRule="auto"/>
        <w:ind w:left="426" w:hanging="426"/>
        <w:rPr>
          <w:rFonts w:ascii="Cambria" w:hAnsi="Cambria"/>
          <w:color w:val="C00000"/>
          <w:lang w:val="id-ID"/>
        </w:rPr>
      </w:pPr>
      <w:r w:rsidRPr="00C3580A">
        <w:rPr>
          <w:rFonts w:ascii="Cambria" w:hAnsi="Cambria"/>
          <w:color w:val="C00000"/>
          <w:lang w:val="id-ID"/>
        </w:rPr>
        <w:t>Sewa-menyewa dilakukan setelah objek tanah dan bangunan dibebani dengan Hak Tanggungan</w:t>
      </w:r>
    </w:p>
    <w:p w14:paraId="27559CAD" w14:textId="77777777" w:rsidR="005231C1" w:rsidRPr="00C3580A" w:rsidRDefault="005231C1" w:rsidP="005231C1">
      <w:pPr>
        <w:spacing w:after="0" w:line="240" w:lineRule="auto"/>
        <w:ind w:left="425" w:firstLine="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Dalam skenario yang kedua, objek tanah dan bangunan terlebih dahulu telah dijaminkan kepada bank dalam bentuk Hak Tanggungan, kemudian setelah dijaminkan, tanah dan bangunan tersebut disewakan oleh pemilik objek tanah dan bangunan kepada pihak ketiga (dalam hal ini penyewa). Untuk mengurai benang merah dari kasus ini, kita perlu menelusuri kembali konstruksi dasar perikatan pokok yang mendahuluinya, yaitu perjanjian kredit.</w:t>
      </w:r>
    </w:p>
    <w:p w14:paraId="1A68699F" w14:textId="77777777" w:rsidR="005231C1" w:rsidRPr="00C3580A" w:rsidRDefault="005231C1" w:rsidP="005231C1">
      <w:pPr>
        <w:spacing w:line="240" w:lineRule="auto"/>
        <w:ind w:left="425" w:firstLine="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Lembaga perbankan di Indonesia memiliki fungsi untuk menghimpun dana dari masyarakat dalam bentuk simpanan dan menyalurkan dana tersebut kepada masyarakat baik dalam bentuk kredit maupun bentuk lainnya.</w:t>
      </w:r>
      <w:r w:rsidRPr="00C3580A">
        <w:rPr>
          <w:rFonts w:ascii="Cambria" w:eastAsia="Book Antiqua" w:hAnsi="Cambria" w:cs="Book Antiqua"/>
          <w:sz w:val="24"/>
          <w:szCs w:val="24"/>
          <w:vertAlign w:val="superscript"/>
          <w:lang w:val="id-ID"/>
        </w:rPr>
        <w:footnoteReference w:id="28"/>
      </w:r>
      <w:r w:rsidRPr="00C3580A">
        <w:rPr>
          <w:rFonts w:ascii="Cambria" w:eastAsia="Book Antiqua" w:hAnsi="Cambria" w:cs="Book Antiqua"/>
          <w:sz w:val="24"/>
          <w:szCs w:val="24"/>
          <w:lang w:val="id-ID"/>
        </w:rPr>
        <w:t xml:space="preserve"> Pengertian kredit sebagaimana tertulis dalam Pasal 1 angka 11 Undang-Undang Nomor 10 Tahun 1998 tentang Perubahan Atas Undang-Undang Nomor 7 Tahun 1992 Tentang Perbankan, adalah:</w:t>
      </w:r>
    </w:p>
    <w:p w14:paraId="32A8CB42" w14:textId="77777777" w:rsidR="005231C1" w:rsidRPr="00744996" w:rsidRDefault="005231C1" w:rsidP="005231C1">
      <w:pPr>
        <w:spacing w:line="240" w:lineRule="auto"/>
        <w:ind w:left="992"/>
        <w:jc w:val="both"/>
        <w:rPr>
          <w:rFonts w:ascii="Cambria" w:eastAsia="Book Antiqua" w:hAnsi="Cambria" w:cs="Book Antiqua"/>
          <w:i/>
          <w:iCs/>
          <w:sz w:val="24"/>
          <w:szCs w:val="24"/>
          <w:lang w:val="id-ID"/>
        </w:rPr>
      </w:pPr>
      <w:r w:rsidRPr="00C3580A">
        <w:rPr>
          <w:rFonts w:ascii="Cambria" w:eastAsia="Book Antiqua" w:hAnsi="Cambria" w:cs="Book Antiqua"/>
          <w:i/>
          <w:iCs/>
          <w:sz w:val="24"/>
          <w:szCs w:val="24"/>
          <w:lang w:val="id-ID"/>
        </w:rPr>
        <w:t xml:space="preserve">“Kredit diartikan sebagai Penyediaan uang atau tagihan uang dapat dipersamakan dengan itu, berdasarkan persetujuan atau kesepakatan pinjam meminjam antara bank dengan pihak lain yang mewajibkan pihak </w:t>
      </w:r>
      <w:r w:rsidRPr="00C3580A">
        <w:rPr>
          <w:rFonts w:ascii="Cambria" w:eastAsia="Book Antiqua" w:hAnsi="Cambria" w:cs="Book Antiqua"/>
          <w:i/>
          <w:iCs/>
          <w:sz w:val="24"/>
          <w:szCs w:val="24"/>
          <w:lang w:val="id-ID"/>
        </w:rPr>
        <w:lastRenderedPageBreak/>
        <w:t>peminjam melunasi hutangnya setelah jangka waktu tertentu dengan adanya pemberian bunga.”</w:t>
      </w:r>
    </w:p>
    <w:p w14:paraId="108A7C4B" w14:textId="77777777" w:rsidR="005231C1" w:rsidRPr="00C3580A" w:rsidRDefault="005231C1" w:rsidP="005231C1">
      <w:pPr>
        <w:spacing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Dalam menjalankan kegiatan usahanya berupa pemberian kredit, Bank harus menerapkan prinsip kehati-hatian. Pemberian kredit kepada nasabah debitor harus melewati proses pengajuan kredit, dimana salah satunya harus lolos dalam proses analisis kredit yang sering dikenal dengan Analisis 5C. Analisis kredit ini dilakukan untuk bisa menilai sejauh mana kemampuan dari calon debitor nantinya untuk bisa melunasi kredit yang ia ajukan. Analisis 5C disini mencakup:</w:t>
      </w:r>
      <w:r w:rsidRPr="00C3580A">
        <w:rPr>
          <w:rFonts w:ascii="Cambria" w:eastAsia="Book Antiqua" w:hAnsi="Cambria" w:cs="Book Antiqua"/>
          <w:sz w:val="24"/>
          <w:szCs w:val="24"/>
          <w:vertAlign w:val="superscript"/>
          <w:lang w:val="id-ID"/>
        </w:rPr>
        <w:footnoteReference w:id="29"/>
      </w:r>
      <w:r w:rsidRPr="00C3580A">
        <w:rPr>
          <w:rFonts w:ascii="Cambria" w:eastAsia="Book Antiqua" w:hAnsi="Cambria" w:cs="Book Antiqua"/>
          <w:sz w:val="24"/>
          <w:szCs w:val="24"/>
          <w:lang w:val="id-ID"/>
        </w:rPr>
        <w:t xml:space="preserve"> </w:t>
      </w:r>
    </w:p>
    <w:p w14:paraId="2BCF1081" w14:textId="77777777" w:rsidR="005231C1" w:rsidRPr="00C3580A" w:rsidRDefault="005231C1" w:rsidP="005231C1">
      <w:pPr>
        <w:numPr>
          <w:ilvl w:val="0"/>
          <w:numId w:val="18"/>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i/>
          <w:iCs/>
          <w:sz w:val="24"/>
          <w:szCs w:val="24"/>
          <w:lang w:val="id-ID"/>
        </w:rPr>
        <w:t>Character (</w:t>
      </w:r>
      <w:r w:rsidRPr="00C3580A">
        <w:rPr>
          <w:rFonts w:ascii="Cambria" w:eastAsia="Book Antiqua" w:hAnsi="Cambria" w:cs="Book Antiqua"/>
          <w:sz w:val="24"/>
          <w:szCs w:val="24"/>
          <w:lang w:val="id-ID"/>
        </w:rPr>
        <w:t>menilai watak calon debitor untuk menganalisis kemampuan bayar debitor)</w:t>
      </w:r>
      <w:r w:rsidRPr="00C3580A">
        <w:rPr>
          <w:rFonts w:ascii="Cambria" w:eastAsia="Book Antiqua" w:hAnsi="Cambria" w:cs="Book Antiqua"/>
          <w:i/>
          <w:iCs/>
          <w:sz w:val="24"/>
          <w:szCs w:val="24"/>
          <w:lang w:val="id-ID"/>
        </w:rPr>
        <w:t>;</w:t>
      </w:r>
    </w:p>
    <w:p w14:paraId="41B8F4BD" w14:textId="77777777" w:rsidR="005231C1" w:rsidRPr="00C3580A" w:rsidRDefault="005231C1" w:rsidP="005231C1">
      <w:pPr>
        <w:numPr>
          <w:ilvl w:val="0"/>
          <w:numId w:val="18"/>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i/>
          <w:iCs/>
          <w:sz w:val="24"/>
          <w:szCs w:val="24"/>
          <w:lang w:val="id-ID"/>
        </w:rPr>
        <w:t>Capacity</w:t>
      </w:r>
      <w:r w:rsidRPr="00C3580A">
        <w:rPr>
          <w:rFonts w:ascii="Cambria" w:eastAsia="Book Antiqua" w:hAnsi="Cambria" w:cs="Book Antiqua"/>
          <w:sz w:val="24"/>
          <w:szCs w:val="24"/>
          <w:lang w:val="id-ID"/>
        </w:rPr>
        <w:t xml:space="preserve"> (kapasitas, bukan hanya mengenai kesediaan debitor namun juga sejauh mana kreditor yakni bank itu sendiri bisa menyediakan uang sejumlah yang dimohonkan debitor)</w:t>
      </w:r>
      <w:r w:rsidRPr="00C3580A">
        <w:rPr>
          <w:rFonts w:ascii="Cambria" w:eastAsia="Book Antiqua" w:hAnsi="Cambria" w:cs="Book Antiqua"/>
          <w:i/>
          <w:iCs/>
          <w:sz w:val="24"/>
          <w:szCs w:val="24"/>
          <w:lang w:val="id-ID"/>
        </w:rPr>
        <w:t>;</w:t>
      </w:r>
    </w:p>
    <w:p w14:paraId="6F91C243" w14:textId="77777777" w:rsidR="005231C1" w:rsidRPr="00C3580A" w:rsidRDefault="005231C1" w:rsidP="005231C1">
      <w:pPr>
        <w:numPr>
          <w:ilvl w:val="0"/>
          <w:numId w:val="18"/>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i/>
          <w:iCs/>
          <w:sz w:val="24"/>
          <w:szCs w:val="24"/>
          <w:lang w:val="id-ID"/>
        </w:rPr>
        <w:t>Capital</w:t>
      </w:r>
      <w:r w:rsidRPr="00C3580A">
        <w:rPr>
          <w:rFonts w:ascii="Cambria" w:eastAsia="Book Antiqua" w:hAnsi="Cambria" w:cs="Book Antiqua"/>
          <w:sz w:val="24"/>
          <w:szCs w:val="24"/>
          <w:lang w:val="id-ID"/>
        </w:rPr>
        <w:t xml:space="preserve"> (besaran modal yang dimiliki debitor untuk menentukan kesanggupan bayaranya)</w:t>
      </w:r>
      <w:r w:rsidRPr="00C3580A">
        <w:rPr>
          <w:rFonts w:ascii="Cambria" w:eastAsia="Book Antiqua" w:hAnsi="Cambria" w:cs="Book Antiqua"/>
          <w:i/>
          <w:iCs/>
          <w:sz w:val="24"/>
          <w:szCs w:val="24"/>
          <w:lang w:val="id-ID"/>
        </w:rPr>
        <w:t>;</w:t>
      </w:r>
    </w:p>
    <w:p w14:paraId="45D668BE" w14:textId="77777777" w:rsidR="005231C1" w:rsidRPr="00C3580A" w:rsidRDefault="005231C1" w:rsidP="005231C1">
      <w:pPr>
        <w:numPr>
          <w:ilvl w:val="0"/>
          <w:numId w:val="18"/>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i/>
          <w:iCs/>
          <w:sz w:val="24"/>
          <w:szCs w:val="24"/>
          <w:lang w:val="id-ID"/>
        </w:rPr>
        <w:t>Condition</w:t>
      </w:r>
      <w:r w:rsidRPr="00C3580A">
        <w:rPr>
          <w:rFonts w:ascii="Cambria" w:eastAsia="Book Antiqua" w:hAnsi="Cambria" w:cs="Book Antiqua"/>
          <w:sz w:val="24"/>
          <w:szCs w:val="24"/>
          <w:lang w:val="id-ID"/>
        </w:rPr>
        <w:t xml:space="preserve"> (analisis terhadap kondisi keuangan debitor di masa yang akan datang melalui aktivitas ekonomi debitor saat ini)</w:t>
      </w:r>
      <w:r w:rsidRPr="00C3580A">
        <w:rPr>
          <w:rFonts w:ascii="Cambria" w:eastAsia="Book Antiqua" w:hAnsi="Cambria" w:cs="Book Antiqua"/>
          <w:i/>
          <w:iCs/>
          <w:sz w:val="24"/>
          <w:szCs w:val="24"/>
          <w:lang w:val="id-ID"/>
        </w:rPr>
        <w:t xml:space="preserve">; </w:t>
      </w:r>
      <w:r w:rsidRPr="00C3580A">
        <w:rPr>
          <w:rFonts w:ascii="Cambria" w:eastAsia="Book Antiqua" w:hAnsi="Cambria" w:cs="Book Antiqua"/>
          <w:sz w:val="24"/>
          <w:szCs w:val="24"/>
          <w:lang w:val="id-ID"/>
        </w:rPr>
        <w:t xml:space="preserve">dan </w:t>
      </w:r>
    </w:p>
    <w:p w14:paraId="4D7D2A26" w14:textId="77777777" w:rsidR="005231C1" w:rsidRDefault="005231C1" w:rsidP="005231C1">
      <w:pPr>
        <w:numPr>
          <w:ilvl w:val="0"/>
          <w:numId w:val="18"/>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i/>
          <w:iCs/>
          <w:sz w:val="24"/>
          <w:szCs w:val="24"/>
          <w:lang w:val="id-ID"/>
        </w:rPr>
        <w:t>Collateral</w:t>
      </w:r>
      <w:r w:rsidRPr="00C3580A">
        <w:rPr>
          <w:rFonts w:ascii="Cambria" w:eastAsia="Book Antiqua" w:hAnsi="Cambria" w:cs="Book Antiqua"/>
          <w:sz w:val="24"/>
          <w:szCs w:val="24"/>
          <w:lang w:val="id-ID"/>
        </w:rPr>
        <w:t xml:space="preserve"> (suatu hal yang menjadi alternatif pembayaran kredit manakala debitor tidak bisa membayar angsuran). </w:t>
      </w:r>
    </w:p>
    <w:p w14:paraId="583446EF" w14:textId="77777777" w:rsidR="005231C1" w:rsidRPr="00C3580A" w:rsidRDefault="005231C1" w:rsidP="005231C1">
      <w:pPr>
        <w:spacing w:after="0" w:line="240" w:lineRule="auto"/>
        <w:ind w:left="1133"/>
        <w:jc w:val="both"/>
        <w:rPr>
          <w:rFonts w:ascii="Cambria" w:eastAsia="Book Antiqua" w:hAnsi="Cambria" w:cs="Book Antiqua"/>
          <w:sz w:val="24"/>
          <w:szCs w:val="24"/>
          <w:lang w:val="id-ID"/>
        </w:rPr>
      </w:pPr>
    </w:p>
    <w:p w14:paraId="55C6C793" w14:textId="77777777" w:rsidR="005231C1" w:rsidRPr="00C3580A" w:rsidRDefault="005231C1" w:rsidP="005231C1">
      <w:pPr>
        <w:spacing w:after="0" w:line="240" w:lineRule="auto"/>
        <w:ind w:left="566" w:firstLine="424"/>
        <w:jc w:val="both"/>
        <w:rPr>
          <w:rFonts w:ascii="Cambria" w:eastAsia="Book Antiqua" w:hAnsi="Cambria" w:cs="Book Antiqua"/>
          <w:sz w:val="24"/>
          <w:szCs w:val="24"/>
          <w:lang w:val="id-ID"/>
        </w:rPr>
      </w:pPr>
      <w:r w:rsidRPr="00C3580A">
        <w:rPr>
          <w:rFonts w:ascii="Cambria" w:eastAsia="Book Antiqua" w:hAnsi="Cambria" w:cs="Book Antiqua"/>
          <w:i/>
          <w:iCs/>
          <w:sz w:val="24"/>
          <w:szCs w:val="24"/>
          <w:lang w:val="id-ID"/>
        </w:rPr>
        <w:t xml:space="preserve">Collateral </w:t>
      </w:r>
      <w:r w:rsidRPr="00C3580A">
        <w:rPr>
          <w:rFonts w:ascii="Cambria" w:eastAsia="Book Antiqua" w:hAnsi="Cambria" w:cs="Book Antiqua"/>
          <w:sz w:val="24"/>
          <w:szCs w:val="24"/>
          <w:lang w:val="id-ID"/>
        </w:rPr>
        <w:t>atau biasa dikenal jaminan sangat penting keberadaannya dalam pemberian kredit untuk bisa menambah kepercayaan bank agar jika di kemudian hari debitor gagal bayar atau wanprestasi, bank bisa menjual jaminan tersebut untuk mengganti kredit yang sudah diberikan pada debitor.</w:t>
      </w:r>
    </w:p>
    <w:p w14:paraId="45E32F17" w14:textId="77777777" w:rsidR="005231C1" w:rsidRPr="00C3580A" w:rsidRDefault="005231C1" w:rsidP="005231C1">
      <w:pPr>
        <w:spacing w:after="0"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Ketika seorang nasabah debitor mengajukan permohonan kredit dan menyertakan jaminan berupa tanah dan bangunan miliknya, jaminan tersebut akan dilekatkan hak tanggungan di atasnya sesuai peraturan perundang-undangan yang berlaku untuk menjamin kedudukan hukum bank selaku kreditor. Manakala objek jaminan masih dalam penguasaan nasabah debitor, ia diperbolehkan untuk tetap mengusahakan tanah tersebut. Tanah dan bangunan yang dilekati Hak Tanggungan memiliki beberapa karakteristik khusus. </w:t>
      </w:r>
      <w:r w:rsidRPr="00C3580A">
        <w:rPr>
          <w:rFonts w:ascii="Cambria" w:eastAsia="Book Antiqua" w:hAnsi="Cambria" w:cs="Book Antiqua"/>
          <w:sz w:val="24"/>
          <w:szCs w:val="24"/>
          <w:highlight w:val="white"/>
          <w:lang w:val="id-ID"/>
        </w:rPr>
        <w:t>Salah satu sifat tersebut adalah</w:t>
      </w:r>
      <w:r w:rsidRPr="00C3580A">
        <w:rPr>
          <w:rFonts w:ascii="Cambria" w:eastAsia="Book Antiqua" w:hAnsi="Cambria" w:cs="Book Antiqua"/>
          <w:i/>
          <w:iCs/>
          <w:sz w:val="24"/>
          <w:szCs w:val="24"/>
          <w:highlight w:val="white"/>
          <w:lang w:val="id-ID"/>
        </w:rPr>
        <w:t xml:space="preserve"> droit de suite</w:t>
      </w:r>
      <w:r w:rsidRPr="00C3580A">
        <w:rPr>
          <w:rFonts w:ascii="Cambria" w:eastAsia="Book Antiqua" w:hAnsi="Cambria" w:cs="Book Antiqua"/>
          <w:sz w:val="24"/>
          <w:szCs w:val="24"/>
          <w:highlight w:val="white"/>
          <w:lang w:val="id-ID"/>
        </w:rPr>
        <w:t>, yaitu sifat yang menyebabkan hak tanggungan tetap mengikuti objek yang dijaminkan ke mana pun objek tersebut berpindah. Dengan kata lain, hak tanggungan tetap melekat pada benda yang menjadi objek jaminan meskipun terjadi peralihan kepemilikan kepada pihak lain.</w:t>
      </w:r>
      <w:r w:rsidRPr="00C3580A">
        <w:rPr>
          <w:rFonts w:ascii="Cambria" w:eastAsia="Book Antiqua" w:hAnsi="Cambria" w:cs="Book Antiqua"/>
          <w:sz w:val="24"/>
          <w:szCs w:val="24"/>
          <w:highlight w:val="white"/>
          <w:vertAlign w:val="superscript"/>
          <w:lang w:val="id-ID"/>
        </w:rPr>
        <w:footnoteReference w:id="30"/>
      </w:r>
      <w:r w:rsidRPr="00C3580A">
        <w:rPr>
          <w:rFonts w:ascii="Cambria" w:eastAsia="Book Antiqua" w:hAnsi="Cambria" w:cs="Book Antiqua"/>
          <w:sz w:val="24"/>
          <w:szCs w:val="24"/>
          <w:highlight w:val="white"/>
          <w:lang w:val="id-ID"/>
        </w:rPr>
        <w:t xml:space="preserve"> Selain itu, Hak Tanggungan juga memiliki sifat </w:t>
      </w:r>
      <w:r w:rsidRPr="00C3580A">
        <w:rPr>
          <w:rFonts w:ascii="Cambria" w:eastAsia="Book Antiqua" w:hAnsi="Cambria" w:cs="Book Antiqua"/>
          <w:i/>
          <w:iCs/>
          <w:sz w:val="24"/>
          <w:szCs w:val="24"/>
          <w:highlight w:val="white"/>
          <w:lang w:val="id-ID"/>
        </w:rPr>
        <w:t>droit de preference</w:t>
      </w:r>
      <w:r w:rsidRPr="00C3580A">
        <w:rPr>
          <w:rFonts w:ascii="Cambria" w:eastAsia="Book Antiqua" w:hAnsi="Cambria" w:cs="Book Antiqua"/>
          <w:sz w:val="24"/>
          <w:szCs w:val="24"/>
          <w:highlight w:val="white"/>
          <w:lang w:val="id-ID"/>
        </w:rPr>
        <w:t xml:space="preserve">, yang memberikan kedudukan yang diutamakan kepada kreditor pemegang hak tanggungan dalam hal pelunasan utang debitor. Melalui sifat ini, kreditor pemegang Hak Tanggungan berhak untuk memperoleh pelunasan terlebih dahulu dari hasil penjualan objek jaminan </w:t>
      </w:r>
      <w:r w:rsidRPr="00C3580A">
        <w:rPr>
          <w:rFonts w:ascii="Cambria" w:eastAsia="Book Antiqua" w:hAnsi="Cambria" w:cs="Book Antiqua"/>
          <w:sz w:val="24"/>
          <w:szCs w:val="24"/>
          <w:highlight w:val="white"/>
          <w:lang w:val="id-ID"/>
        </w:rPr>
        <w:lastRenderedPageBreak/>
        <w:t>dibandingkan dengan kreditor lainnya.</w:t>
      </w:r>
      <w:r w:rsidRPr="00C3580A">
        <w:rPr>
          <w:rFonts w:ascii="Cambria" w:eastAsia="Book Antiqua" w:hAnsi="Cambria" w:cs="Book Antiqua"/>
          <w:sz w:val="24"/>
          <w:szCs w:val="24"/>
          <w:highlight w:val="white"/>
          <w:vertAlign w:val="superscript"/>
          <w:lang w:val="id-ID"/>
        </w:rPr>
        <w:footnoteReference w:id="31"/>
      </w:r>
      <w:r w:rsidRPr="00C3580A">
        <w:rPr>
          <w:rFonts w:ascii="Cambria" w:eastAsia="Book Antiqua" w:hAnsi="Cambria" w:cs="Book Antiqua"/>
          <w:sz w:val="24"/>
          <w:szCs w:val="24"/>
          <w:highlight w:val="white"/>
          <w:lang w:val="id-ID"/>
        </w:rPr>
        <w:t xml:space="preserve"> Meskipun Hak Tanggungan memberikan hak kebendaan kepada kreditor serta menempatkan kreditor dalam posisi yang didahulukan dalam pelunasan utang, pembebanan Hak Tanggungan pada dasarnya tidak mengakibatkan beralihnya hak kepemilikan atas tanah dari debitor kepada kreditor. Dengan demikian, debitor tetap menjadi pemegang hak atas tanah yang sah dan pada prinsipnya masih memiliki kewenangan untuk memanfaatkan tanah tersebut, sepanjang pemanfaatan tersebut tidak bertentangan dengan ketentuan peraturan perundang-undangan maupun kesepakatan yang diatur dalam APHT.</w:t>
      </w:r>
    </w:p>
    <w:p w14:paraId="37925348" w14:textId="77777777" w:rsidR="005231C1" w:rsidRPr="00C3580A" w:rsidRDefault="005231C1" w:rsidP="005231C1">
      <w:pPr>
        <w:spacing w:after="0" w:line="240" w:lineRule="auto"/>
        <w:ind w:left="425" w:firstLine="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Ketentuan ini juga selaras dengan Pasal 11 ayat (2) huruf a dan g UUHT mengenai janji yang dapat dituliskan dalam APHT. Pada skenario pertama yang telah diuraikan penulis, janji dalam APHT sebagaimana tertulis dalam Pasal 11 ayat (2) huruf a UUHT yang menyatakan bahwa sepanjang sudah ada </w:t>
      </w:r>
      <w:r w:rsidRPr="00356760">
        <w:rPr>
          <w:rFonts w:ascii="Cambria" w:eastAsia="Book Antiqua" w:hAnsi="Cambria" w:cs="Book Antiqua"/>
          <w:sz w:val="24"/>
          <w:szCs w:val="24"/>
          <w:lang w:val="id-ID"/>
        </w:rPr>
        <w:t>persetujuan tertulis dari pemegang Hak Tanggungan yakni bank pemberi kredit, maka nasabah debitor sebagai pemberi Hak Tanggungan dapat menyewakan objek Hak Tanggungan tersebut. Dalam konteks ini, perlu dipahami bahwa Hak Tanggungan sebagai hak kebendaan memberikan kedudukan preferen kepada bank selaku kreditor atas objek jaminan tersebut. Oleh karena itu, penyewaan objek Hak Tanggungan tanpa persetujuan bank berpotensi menimbulkan permasalahan hukum pada saat pelaksanaan eksekusi jaminan. Namun demikian, pelanggaran terhadap klausul dalam APHT tersebut tidak serta merta menyebabkan perjanjian sewa menyewa menjadi batal demi hukum. Perjanjian sewa menyewa pada prinsipnya tetap sah dan mengikat para pihak sepanjang memenuhi syarat sah perjanjian sebagaimana diatur dalam Pasal 1320 KUHPerdata. Akan tetapi, perjanjian tersebut dapat dianggap tidak memiliki daya ikat terhadap kreditor pemegang Hak Tanggungan ketika dilakukan eksekusi atas objek jaminan. Dengan demikian, perlu dibedakan secara tegas antara keabsahan perjanjian dengan keberlakuannya terhadap pihak ketiga.</w:t>
      </w:r>
    </w:p>
    <w:p w14:paraId="0391C767" w14:textId="77777777" w:rsidR="005231C1" w:rsidRPr="00C3580A" w:rsidRDefault="005231C1" w:rsidP="005231C1">
      <w:pPr>
        <w:spacing w:after="0"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Langkah preventif bank untuk menjamin kepastian hukum hak tanggungan yang dipegang adalah dengan membuat Surat Pernyataan Pengosongan. Seperti yang telah Penulis uraikan dalam skenario pertama, Surat Pernyataan Pengosongan ini merupakan upaya pengaman tambahan yang lahir dari praktik kredit dalam perbankan yang berisi pernyataan bahwa penyewa objek hak tanggungan mengetahui bahwa tanah dan bangunan yang disewanya telah dilekati hak tanggungan dan memiliki kewajiban mengosongkan tanah dan bangunan objek hak tanggungan bilamana dikemudian hari pemberi sewa dinyatakan gagal bayar atau wanprestasi, uang sisa masa sewa akan dikembalikan dan ada pemberian kompensasi dari pemberi sewa.</w:t>
      </w:r>
    </w:p>
    <w:p w14:paraId="0A9B7085" w14:textId="77777777" w:rsidR="005231C1" w:rsidRPr="00C3580A" w:rsidRDefault="005231C1" w:rsidP="005231C1">
      <w:pPr>
        <w:spacing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Perihal dibutuhkannya surat pernyataan pengosongan, maka isi dari surat pernyataan tersebut meliputi : </w:t>
      </w:r>
    </w:p>
    <w:p w14:paraId="08385757" w14:textId="77777777" w:rsidR="005231C1" w:rsidRPr="00C3580A" w:rsidRDefault="005231C1" w:rsidP="005231C1">
      <w:pPr>
        <w:numPr>
          <w:ilvl w:val="0"/>
          <w:numId w:val="19"/>
        </w:numPr>
        <w:spacing w:after="0" w:line="240" w:lineRule="auto"/>
        <w:ind w:left="1133"/>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Identitas dan kedudukan para pihak;</w:t>
      </w:r>
    </w:p>
    <w:p w14:paraId="747B60D8" w14:textId="77777777" w:rsidR="005231C1" w:rsidRPr="00C3580A" w:rsidRDefault="005231C1" w:rsidP="005231C1">
      <w:pPr>
        <w:numPr>
          <w:ilvl w:val="0"/>
          <w:numId w:val="19"/>
        </w:numPr>
        <w:spacing w:after="0" w:line="240" w:lineRule="auto"/>
        <w:ind w:left="1133"/>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lastRenderedPageBreak/>
        <w:t>Premise yang menjelaskan tanah dan bangunan sebagai objek sewa dan hak tanggungan;</w:t>
      </w:r>
    </w:p>
    <w:p w14:paraId="3C3F402C" w14:textId="77777777" w:rsidR="005231C1" w:rsidRPr="00C3580A" w:rsidRDefault="005231C1" w:rsidP="005231C1">
      <w:pPr>
        <w:numPr>
          <w:ilvl w:val="0"/>
          <w:numId w:val="19"/>
        </w:numPr>
        <w:spacing w:after="0" w:line="240" w:lineRule="auto"/>
        <w:ind w:left="1133"/>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Isi perjanjian (yang mencakup)</w:t>
      </w:r>
      <w:r w:rsidRPr="00C3580A">
        <w:rPr>
          <w:rFonts w:ascii="Cambria" w:eastAsia="Book Antiqua" w:hAnsi="Cambria" w:cs="Book Antiqua"/>
          <w:sz w:val="24"/>
          <w:szCs w:val="24"/>
          <w:highlight w:val="white"/>
          <w:vertAlign w:val="superscript"/>
          <w:lang w:val="id-ID"/>
        </w:rPr>
        <w:footnoteReference w:id="32"/>
      </w:r>
      <w:r w:rsidRPr="00C3580A">
        <w:rPr>
          <w:rFonts w:ascii="Cambria" w:eastAsia="Book Antiqua" w:hAnsi="Cambria" w:cs="Book Antiqua"/>
          <w:sz w:val="24"/>
          <w:szCs w:val="24"/>
          <w:highlight w:val="white"/>
          <w:lang w:val="id-ID"/>
        </w:rPr>
        <w:t xml:space="preserve"> :</w:t>
      </w:r>
    </w:p>
    <w:p w14:paraId="618D9BA5"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bank yang mengetahui dan menyetujui bahwa objek tanah dan bangunan disewakan kepada pihak ketiga;</w:t>
      </w:r>
    </w:p>
    <w:p w14:paraId="1098E39C"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penyewa yang mengetahui bahwa objek sewanya digunakan sebagai jaminan Hak Tanggungan kepada bank;</w:t>
      </w:r>
    </w:p>
    <w:p w14:paraId="546082E8"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penyewa dapat meminta ganti rugi kepada pemilik objek Tanah dan Bangunan;</w:t>
      </w:r>
    </w:p>
    <w:p w14:paraId="158AD0B5"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penyewa yang akan mengosongkan objek Tanah dan Bangunan, ketika pemilik objek Tanah dan Bangunan gagal bayar;</w:t>
      </w:r>
    </w:p>
    <w:p w14:paraId="09755BBE"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pemilik objek untuk memastikan bahwa objek Tanah dan Bangunan telah dikosongi sejak dikirimkannya permintaan dari pihak bank;</w:t>
      </w:r>
    </w:p>
    <w:p w14:paraId="764D2D09"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penyewa dan pemilik objek Tanah dan Bangunan untuk tidak mengahalangi pihak bank dalam menjalankan haknya manakala pemilik objek Tanah dan Bangunan gagal bayar;</w:t>
      </w:r>
    </w:p>
    <w:p w14:paraId="09C5A823"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Pemberian denda kepada pihak pemilik objek Tanah dan Bangunan yang tidak dapat memenuhi kewajibannya ketika gagal bayar;</w:t>
      </w:r>
    </w:p>
    <w:p w14:paraId="7ECFEF8C" w14:textId="77777777" w:rsidR="005231C1" w:rsidRPr="00C3580A" w:rsidRDefault="005231C1" w:rsidP="005231C1">
      <w:pPr>
        <w:numPr>
          <w:ilvl w:val="0"/>
          <w:numId w:val="15"/>
        </w:numPr>
        <w:spacing w:after="0" w:line="240" w:lineRule="auto"/>
        <w:ind w:left="1559"/>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Pernyataan penyewa dan pemilik objek Tanah dan Bangunan untuk tidak melakukan upaya hukum kepada bank atas tindakan pengosongan objek Tanah dan Bangunan.</w:t>
      </w:r>
    </w:p>
    <w:p w14:paraId="0A25CDD7" w14:textId="77777777" w:rsidR="005231C1" w:rsidRPr="00C3580A" w:rsidRDefault="005231C1" w:rsidP="005231C1">
      <w:pPr>
        <w:numPr>
          <w:ilvl w:val="0"/>
          <w:numId w:val="19"/>
        </w:numPr>
        <w:spacing w:after="0" w:line="240" w:lineRule="auto"/>
        <w:ind w:left="1133"/>
        <w:jc w:val="both"/>
        <w:rPr>
          <w:rFonts w:ascii="Cambria" w:eastAsia="Book Antiqua" w:hAnsi="Cambria" w:cs="Book Antiqua"/>
          <w:sz w:val="24"/>
          <w:szCs w:val="24"/>
          <w:highlight w:val="white"/>
          <w:lang w:val="id-ID"/>
        </w:rPr>
      </w:pPr>
      <w:r w:rsidRPr="00C3580A">
        <w:rPr>
          <w:rFonts w:ascii="Cambria" w:eastAsia="Book Antiqua" w:hAnsi="Cambria" w:cs="Book Antiqua"/>
          <w:sz w:val="24"/>
          <w:szCs w:val="24"/>
          <w:highlight w:val="white"/>
          <w:lang w:val="id-ID"/>
        </w:rPr>
        <w:t>Penutup dan ditandatangani oleh para pihak.</w:t>
      </w:r>
    </w:p>
    <w:p w14:paraId="67566DDF" w14:textId="77777777" w:rsidR="005231C1" w:rsidRPr="00C3580A" w:rsidRDefault="005231C1" w:rsidP="005231C1">
      <w:pPr>
        <w:spacing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Dalam skenario kedua ini terdapat alternatif bagi pemilik objek tanah dan bangunan untuk melakukan pelunasan kredit kepada bank dengan cara cessie. Cessie adalah lembaga pengalihan piutang atas nama dari kreditor lama kepada kreditor baru yang didasarkan pada Pasal 613 KUHPER. Pasal 613 KUHPER berisi penjelasan umum dari mekanisme cessie, bahwa : </w:t>
      </w:r>
    </w:p>
    <w:p w14:paraId="79C1E9C3" w14:textId="77777777" w:rsidR="005231C1" w:rsidRPr="00C3580A" w:rsidRDefault="005231C1" w:rsidP="005231C1">
      <w:pPr>
        <w:spacing w:line="240" w:lineRule="auto"/>
        <w:ind w:left="720"/>
        <w:jc w:val="both"/>
        <w:rPr>
          <w:rFonts w:ascii="Cambria" w:eastAsia="Book Antiqua" w:hAnsi="Cambria" w:cs="Book Antiqua"/>
          <w:i/>
          <w:iCs/>
          <w:sz w:val="24"/>
          <w:szCs w:val="24"/>
          <w:lang w:val="id-ID"/>
        </w:rPr>
      </w:pPr>
      <w:r w:rsidRPr="00C3580A">
        <w:rPr>
          <w:rFonts w:ascii="Cambria" w:eastAsia="Book Antiqua" w:hAnsi="Cambria" w:cs="Book Antiqua"/>
          <w:i/>
          <w:iCs/>
          <w:sz w:val="24"/>
          <w:szCs w:val="24"/>
          <w:lang w:val="id-ID"/>
        </w:rPr>
        <w:t xml:space="preserve">“Penyerahan piutang atas nama dan kebendaan bertubuh lainnya, dilakukan dengan jalan membuat akta otentik atau dibawah tangan dengan mana hak-hak atas kebendaan itu dilimpahkan kepada orang lain.” </w:t>
      </w:r>
    </w:p>
    <w:p w14:paraId="1F31D14F" w14:textId="77777777" w:rsidR="005231C1" w:rsidRPr="00C3580A" w:rsidRDefault="005231C1" w:rsidP="005231C1">
      <w:pPr>
        <w:spacing w:after="0" w:line="240" w:lineRule="auto"/>
        <w:ind w:left="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Berdasarkan pengaturan ini, peralihan yang terjadi adalah hak tagih atas prestasi tertentu, termasuk kewajiban pembayaran hutang debitor. Piutang sendiri pada dasarnya merupakan benda bergerak tidak berwujud berdasarkan ketentuan undang-undang.</w:t>
      </w:r>
      <w:r w:rsidRPr="00C3580A">
        <w:rPr>
          <w:rFonts w:ascii="Cambria" w:eastAsia="Book Antiqua" w:hAnsi="Cambria" w:cs="Book Antiqua"/>
          <w:sz w:val="24"/>
          <w:szCs w:val="24"/>
          <w:vertAlign w:val="superscript"/>
          <w:lang w:val="id-ID"/>
        </w:rPr>
        <w:footnoteReference w:id="33"/>
      </w:r>
    </w:p>
    <w:p w14:paraId="553773BA" w14:textId="77777777" w:rsidR="005231C1" w:rsidRPr="00C3580A" w:rsidRDefault="005231C1" w:rsidP="005231C1">
      <w:pPr>
        <w:spacing w:after="0"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Piutang atau hak tagih yang dialihkan dalam bentuk cessie ini adalah piutang atas nama. Piutang atas nama merupakan hak tagih terhadap debitor dari kreditor yang didasarkan pada perikatan tertentu.</w:t>
      </w:r>
      <w:r w:rsidRPr="00C3580A">
        <w:rPr>
          <w:rFonts w:ascii="Cambria" w:eastAsia="Book Antiqua" w:hAnsi="Cambria" w:cs="Book Antiqua"/>
          <w:sz w:val="24"/>
          <w:szCs w:val="24"/>
          <w:vertAlign w:val="superscript"/>
          <w:lang w:val="id-ID"/>
        </w:rPr>
        <w:footnoteReference w:id="34"/>
      </w:r>
      <w:r w:rsidRPr="00C3580A">
        <w:rPr>
          <w:rFonts w:ascii="Cambria" w:eastAsia="Book Antiqua" w:hAnsi="Cambria" w:cs="Book Antiqua"/>
          <w:sz w:val="24"/>
          <w:szCs w:val="24"/>
          <w:lang w:val="id-ID"/>
        </w:rPr>
        <w:t xml:space="preserve"> Agar </w:t>
      </w:r>
      <w:r w:rsidRPr="00C3580A">
        <w:rPr>
          <w:rFonts w:ascii="Cambria" w:eastAsia="Book Antiqua" w:hAnsi="Cambria" w:cs="Book Antiqua"/>
          <w:i/>
          <w:iCs/>
          <w:sz w:val="24"/>
          <w:szCs w:val="24"/>
          <w:lang w:val="id-ID"/>
        </w:rPr>
        <w:t xml:space="preserve">Cessie </w:t>
      </w:r>
      <w:r w:rsidRPr="00C3580A">
        <w:rPr>
          <w:rFonts w:ascii="Cambria" w:eastAsia="Book Antiqua" w:hAnsi="Cambria" w:cs="Book Antiqua"/>
          <w:sz w:val="24"/>
          <w:szCs w:val="24"/>
          <w:lang w:val="id-ID"/>
        </w:rPr>
        <w:t xml:space="preserve">dapat mengikat debitor untuk membayarkan prestasinya pada kreditor baru, perjanjian </w:t>
      </w:r>
      <w:r w:rsidRPr="00C3580A">
        <w:rPr>
          <w:rFonts w:ascii="Cambria" w:eastAsia="Book Antiqua" w:hAnsi="Cambria" w:cs="Book Antiqua"/>
          <w:i/>
          <w:iCs/>
          <w:sz w:val="24"/>
          <w:szCs w:val="24"/>
          <w:lang w:val="id-ID"/>
        </w:rPr>
        <w:t>cessie</w:t>
      </w:r>
      <w:r w:rsidRPr="00C3580A">
        <w:rPr>
          <w:rFonts w:ascii="Cambria" w:eastAsia="Book Antiqua" w:hAnsi="Cambria" w:cs="Book Antiqua"/>
          <w:sz w:val="24"/>
          <w:szCs w:val="24"/>
          <w:lang w:val="id-ID"/>
        </w:rPr>
        <w:t xml:space="preserve"> dibuat antara kreditor lama dan kreditor baru dengan tetap berlandaskan Pasal 1320 KUHPER, selanjutnya perjanjian ini harus segera diberitahukan dan disetujui debitor tersebut. Apabila tidak dilakukan, maka </w:t>
      </w:r>
      <w:r w:rsidRPr="00C3580A">
        <w:rPr>
          <w:rFonts w:ascii="Cambria" w:eastAsia="Book Antiqua" w:hAnsi="Cambria" w:cs="Book Antiqua"/>
          <w:sz w:val="24"/>
          <w:szCs w:val="24"/>
          <w:lang w:val="id-ID"/>
        </w:rPr>
        <w:lastRenderedPageBreak/>
        <w:t>pembayaran tagihan hutang yang dilakukan kepada kreditor lama tetap terhitung sebagai pembayaran yang sah.</w:t>
      </w:r>
      <w:r w:rsidRPr="00C3580A">
        <w:rPr>
          <w:rFonts w:ascii="Cambria" w:eastAsia="Book Antiqua" w:hAnsi="Cambria" w:cs="Book Antiqua"/>
          <w:sz w:val="24"/>
          <w:szCs w:val="24"/>
          <w:vertAlign w:val="superscript"/>
          <w:lang w:val="id-ID"/>
        </w:rPr>
        <w:footnoteReference w:id="35"/>
      </w:r>
      <w:r w:rsidRPr="00C3580A">
        <w:rPr>
          <w:rFonts w:ascii="Cambria" w:eastAsia="Book Antiqua" w:hAnsi="Cambria" w:cs="Book Antiqua"/>
          <w:sz w:val="24"/>
          <w:szCs w:val="24"/>
          <w:lang w:val="id-ID"/>
        </w:rPr>
        <w:t xml:space="preserve">  Pemberitahuan kepada debitor tidak boleh dilakukan secara asal-asalan, pemberitahuan harus dibuat secara resmi, baik dengan surat tertulis maupun pengumuman media massa yang harus sampai dan disetujui debitor dengan bentuk tertulis. Dalam peristiwa ini, perjanjian </w:t>
      </w:r>
      <w:r w:rsidRPr="00C3580A">
        <w:rPr>
          <w:rFonts w:ascii="Cambria" w:eastAsia="Book Antiqua" w:hAnsi="Cambria" w:cs="Book Antiqua"/>
          <w:i/>
          <w:iCs/>
          <w:sz w:val="24"/>
          <w:szCs w:val="24"/>
          <w:lang w:val="id-ID"/>
        </w:rPr>
        <w:t>Cessie</w:t>
      </w:r>
      <w:r w:rsidRPr="00C3580A">
        <w:rPr>
          <w:rFonts w:ascii="Cambria" w:eastAsia="Book Antiqua" w:hAnsi="Cambria" w:cs="Book Antiqua"/>
          <w:sz w:val="24"/>
          <w:szCs w:val="24"/>
          <w:lang w:val="id-ID"/>
        </w:rPr>
        <w:t xml:space="preserve"> bersifat accesoir. Apabila adanya pengalihan piutang dengan cara </w:t>
      </w:r>
      <w:r w:rsidRPr="00C3580A">
        <w:rPr>
          <w:rFonts w:ascii="Cambria" w:eastAsia="Book Antiqua" w:hAnsi="Cambria" w:cs="Book Antiqua"/>
          <w:i/>
          <w:iCs/>
          <w:sz w:val="24"/>
          <w:szCs w:val="24"/>
          <w:lang w:val="id-ID"/>
        </w:rPr>
        <w:t xml:space="preserve">cessie </w:t>
      </w:r>
      <w:r w:rsidRPr="00C3580A">
        <w:rPr>
          <w:rFonts w:ascii="Cambria" w:eastAsia="Book Antiqua" w:hAnsi="Cambria" w:cs="Book Antiqua"/>
          <w:sz w:val="24"/>
          <w:szCs w:val="24"/>
          <w:lang w:val="id-ID"/>
        </w:rPr>
        <w:t xml:space="preserve">dilakukan karena adanya suatu peristiwa hukum yang mendahuluinya, perjanjian </w:t>
      </w:r>
      <w:r w:rsidRPr="00C3580A">
        <w:rPr>
          <w:rFonts w:ascii="Cambria" w:eastAsia="Book Antiqua" w:hAnsi="Cambria" w:cs="Book Antiqua"/>
          <w:i/>
          <w:iCs/>
          <w:sz w:val="24"/>
          <w:szCs w:val="24"/>
          <w:lang w:val="id-ID"/>
        </w:rPr>
        <w:t xml:space="preserve">cessie </w:t>
      </w:r>
      <w:r w:rsidRPr="00C3580A">
        <w:rPr>
          <w:rFonts w:ascii="Cambria" w:eastAsia="Book Antiqua" w:hAnsi="Cambria" w:cs="Book Antiqua"/>
          <w:sz w:val="24"/>
          <w:szCs w:val="24"/>
          <w:lang w:val="id-ID"/>
        </w:rPr>
        <w:t>bersifat accesoir atau pelengkap. Peristiwa hukum bisa berupa jual-beli, hutang-piutang, maupun peristiwa lain yang termasuk kualifikasi peristiwa hukum.</w:t>
      </w:r>
      <w:r w:rsidRPr="00C3580A">
        <w:rPr>
          <w:rFonts w:ascii="Cambria" w:eastAsia="Book Antiqua" w:hAnsi="Cambria" w:cs="Book Antiqua"/>
          <w:sz w:val="24"/>
          <w:szCs w:val="24"/>
          <w:vertAlign w:val="superscript"/>
          <w:lang w:val="id-ID"/>
        </w:rPr>
        <w:footnoteReference w:id="36"/>
      </w:r>
      <w:r w:rsidRPr="00C3580A">
        <w:rPr>
          <w:rFonts w:ascii="Cambria" w:eastAsia="Book Antiqua" w:hAnsi="Cambria" w:cs="Book Antiqua"/>
          <w:i/>
          <w:iCs/>
          <w:sz w:val="24"/>
          <w:szCs w:val="24"/>
          <w:lang w:val="id-ID"/>
        </w:rPr>
        <w:t xml:space="preserve"> </w:t>
      </w:r>
    </w:p>
    <w:p w14:paraId="4B5F90F8" w14:textId="77777777" w:rsidR="005231C1" w:rsidRPr="00C3580A" w:rsidRDefault="005231C1" w:rsidP="005231C1">
      <w:pPr>
        <w:spacing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Dalam </w:t>
      </w:r>
      <w:r w:rsidRPr="00C3580A">
        <w:rPr>
          <w:rFonts w:ascii="Cambria" w:eastAsia="Book Antiqua" w:hAnsi="Cambria" w:cs="Book Antiqua"/>
          <w:i/>
          <w:iCs/>
          <w:sz w:val="24"/>
          <w:szCs w:val="24"/>
          <w:lang w:val="id-ID"/>
        </w:rPr>
        <w:t>Cessie</w:t>
      </w:r>
      <w:r w:rsidRPr="00C3580A">
        <w:rPr>
          <w:rFonts w:ascii="Cambria" w:eastAsia="Book Antiqua" w:hAnsi="Cambria" w:cs="Book Antiqua"/>
          <w:sz w:val="24"/>
          <w:szCs w:val="24"/>
          <w:lang w:val="id-ID"/>
        </w:rPr>
        <w:t xml:space="preserve"> piutang atas nama terdapat sekurang-kurangnya 3 (tiga) pihak yang saling berkaitan, diantaranya adalah kreditor lama (</w:t>
      </w:r>
      <w:r w:rsidRPr="00C3580A">
        <w:rPr>
          <w:rFonts w:ascii="Cambria" w:eastAsia="Book Antiqua" w:hAnsi="Cambria" w:cs="Book Antiqua"/>
          <w:i/>
          <w:iCs/>
          <w:sz w:val="24"/>
          <w:szCs w:val="24"/>
          <w:lang w:val="id-ID"/>
        </w:rPr>
        <w:t>Cedent)</w:t>
      </w:r>
      <w:r w:rsidRPr="00C3580A">
        <w:rPr>
          <w:rFonts w:ascii="Cambria" w:eastAsia="Book Antiqua" w:hAnsi="Cambria" w:cs="Book Antiqua"/>
          <w:sz w:val="24"/>
          <w:szCs w:val="24"/>
          <w:lang w:val="id-ID"/>
        </w:rPr>
        <w:t xml:space="preserve"> yang memiliki tagihan piutang, kreditor baru (</w:t>
      </w:r>
      <w:r w:rsidRPr="00C3580A">
        <w:rPr>
          <w:rFonts w:ascii="Cambria" w:eastAsia="Book Antiqua" w:hAnsi="Cambria" w:cs="Book Antiqua"/>
          <w:i/>
          <w:iCs/>
          <w:sz w:val="24"/>
          <w:szCs w:val="24"/>
          <w:lang w:val="id-ID"/>
        </w:rPr>
        <w:t>Cessionaris)</w:t>
      </w:r>
      <w:r w:rsidRPr="00C3580A">
        <w:rPr>
          <w:rFonts w:ascii="Cambria" w:eastAsia="Book Antiqua" w:hAnsi="Cambria" w:cs="Book Antiqua"/>
          <w:sz w:val="24"/>
          <w:szCs w:val="24"/>
          <w:lang w:val="id-ID"/>
        </w:rPr>
        <w:t xml:space="preserve"> yang menerima pengalihan tagihan piutang, dan debitor (</w:t>
      </w:r>
      <w:r w:rsidRPr="00C3580A">
        <w:rPr>
          <w:rFonts w:ascii="Cambria" w:eastAsia="Book Antiqua" w:hAnsi="Cambria" w:cs="Book Antiqua"/>
          <w:i/>
          <w:iCs/>
          <w:sz w:val="24"/>
          <w:szCs w:val="24"/>
          <w:lang w:val="id-ID"/>
        </w:rPr>
        <w:t>Cessus)</w:t>
      </w:r>
      <w:r w:rsidRPr="00C3580A">
        <w:rPr>
          <w:rFonts w:ascii="Cambria" w:eastAsia="Book Antiqua" w:hAnsi="Cambria" w:cs="Book Antiqua"/>
          <w:sz w:val="24"/>
          <w:szCs w:val="24"/>
          <w:lang w:val="id-ID"/>
        </w:rPr>
        <w:t xml:space="preserve"> yang mempunyai tagihan tertentu.</w:t>
      </w:r>
      <w:r w:rsidRPr="00C3580A">
        <w:rPr>
          <w:rFonts w:ascii="Cambria" w:eastAsia="Book Antiqua" w:hAnsi="Cambria" w:cs="Book Antiqua"/>
          <w:sz w:val="24"/>
          <w:szCs w:val="24"/>
          <w:vertAlign w:val="superscript"/>
          <w:lang w:val="id-ID"/>
        </w:rPr>
        <w:footnoteReference w:id="37"/>
      </w:r>
      <w:r w:rsidRPr="00C3580A">
        <w:rPr>
          <w:rFonts w:ascii="Cambria" w:eastAsia="Book Antiqua" w:hAnsi="Cambria" w:cs="Book Antiqua"/>
          <w:sz w:val="24"/>
          <w:szCs w:val="24"/>
          <w:lang w:val="id-ID"/>
        </w:rPr>
        <w:t xml:space="preserve"> Atas tiga pihak tersebut kemudian juga menimbulkan sekurang-kurangnya 3 (tiga)  hubungan hukum yakni:</w:t>
      </w:r>
    </w:p>
    <w:p w14:paraId="2C49513D" w14:textId="77777777" w:rsidR="005231C1" w:rsidRPr="00C3580A" w:rsidRDefault="005231C1" w:rsidP="005231C1">
      <w:pPr>
        <w:numPr>
          <w:ilvl w:val="0"/>
          <w:numId w:val="20"/>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Hubungan utang-piutang yang pertama terjadi antara kreditor lama  (</w:t>
      </w:r>
      <w:r w:rsidRPr="00C3580A">
        <w:rPr>
          <w:rFonts w:ascii="Cambria" w:eastAsia="Book Antiqua" w:hAnsi="Cambria" w:cs="Book Antiqua"/>
          <w:i/>
          <w:iCs/>
          <w:sz w:val="24"/>
          <w:szCs w:val="24"/>
          <w:lang w:val="id-ID"/>
        </w:rPr>
        <w:t xml:space="preserve">Cedent) </w:t>
      </w:r>
      <w:r w:rsidRPr="00C3580A">
        <w:rPr>
          <w:rFonts w:ascii="Cambria" w:eastAsia="Book Antiqua" w:hAnsi="Cambria" w:cs="Book Antiqua"/>
          <w:sz w:val="24"/>
          <w:szCs w:val="24"/>
          <w:lang w:val="id-ID"/>
        </w:rPr>
        <w:t>dengan debitor (</w:t>
      </w:r>
      <w:r w:rsidRPr="01DCFFDD">
        <w:rPr>
          <w:rFonts w:ascii="Cambria" w:eastAsia="Book Antiqua" w:hAnsi="Cambria" w:cs="Book Antiqua"/>
          <w:i/>
          <w:iCs/>
          <w:sz w:val="24"/>
          <w:szCs w:val="24"/>
          <w:lang w:val="id-ID"/>
        </w:rPr>
        <w:t>Cessus</w:t>
      </w:r>
      <w:r w:rsidRPr="00C3580A">
        <w:rPr>
          <w:rFonts w:ascii="Cambria" w:eastAsia="Book Antiqua" w:hAnsi="Cambria" w:cs="Book Antiqua"/>
          <w:i/>
          <w:iCs/>
          <w:sz w:val="24"/>
          <w:szCs w:val="24"/>
          <w:lang w:val="id-ID"/>
        </w:rPr>
        <w:t>);</w:t>
      </w:r>
    </w:p>
    <w:p w14:paraId="13BE4E28" w14:textId="77777777" w:rsidR="005231C1" w:rsidRPr="00C3580A" w:rsidRDefault="005231C1" w:rsidP="005231C1">
      <w:pPr>
        <w:numPr>
          <w:ilvl w:val="0"/>
          <w:numId w:val="20"/>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Hubungan adanya pengalihan piutang dari kreditor lama </w:t>
      </w:r>
      <w:r w:rsidRPr="00C3580A">
        <w:rPr>
          <w:rFonts w:ascii="Cambria" w:eastAsia="Book Antiqua" w:hAnsi="Cambria" w:cs="Book Antiqua"/>
          <w:i/>
          <w:iCs/>
          <w:sz w:val="24"/>
          <w:szCs w:val="24"/>
          <w:lang w:val="id-ID"/>
        </w:rPr>
        <w:t>(Cedent)</w:t>
      </w:r>
      <w:r w:rsidRPr="00C3580A">
        <w:rPr>
          <w:rFonts w:ascii="Cambria" w:eastAsia="Book Antiqua" w:hAnsi="Cambria" w:cs="Book Antiqua"/>
          <w:sz w:val="24"/>
          <w:szCs w:val="24"/>
          <w:lang w:val="id-ID"/>
        </w:rPr>
        <w:t xml:space="preserve"> kepada kreditor baru (</w:t>
      </w:r>
      <w:r w:rsidRPr="00C3580A">
        <w:rPr>
          <w:rFonts w:ascii="Cambria" w:eastAsia="Book Antiqua" w:hAnsi="Cambria" w:cs="Book Antiqua"/>
          <w:i/>
          <w:iCs/>
          <w:sz w:val="24"/>
          <w:szCs w:val="24"/>
          <w:lang w:val="id-ID"/>
        </w:rPr>
        <w:t>Cessionaris)</w:t>
      </w:r>
      <w:r w:rsidRPr="00C3580A">
        <w:rPr>
          <w:rFonts w:ascii="Cambria" w:eastAsia="Book Antiqua" w:hAnsi="Cambria" w:cs="Book Antiqua"/>
          <w:sz w:val="24"/>
          <w:szCs w:val="24"/>
          <w:lang w:val="id-ID"/>
        </w:rPr>
        <w:t xml:space="preserve">; dan </w:t>
      </w:r>
    </w:p>
    <w:p w14:paraId="06C90277" w14:textId="77777777" w:rsidR="005231C1" w:rsidRPr="005231C1" w:rsidRDefault="005231C1" w:rsidP="005231C1">
      <w:pPr>
        <w:numPr>
          <w:ilvl w:val="0"/>
          <w:numId w:val="20"/>
        </w:numPr>
        <w:spacing w:after="0" w:line="240" w:lineRule="auto"/>
        <w:ind w:left="1133"/>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Hubungan utang piutang kedua antara kreditor baru (</w:t>
      </w:r>
      <w:r w:rsidRPr="00C3580A">
        <w:rPr>
          <w:rFonts w:ascii="Cambria" w:eastAsia="Book Antiqua" w:hAnsi="Cambria" w:cs="Book Antiqua"/>
          <w:i/>
          <w:iCs/>
          <w:sz w:val="24"/>
          <w:szCs w:val="24"/>
          <w:lang w:val="id-ID"/>
        </w:rPr>
        <w:t xml:space="preserve">Cessionaris) </w:t>
      </w:r>
      <w:r w:rsidRPr="00C3580A">
        <w:rPr>
          <w:rFonts w:ascii="Cambria" w:eastAsia="Book Antiqua" w:hAnsi="Cambria" w:cs="Book Antiqua"/>
          <w:sz w:val="24"/>
          <w:szCs w:val="24"/>
          <w:lang w:val="id-ID"/>
        </w:rPr>
        <w:t>dengan debitor (</w:t>
      </w:r>
      <w:r w:rsidRPr="661C18C4">
        <w:rPr>
          <w:rFonts w:ascii="Cambria" w:eastAsia="Book Antiqua" w:hAnsi="Cambria" w:cs="Book Antiqua"/>
          <w:i/>
          <w:iCs/>
          <w:sz w:val="24"/>
          <w:szCs w:val="24"/>
          <w:lang w:val="id-ID"/>
        </w:rPr>
        <w:t>Cessus</w:t>
      </w:r>
      <w:r w:rsidRPr="00C3580A">
        <w:rPr>
          <w:rFonts w:ascii="Cambria" w:eastAsia="Book Antiqua" w:hAnsi="Cambria" w:cs="Book Antiqua"/>
          <w:i/>
          <w:iCs/>
          <w:sz w:val="24"/>
          <w:szCs w:val="24"/>
          <w:lang w:val="id-ID"/>
        </w:rPr>
        <w:t>).</w:t>
      </w:r>
    </w:p>
    <w:p w14:paraId="2185F24D" w14:textId="77777777" w:rsidR="005231C1" w:rsidRPr="00C3580A" w:rsidRDefault="005231C1" w:rsidP="005231C1">
      <w:pPr>
        <w:spacing w:after="0" w:line="240" w:lineRule="auto"/>
        <w:ind w:left="1133"/>
        <w:jc w:val="both"/>
        <w:rPr>
          <w:rFonts w:ascii="Cambria" w:eastAsia="Book Antiqua" w:hAnsi="Cambria" w:cs="Book Antiqua"/>
          <w:sz w:val="24"/>
          <w:szCs w:val="24"/>
          <w:lang w:val="id-ID"/>
        </w:rPr>
      </w:pPr>
    </w:p>
    <w:p w14:paraId="68704FF7" w14:textId="77777777" w:rsidR="005231C1" w:rsidRPr="00425723" w:rsidRDefault="005231C1" w:rsidP="005231C1">
      <w:pPr>
        <w:spacing w:after="0"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Dihubungkan dengan pokok bahasan dalam penelitian ini, menurut penulis, dapat dilakukan pengalihan piutang atas nama dari pemberi sewa kepada bank. Pengalihan piutang ini didasari dari adanya perjanjian sewa-menyewa yang telah dilakukan nasabah debitor kepada pihak ketiga (penyewa) atas tanah dan bangunan yang dilekati hak tanggungan tersebut. </w:t>
      </w:r>
      <w:r>
        <w:rPr>
          <w:rFonts w:ascii="Cambria" w:eastAsia="Book Antiqua" w:hAnsi="Cambria" w:cs="Book Antiqua"/>
          <w:sz w:val="24"/>
          <w:szCs w:val="24"/>
          <w:lang w:val="id-ID"/>
        </w:rPr>
        <w:t>Adanya pengalihan piutang dari pemilik objek sewa kepada bank harus diberitahukan kepada penyewa selaku debitor baru (</w:t>
      </w:r>
      <w:r w:rsidRPr="00CF4D55">
        <w:rPr>
          <w:rFonts w:ascii="Cambria" w:eastAsia="Book Antiqua" w:hAnsi="Cambria" w:cs="Book Antiqua"/>
          <w:i/>
          <w:iCs/>
          <w:sz w:val="24"/>
          <w:szCs w:val="24"/>
          <w:lang w:val="id-ID"/>
        </w:rPr>
        <w:t>cessus</w:t>
      </w:r>
      <w:r>
        <w:rPr>
          <w:rFonts w:ascii="Cambria" w:eastAsia="Book Antiqua" w:hAnsi="Cambria" w:cs="Book Antiqua"/>
          <w:sz w:val="24"/>
          <w:szCs w:val="24"/>
          <w:lang w:val="id-ID"/>
        </w:rPr>
        <w:t xml:space="preserve">). Sekaligus mendapatkan </w:t>
      </w:r>
      <w:r w:rsidRPr="00C3580A">
        <w:rPr>
          <w:rFonts w:ascii="Cambria" w:eastAsia="Book Antiqua" w:hAnsi="Cambria" w:cs="Book Antiqua"/>
          <w:sz w:val="24"/>
          <w:szCs w:val="24"/>
          <w:lang w:val="id-ID"/>
        </w:rPr>
        <w:t xml:space="preserve">persetujuan bank selaku kreditor, karena perjanjian pokok yang pertama terjadi adalah hutang-piutang antara nasabah debitor dengan bank. Adanya perbuatan nasabah debitor yang menyewakan tanah dan bangunan nya itu dapat dilakukan sepanjang tidak bertentangan dengan peraturan perundang-undangan. Upaya nasabah debitor menyewakan tanah dan bangunan yang dimilikinya itu seringkali menjadi salah satu bentuk usaha untuk bisa membayar angsuran hutang kepada bank. Berdasarkan penjelasan tersebut, hak tagih nasabah debitor atas pembayaran sewa yang dilakukan penyewa dapat dialihkan kepada bank sepanjang pengalihan ini dibuat dalam bentuk akta </w:t>
      </w:r>
      <w:r w:rsidRPr="00C3580A">
        <w:rPr>
          <w:rFonts w:ascii="Cambria" w:eastAsia="Book Antiqua" w:hAnsi="Cambria" w:cs="Book Antiqua"/>
          <w:i/>
          <w:iCs/>
          <w:sz w:val="24"/>
          <w:szCs w:val="24"/>
          <w:lang w:val="id-ID"/>
        </w:rPr>
        <w:t>cessie</w:t>
      </w:r>
      <w:r w:rsidRPr="00C3580A">
        <w:rPr>
          <w:rFonts w:ascii="Cambria" w:eastAsia="Book Antiqua" w:hAnsi="Cambria" w:cs="Book Antiqua"/>
          <w:sz w:val="24"/>
          <w:szCs w:val="24"/>
          <w:lang w:val="id-ID"/>
        </w:rPr>
        <w:t xml:space="preserve"> sesuai ketentuan Pasal 613 KUHPER, dimana dibuat secara tertulis baik </w:t>
      </w:r>
      <w:r w:rsidRPr="00425723">
        <w:rPr>
          <w:rFonts w:ascii="Cambria" w:eastAsia="Book Antiqua" w:hAnsi="Cambria" w:cs="Book Antiqua"/>
          <w:sz w:val="24"/>
          <w:szCs w:val="24"/>
          <w:lang w:val="id-ID"/>
        </w:rPr>
        <w:t>secara akta notariil maupun akta bawah tangan serta diberitahukan dan disetujui oleh penyewa tanah dan bangunan.</w:t>
      </w:r>
    </w:p>
    <w:p w14:paraId="37B8B489" w14:textId="77777777" w:rsidR="005231C1" w:rsidRPr="00425723" w:rsidRDefault="005231C1" w:rsidP="005231C1">
      <w:pPr>
        <w:spacing w:after="0" w:line="240" w:lineRule="auto"/>
        <w:ind w:left="566" w:firstLine="425"/>
        <w:jc w:val="both"/>
        <w:rPr>
          <w:rFonts w:ascii="Cambria" w:eastAsia="Book Antiqua" w:hAnsi="Cambria" w:cs="Book Antiqua"/>
          <w:sz w:val="24"/>
          <w:szCs w:val="24"/>
          <w:lang w:val="id-ID"/>
        </w:rPr>
      </w:pPr>
      <w:r w:rsidRPr="00425723">
        <w:rPr>
          <w:rFonts w:ascii="Cambria" w:eastAsia="Book Antiqua" w:hAnsi="Cambria" w:cs="Book Antiqua"/>
          <w:sz w:val="24"/>
          <w:szCs w:val="24"/>
          <w:lang w:val="id-ID"/>
        </w:rPr>
        <w:lastRenderedPageBreak/>
        <w:t>Dalam konteks penelitian ini, pengalihan hasil sewa kepada bank melalui mekanisme cessie perlu dipahami secara hati-hati. Pada prinsipnya, cessie merupakan pengalihan piutang atas nama dari kreditor lama kepada kreditor baru. Dalam praktik hubungan kredit, pengalihan hak tagih atas hasil sewa tersebut lebih tepat diposisikan sebagai sarana pembayaran utang secara bertahap, bukan sebagai pelunasan utang yang secara langsung menghapus kewajiban debitor pada saat akta cessie dibuat.  Dengan demikian, pembayaran utang debitor baru dianggap terjadi ketika hasil sewa benar-benar diterima oleh bank selaku kreditor baru (cessionaris). Oleh karena itu, mekanisme cessie dalam penelitian ini lebih berfungsi sebagai instrumen untuk mengoptimalkan pembayaran kredit daripada sebagai penghapusan utang secara seketika.</w:t>
      </w:r>
    </w:p>
    <w:p w14:paraId="43F2C4A2" w14:textId="77777777" w:rsidR="005231C1" w:rsidRPr="00C3580A" w:rsidRDefault="005231C1" w:rsidP="005231C1">
      <w:pPr>
        <w:spacing w:line="240" w:lineRule="auto"/>
        <w:ind w:left="566" w:firstLine="425"/>
        <w:jc w:val="both"/>
        <w:rPr>
          <w:rFonts w:ascii="Cambria" w:eastAsia="Book Antiqua" w:hAnsi="Cambria" w:cs="Book Antiqua"/>
          <w:sz w:val="24"/>
          <w:szCs w:val="24"/>
          <w:lang w:val="id-ID"/>
        </w:rPr>
      </w:pPr>
      <w:r w:rsidRPr="00425723">
        <w:rPr>
          <w:rFonts w:ascii="Cambria" w:eastAsia="Book Antiqua" w:hAnsi="Cambria" w:cs="Book Antiqua"/>
          <w:sz w:val="24"/>
          <w:szCs w:val="24"/>
          <w:lang w:val="id-ID"/>
        </w:rPr>
        <w:t>Adanya pengalihan piutang ini dimaksudkan agar mempermudah nasabah debitor dalam membayarkan angsuran hutangnya terhadap bank. Oleh karena itu, Bank akan langsung menerima uang pembayaran sewa sebagai angsuran hutang dari penyewa selaku debitor baru.  Hubungan</w:t>
      </w:r>
      <w:r w:rsidRPr="00C3580A">
        <w:rPr>
          <w:rFonts w:ascii="Cambria" w:eastAsia="Book Antiqua" w:hAnsi="Cambria" w:cs="Book Antiqua"/>
          <w:sz w:val="24"/>
          <w:szCs w:val="24"/>
          <w:lang w:val="id-ID"/>
        </w:rPr>
        <w:t xml:space="preserve"> hukum yang akan tercipta jika hak tagih atas objek sewa dialihkan kepada bank selaku kreditor adalah sebagai berikut:</w:t>
      </w:r>
    </w:p>
    <w:p w14:paraId="536E6506" w14:textId="77777777" w:rsidR="005231C1" w:rsidRPr="00C3580A" w:rsidRDefault="005231C1" w:rsidP="005231C1">
      <w:pPr>
        <w:numPr>
          <w:ilvl w:val="0"/>
          <w:numId w:val="17"/>
        </w:numPr>
        <w:spacing w:after="0" w:line="240" w:lineRule="auto"/>
        <w:ind w:left="127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Hubungan kredit atau utang piutang antara Bank selaku kreditor dengan nasabah debitor yang diikat dengan jaminan berupa tanah dan bangunan milik debitor;</w:t>
      </w:r>
    </w:p>
    <w:p w14:paraId="4D267FC7" w14:textId="77777777" w:rsidR="005231C1" w:rsidRPr="00C3580A" w:rsidRDefault="005231C1" w:rsidP="005231C1">
      <w:pPr>
        <w:numPr>
          <w:ilvl w:val="0"/>
          <w:numId w:val="17"/>
        </w:numPr>
        <w:spacing w:after="0" w:line="240" w:lineRule="auto"/>
        <w:ind w:left="127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Hubungan sewa-menyewa antara nasabah debitor sebagai pemilik objek/pemberi sewa dengan pihak ketiga sebagai penyewa; dan</w:t>
      </w:r>
    </w:p>
    <w:p w14:paraId="5900E503" w14:textId="77777777" w:rsidR="005231C1" w:rsidRPr="000D1D73" w:rsidRDefault="005231C1" w:rsidP="005231C1">
      <w:pPr>
        <w:numPr>
          <w:ilvl w:val="0"/>
          <w:numId w:val="17"/>
        </w:numPr>
        <w:spacing w:after="0" w:line="240" w:lineRule="auto"/>
        <w:ind w:left="127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Pengalihan piutang hak tagih atas sewa-menyewa tanah dan bangunan dari nasabah debitor sebagai </w:t>
      </w:r>
      <w:r w:rsidRPr="00C3580A">
        <w:rPr>
          <w:rFonts w:ascii="Cambria" w:eastAsia="Book Antiqua" w:hAnsi="Cambria" w:cs="Book Antiqua"/>
          <w:i/>
          <w:iCs/>
          <w:sz w:val="24"/>
          <w:szCs w:val="24"/>
          <w:lang w:val="id-ID"/>
        </w:rPr>
        <w:t>Cedent</w:t>
      </w:r>
      <w:r w:rsidRPr="00C3580A">
        <w:rPr>
          <w:rFonts w:ascii="Cambria" w:eastAsia="Book Antiqua" w:hAnsi="Cambria" w:cs="Book Antiqua"/>
          <w:sz w:val="24"/>
          <w:szCs w:val="24"/>
          <w:lang w:val="id-ID"/>
        </w:rPr>
        <w:t xml:space="preserve"> kepada bank sebagai </w:t>
      </w:r>
      <w:r w:rsidRPr="00C3580A">
        <w:rPr>
          <w:rFonts w:ascii="Cambria" w:eastAsia="Book Antiqua" w:hAnsi="Cambria" w:cs="Book Antiqua"/>
          <w:i/>
          <w:iCs/>
          <w:sz w:val="24"/>
          <w:szCs w:val="24"/>
          <w:lang w:val="id-ID"/>
        </w:rPr>
        <w:t>Cessionaris.</w:t>
      </w:r>
    </w:p>
    <w:p w14:paraId="125E7743" w14:textId="77777777" w:rsidR="005231C1" w:rsidRPr="00C3580A" w:rsidRDefault="005231C1" w:rsidP="005231C1">
      <w:pPr>
        <w:spacing w:after="0" w:line="240" w:lineRule="auto"/>
        <w:jc w:val="both"/>
        <w:rPr>
          <w:rFonts w:ascii="Cambria" w:eastAsia="Book Antiqua" w:hAnsi="Cambria" w:cs="Book Antiqua"/>
          <w:sz w:val="24"/>
          <w:szCs w:val="24"/>
          <w:lang w:val="id-ID"/>
        </w:rPr>
      </w:pPr>
    </w:p>
    <w:p w14:paraId="2C0C5ED9" w14:textId="082D38F2" w:rsidR="00175FBD" w:rsidRDefault="005231C1" w:rsidP="009F4231">
      <w:pPr>
        <w:spacing w:line="240" w:lineRule="auto"/>
        <w:ind w:left="566" w:firstLine="425"/>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Perbuatan hukum berupa sewa-menyewa tanah dan bangunan yang dilakukan nasabah debitor setelah tanah dan bangunan itu dijaminkan kepada bank adalah sah secara hukum sepanjang dalam APHT tidak ada larangan bagi debitor untuk mengusahakan tanah dan bangunan itu. Dalam perjanjian sewa-menyewa antara pemilik objek sewa dan penyewa perlu terdapat klausul bahwa penyewa mengetahui tanah dan bangunan yang disewanya itu sedang menjadi jaminan pemberi sewa di bank dan penyewa memahami dan menyetujui konsekuensi akan adanya hal tersebut. Oleh karena itu, perjanjian sewa-menyewa juga harus diketahui dan disetujui oleh Bank selaku kreditor. </w:t>
      </w:r>
    </w:p>
    <w:p w14:paraId="55714C1F" w14:textId="77777777" w:rsidR="009F4231" w:rsidRPr="009F4231" w:rsidRDefault="009F4231" w:rsidP="009F4231">
      <w:pPr>
        <w:spacing w:line="240" w:lineRule="auto"/>
        <w:ind w:left="566" w:firstLine="425"/>
        <w:jc w:val="both"/>
        <w:rPr>
          <w:rFonts w:ascii="Cambria" w:eastAsia="Book Antiqua" w:hAnsi="Cambria" w:cs="Book Antiqua"/>
          <w:sz w:val="24"/>
          <w:szCs w:val="24"/>
          <w:lang w:val="id-ID"/>
        </w:rPr>
      </w:pPr>
    </w:p>
    <w:p w14:paraId="760BB9FD" w14:textId="7D437266" w:rsidR="00B35A25" w:rsidRPr="00DF69DF" w:rsidRDefault="001F4CDF" w:rsidP="006B0087">
      <w:pPr>
        <w:numPr>
          <w:ilvl w:val="0"/>
          <w:numId w:val="1"/>
        </w:numPr>
        <w:spacing w:after="0" w:line="276" w:lineRule="auto"/>
        <w:ind w:left="426" w:hanging="426"/>
        <w:jc w:val="both"/>
        <w:rPr>
          <w:rFonts w:ascii="Cambria" w:hAnsi="Cambria"/>
          <w:sz w:val="24"/>
          <w:szCs w:val="24"/>
        </w:rPr>
      </w:pPr>
      <w:proofErr w:type="spellStart"/>
      <w:r>
        <w:rPr>
          <w:rFonts w:ascii="Cambria" w:hAnsi="Cambria" w:cs="Arial"/>
          <w:b/>
          <w:color w:val="C00000"/>
          <w:sz w:val="28"/>
          <w:szCs w:val="28"/>
          <w:lang w:val="en-US"/>
        </w:rPr>
        <w:t>Simpulan</w:t>
      </w:r>
      <w:proofErr w:type="spellEnd"/>
    </w:p>
    <w:p w14:paraId="6211F237" w14:textId="77777777" w:rsidR="005231C1" w:rsidRDefault="005231C1" w:rsidP="005231C1">
      <w:pPr>
        <w:pStyle w:val="JEM22aBODYARTIKEL"/>
        <w:spacing w:line="276" w:lineRule="auto"/>
        <w:ind w:firstLine="567"/>
        <w:rPr>
          <w:rFonts w:ascii="Cambria" w:hAnsi="Cambria"/>
          <w:lang w:val="id-ID"/>
        </w:rPr>
      </w:pPr>
      <w:r w:rsidRPr="00AE35D7">
        <w:rPr>
          <w:rFonts w:ascii="Cambria" w:hAnsi="Cambria"/>
          <w:lang w:val="id-ID"/>
        </w:rPr>
        <w:t xml:space="preserve">Berdasarkan hasil penelitian di atas, maka dapat ditarik kesimpulan sebagai </w:t>
      </w:r>
      <w:r>
        <w:rPr>
          <w:rFonts w:ascii="Cambria" w:hAnsi="Cambria"/>
          <w:lang w:val="id-ID"/>
        </w:rPr>
        <w:t>bahwa m</w:t>
      </w:r>
      <w:r w:rsidRPr="00AE35D7">
        <w:rPr>
          <w:rFonts w:ascii="Cambria" w:hAnsi="Cambria"/>
          <w:lang w:val="id-ID"/>
        </w:rPr>
        <w:t xml:space="preserve">anakala telah terjadi sewa-menyewa atas tanah dan bangunan sebelum tanah dan bangunan tersebut dijaminkan dengan hak tanggungan, maka sewa-menyewa tetap sah dan bisa dilaksanakan sepanjang memenuhi syarat sah perjanjian dan dilaksanakan berdasarkan asas itikad baik. Dalam hal ini, penyewa tetap mendapat kepastian hukum meskipun objek yang disewanya kemudian dilekati Hak Tanggungan karena hubungan sewa-menyewa tidak serta merta putus </w:t>
      </w:r>
      <w:r w:rsidRPr="00AE35D7">
        <w:rPr>
          <w:rFonts w:ascii="Cambria" w:hAnsi="Cambria"/>
          <w:lang w:val="id-ID"/>
        </w:rPr>
        <w:lastRenderedPageBreak/>
        <w:t>bilamana objek sewa itu dijaminkan oleh pemilik (nasabah debitor) kepada bank. Di sisi lain, sebagai upaya mitigasi terjadinya sengketa di kemudian hari, bank dalam penjaminannya akan meminta penyewa dan nasabah debitor untuk membuat dan menandatangani Surat Pernyataan Pengosongan.</w:t>
      </w:r>
    </w:p>
    <w:p w14:paraId="35B49371" w14:textId="224C01C2" w:rsidR="009F4231" w:rsidRPr="00744996" w:rsidRDefault="005231C1" w:rsidP="009F4231">
      <w:pPr>
        <w:pStyle w:val="JEM22aBODYARTIKEL"/>
        <w:spacing w:line="276" w:lineRule="auto"/>
        <w:ind w:firstLine="567"/>
        <w:rPr>
          <w:rFonts w:ascii="Cambria" w:hAnsi="Cambria"/>
          <w:lang w:val="id-ID"/>
        </w:rPr>
      </w:pPr>
      <w:r w:rsidRPr="00AE35D7">
        <w:rPr>
          <w:rFonts w:ascii="Cambria" w:hAnsi="Cambria"/>
          <w:lang w:val="id-ID"/>
        </w:rPr>
        <w:t>Dalam hal sewa-menyewa dilakukan oleh nasabah debitor setelah tanah dan bangunan itu dijaminkan kepada bank melalui hak tanggungan, maka keabsahannya digantungkan pada persetujuan bank selaku kreditor sebagaimana tercantum dalam janji-janji pada APHT. Meskipun penguasaan tanah memang masih ditangan nasabah debitor, tetapi ia tidak bisa secara bebas mengusahakan tanah dan bangunan tersebut karena ia sudah terikat dengan bank terlebih dahulu. Dengan keadaan seperti ini, perjanjian sewa menyewa yang dilakukan nasabah debitur harus memuat klausul bahwa penyewa memang mengetahui bahwa objek yang disewanya tengah dijaminkan kepada bank. Surat Pernyataan Pengosongan disini juga penting untuk dibuat dan ditandatangani oleh masing-masing pemilik objek (nasabah debitor), penyewa, dan bank (kreditor) dengan penyesuaian klausul didalamnya agar potensi sengketa bisa diminimalisir.</w:t>
      </w:r>
      <w:r w:rsidR="009F4231">
        <w:rPr>
          <w:rFonts w:ascii="Cambria" w:hAnsi="Cambria"/>
          <w:lang w:val="id-ID"/>
        </w:rPr>
        <w:t xml:space="preserve"> </w:t>
      </w:r>
      <w:r w:rsidRPr="00AE35D7">
        <w:rPr>
          <w:rFonts w:ascii="Cambria" w:hAnsi="Cambria"/>
          <w:lang w:val="id-ID"/>
        </w:rPr>
        <w:t>Selain itu, optimalisasi pembayaran kredit juga dapat dilakukan melalui mekanisme pengalihan piutang (cessie) atas hasil sewa kepada bank.</w:t>
      </w:r>
    </w:p>
    <w:p w14:paraId="37B6D8D1" w14:textId="77777777" w:rsidR="00A926F2" w:rsidRPr="00DF69DF" w:rsidRDefault="00A926F2" w:rsidP="00A926F2">
      <w:pPr>
        <w:spacing w:after="0" w:line="276" w:lineRule="auto"/>
        <w:rPr>
          <w:rFonts w:ascii="Cambria" w:hAnsi="Cambria"/>
          <w:sz w:val="24"/>
          <w:szCs w:val="24"/>
        </w:rPr>
      </w:pPr>
    </w:p>
    <w:p w14:paraId="6B16386D" w14:textId="02966625" w:rsidR="005231C1" w:rsidRPr="009F4231" w:rsidRDefault="007F43CB" w:rsidP="009F4231">
      <w:pPr>
        <w:numPr>
          <w:ilvl w:val="0"/>
          <w:numId w:val="1"/>
        </w:numPr>
        <w:spacing w:after="0" w:line="276" w:lineRule="auto"/>
        <w:ind w:left="426" w:hanging="426"/>
        <w:jc w:val="both"/>
        <w:rPr>
          <w:rFonts w:ascii="Cambria" w:hAnsi="Cambria"/>
          <w:b/>
          <w:sz w:val="24"/>
          <w:szCs w:val="24"/>
        </w:rPr>
      </w:pPr>
      <w:r w:rsidRPr="00DF69DF">
        <w:rPr>
          <w:rFonts w:ascii="Cambria" w:hAnsi="Cambria" w:cs="Arial"/>
          <w:b/>
          <w:color w:val="C00000"/>
          <w:sz w:val="28"/>
          <w:szCs w:val="28"/>
          <w:lang w:val="id-ID"/>
        </w:rPr>
        <w:t>Referen</w:t>
      </w:r>
      <w:proofErr w:type="spellStart"/>
      <w:r w:rsidR="001F4CDF">
        <w:rPr>
          <w:rFonts w:ascii="Cambria" w:hAnsi="Cambria" w:cs="Arial"/>
          <w:b/>
          <w:color w:val="C00000"/>
          <w:sz w:val="28"/>
          <w:szCs w:val="28"/>
          <w:lang w:val="en-US"/>
        </w:rPr>
        <w:t>si</w:t>
      </w:r>
      <w:proofErr w:type="spellEnd"/>
    </w:p>
    <w:p w14:paraId="471E5724" w14:textId="77777777" w:rsidR="005231C1" w:rsidRPr="00C3580A" w:rsidRDefault="005231C1" w:rsidP="005231C1">
      <w:pPr>
        <w:pStyle w:val="ListParagraph"/>
        <w:numPr>
          <w:ilvl w:val="0"/>
          <w:numId w:val="22"/>
        </w:numPr>
        <w:spacing w:after="0" w:line="240" w:lineRule="auto"/>
        <w:rPr>
          <w:rFonts w:ascii="Cambria" w:eastAsia="Book Antiqua" w:hAnsi="Cambria" w:cs="Book Antiqua"/>
          <w:b/>
          <w:bCs/>
          <w:sz w:val="24"/>
          <w:szCs w:val="24"/>
          <w:lang w:val="id-ID"/>
        </w:rPr>
      </w:pPr>
      <w:r w:rsidRPr="00C3580A">
        <w:rPr>
          <w:rFonts w:ascii="Cambria" w:eastAsia="Book Antiqua" w:hAnsi="Cambria" w:cs="Book Antiqua"/>
          <w:b/>
          <w:bCs/>
          <w:sz w:val="24"/>
          <w:szCs w:val="24"/>
          <w:lang w:val="id-ID"/>
        </w:rPr>
        <w:t>Peraturan Perundang-undangan</w:t>
      </w:r>
    </w:p>
    <w:p w14:paraId="7201D57E" w14:textId="77777777" w:rsidR="005231C1" w:rsidRPr="00C3580A" w:rsidRDefault="005231C1" w:rsidP="005231C1">
      <w:pPr>
        <w:spacing w:after="0" w:line="240" w:lineRule="auto"/>
        <w:ind w:firstLine="72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Kitab Undang-Undang Hukum Perdata.</w:t>
      </w:r>
    </w:p>
    <w:p w14:paraId="4B6845AC" w14:textId="77777777" w:rsidR="005231C1" w:rsidRPr="00C3580A" w:rsidRDefault="005231C1" w:rsidP="005231C1">
      <w:pPr>
        <w:spacing w:after="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Undang Undang Nomor 4 Tahun 1996 tentang Hak Tanggungan atas Tanah Beserta Benda-Benda yang Berkaitan dengan Tanah (Lembaran Negara Republik Indonesia Tahun 1996 Nomor 42).</w:t>
      </w:r>
    </w:p>
    <w:p w14:paraId="7A45BDE8" w14:textId="77777777" w:rsidR="005231C1" w:rsidRPr="00C3580A" w:rsidRDefault="005231C1" w:rsidP="005231C1">
      <w:pPr>
        <w:spacing w:after="0" w:line="240" w:lineRule="auto"/>
        <w:ind w:left="1275" w:hanging="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Undang Undang Nomor 10 Tahun 1998 tentang Perubahan atas Undang-Undang Nomor 7 Tahun 1992 tentang Perbankan (Lembaran Negara Republik Indonesia Tahun 1998 Nomor 182, Tambahan Lembaran Negara Republik Indonesia Nomor 3790).</w:t>
      </w:r>
    </w:p>
    <w:p w14:paraId="60937919" w14:textId="77777777" w:rsidR="005231C1" w:rsidRPr="00C3580A" w:rsidRDefault="005231C1" w:rsidP="005231C1">
      <w:pPr>
        <w:spacing w:after="200" w:line="240" w:lineRule="auto"/>
        <w:ind w:left="1275" w:hanging="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Peraturan Pemerintah Nomor 14 Tahun 2016 tentang Penyelenggaraan Perumahan dan Kawasan Permukiman. (Lembaran Negara Republik Indonesia Tahun 2016 Nomor 101, Tambahan Lembaran Negara Republik Indonesia Nomor 5883).</w:t>
      </w:r>
    </w:p>
    <w:p w14:paraId="14998BD3" w14:textId="77777777" w:rsidR="005231C1" w:rsidRPr="00C3580A" w:rsidRDefault="005231C1" w:rsidP="005231C1">
      <w:pPr>
        <w:numPr>
          <w:ilvl w:val="0"/>
          <w:numId w:val="22"/>
        </w:numPr>
        <w:spacing w:after="0" w:line="240" w:lineRule="auto"/>
        <w:rPr>
          <w:rFonts w:ascii="Cambria" w:eastAsia="Book Antiqua" w:hAnsi="Cambria" w:cs="Book Antiqua"/>
          <w:b/>
          <w:bCs/>
          <w:sz w:val="24"/>
          <w:szCs w:val="24"/>
          <w:lang w:val="id-ID"/>
        </w:rPr>
      </w:pPr>
      <w:r w:rsidRPr="00C3580A">
        <w:rPr>
          <w:rFonts w:ascii="Cambria" w:eastAsia="Book Antiqua" w:hAnsi="Cambria" w:cs="Book Antiqua"/>
          <w:b/>
          <w:bCs/>
          <w:sz w:val="24"/>
          <w:szCs w:val="24"/>
          <w:lang w:val="id-ID"/>
        </w:rPr>
        <w:t>Buku</w:t>
      </w:r>
    </w:p>
    <w:p w14:paraId="6195EC07" w14:textId="77777777" w:rsidR="005231C1" w:rsidRPr="00C3580A" w:rsidRDefault="005231C1" w:rsidP="005231C1">
      <w:pPr>
        <w:spacing w:after="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Abdulkadir, Muhammad. </w:t>
      </w:r>
      <w:r w:rsidRPr="00C3580A">
        <w:rPr>
          <w:rFonts w:ascii="Cambria" w:eastAsia="Book Antiqua" w:hAnsi="Cambria" w:cs="Book Antiqua"/>
          <w:i/>
          <w:iCs/>
          <w:sz w:val="24"/>
          <w:szCs w:val="24"/>
          <w:lang w:val="id-ID"/>
        </w:rPr>
        <w:t xml:space="preserve">Segi Hukum Lembaga Keuangan dan Pembiayaan. </w:t>
      </w:r>
      <w:r w:rsidRPr="00C3580A">
        <w:rPr>
          <w:rFonts w:ascii="Cambria" w:eastAsia="Book Antiqua" w:hAnsi="Cambria" w:cs="Book Antiqua"/>
          <w:sz w:val="24"/>
          <w:szCs w:val="24"/>
          <w:lang w:val="id-ID"/>
        </w:rPr>
        <w:t>Bandung: Citra Aditya Bakti, 2000.</w:t>
      </w:r>
    </w:p>
    <w:p w14:paraId="4F8CA23B" w14:textId="77777777" w:rsidR="005231C1" w:rsidRPr="001952C7" w:rsidRDefault="005231C1" w:rsidP="005231C1">
      <w:pPr>
        <w:spacing w:after="0" w:line="240" w:lineRule="auto"/>
        <w:ind w:left="1275" w:hanging="540"/>
        <w:jc w:val="both"/>
        <w:rPr>
          <w:rFonts w:ascii="Cambria" w:eastAsia="Book Antiqua" w:hAnsi="Cambria" w:cs="Book Antiqua"/>
          <w:color w:val="EE0000"/>
          <w:sz w:val="24"/>
          <w:szCs w:val="24"/>
          <w:lang w:val="id-ID"/>
        </w:rPr>
      </w:pPr>
      <w:r w:rsidRPr="00C3580A">
        <w:rPr>
          <w:rFonts w:ascii="Cambria" w:eastAsia="Book Antiqua" w:hAnsi="Cambria" w:cs="Book Antiqua"/>
          <w:sz w:val="24"/>
          <w:szCs w:val="24"/>
          <w:lang w:val="id-ID"/>
        </w:rPr>
        <w:t>Badrulzaman, Mariam Darus. B</w:t>
      </w:r>
      <w:r w:rsidRPr="00C3580A">
        <w:rPr>
          <w:rFonts w:ascii="Cambria" w:eastAsia="Book Antiqua" w:hAnsi="Cambria" w:cs="Book Antiqua"/>
          <w:i/>
          <w:iCs/>
          <w:sz w:val="24"/>
          <w:szCs w:val="24"/>
          <w:lang w:val="id-ID"/>
        </w:rPr>
        <w:t>ab-Bab Tentang Crediet Verband, Gadai dan Fidusia.</w:t>
      </w:r>
      <w:r w:rsidRPr="00C3580A">
        <w:rPr>
          <w:rFonts w:ascii="Cambria" w:eastAsia="Book Antiqua" w:hAnsi="Cambria" w:cs="Book Antiqua"/>
          <w:sz w:val="24"/>
          <w:szCs w:val="24"/>
          <w:lang w:val="id-ID"/>
        </w:rPr>
        <w:t xml:space="preserve"> Bandung: </w:t>
      </w:r>
      <w:r w:rsidRPr="001952C7">
        <w:rPr>
          <w:rFonts w:ascii="Cambria" w:eastAsia="Book Antiqua" w:hAnsi="Cambria" w:cs="Book Antiqua"/>
          <w:sz w:val="24"/>
          <w:szCs w:val="24"/>
          <w:lang w:val="id-ID"/>
        </w:rPr>
        <w:t>Alumni, 1987.</w:t>
      </w:r>
    </w:p>
    <w:p w14:paraId="61389B88" w14:textId="77777777" w:rsidR="005231C1" w:rsidRPr="001952C7" w:rsidRDefault="005231C1" w:rsidP="005231C1">
      <w:pPr>
        <w:spacing w:after="0" w:line="240" w:lineRule="auto"/>
        <w:ind w:left="1275" w:hanging="540"/>
        <w:jc w:val="both"/>
        <w:rPr>
          <w:rFonts w:ascii="Cambria" w:eastAsia="Book Antiqua" w:hAnsi="Cambria" w:cs="Book Antiqua"/>
          <w:sz w:val="24"/>
          <w:szCs w:val="24"/>
          <w:lang w:val="id-ID"/>
        </w:rPr>
      </w:pPr>
      <w:r w:rsidRPr="001952C7">
        <w:rPr>
          <w:rFonts w:ascii="Cambria" w:eastAsia="Book Antiqua" w:hAnsi="Cambria" w:cs="Book Antiqua"/>
          <w:sz w:val="24"/>
          <w:szCs w:val="24"/>
          <w:lang w:val="id-ID"/>
        </w:rPr>
        <w:t xml:space="preserve">Harianto, Aries. </w:t>
      </w:r>
      <w:r w:rsidRPr="001952C7">
        <w:rPr>
          <w:rFonts w:ascii="Cambria" w:eastAsia="Book Antiqua" w:hAnsi="Cambria" w:cs="Book Antiqua"/>
          <w:i/>
          <w:iCs/>
          <w:sz w:val="24"/>
          <w:szCs w:val="24"/>
          <w:lang w:val="id-ID"/>
        </w:rPr>
        <w:t>Hukum Ketenagakerjaan: Makna Kesusilaan dalam Perjanjian Kerja</w:t>
      </w:r>
      <w:r w:rsidRPr="001952C7">
        <w:rPr>
          <w:rFonts w:ascii="Cambria" w:eastAsia="Book Antiqua" w:hAnsi="Cambria" w:cs="Book Antiqua"/>
          <w:sz w:val="24"/>
          <w:szCs w:val="24"/>
          <w:lang w:val="id-ID"/>
        </w:rPr>
        <w:t>. Yogyakarta: Laksbang Pressindo, 2016.</w:t>
      </w:r>
    </w:p>
    <w:p w14:paraId="53B39209"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Harun, Badriyah. </w:t>
      </w:r>
      <w:r w:rsidRPr="00EA5B99">
        <w:rPr>
          <w:rFonts w:ascii="Cambria" w:eastAsia="Book Antiqua" w:hAnsi="Cambria" w:cs="Book Antiqua"/>
          <w:i/>
          <w:iCs/>
          <w:sz w:val="24"/>
          <w:szCs w:val="24"/>
          <w:lang w:val="id-ID"/>
        </w:rPr>
        <w:t xml:space="preserve">Penyelesaian Kredit Bermasalah. </w:t>
      </w:r>
      <w:r w:rsidRPr="00EA5B99">
        <w:rPr>
          <w:rFonts w:ascii="Cambria" w:eastAsia="Book Antiqua" w:hAnsi="Cambria" w:cs="Book Antiqua"/>
          <w:sz w:val="24"/>
          <w:szCs w:val="24"/>
          <w:lang w:val="id-ID"/>
        </w:rPr>
        <w:t xml:space="preserve">Jakarta : Suka Buku, 2010. </w:t>
      </w:r>
    </w:p>
    <w:p w14:paraId="2AF6571C"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Hasanah, Uswatun. H</w:t>
      </w:r>
      <w:r w:rsidRPr="00EA5B99">
        <w:rPr>
          <w:rFonts w:ascii="Cambria" w:eastAsia="Book Antiqua" w:hAnsi="Cambria" w:cs="Book Antiqua"/>
          <w:i/>
          <w:iCs/>
          <w:sz w:val="24"/>
          <w:szCs w:val="24"/>
          <w:lang w:val="id-ID"/>
        </w:rPr>
        <w:t>ukum Jaminan: Konsep dan Pengaturannya di Indonesia.</w:t>
      </w:r>
      <w:r w:rsidRPr="00EA5B99">
        <w:rPr>
          <w:rFonts w:ascii="Cambria" w:eastAsia="Book Antiqua" w:hAnsi="Cambria" w:cs="Book Antiqua"/>
          <w:sz w:val="24"/>
          <w:szCs w:val="24"/>
          <w:lang w:val="id-ID"/>
        </w:rPr>
        <w:t xml:space="preserve"> Malang: Setara Press, 2021.</w:t>
      </w:r>
    </w:p>
    <w:p w14:paraId="47789FF8"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lastRenderedPageBreak/>
        <w:t xml:space="preserve">H.S., Salim. </w:t>
      </w:r>
      <w:r w:rsidRPr="00EA5B99">
        <w:rPr>
          <w:rFonts w:ascii="Cambria" w:eastAsia="Book Antiqua" w:hAnsi="Cambria" w:cs="Book Antiqua"/>
          <w:i/>
          <w:iCs/>
          <w:sz w:val="24"/>
          <w:szCs w:val="24"/>
          <w:lang w:val="id-ID"/>
        </w:rPr>
        <w:t>Hukum Kontrak Teori; Teknik Penyusunan Kontrak.</w:t>
      </w:r>
      <w:r w:rsidRPr="00EA5B99">
        <w:rPr>
          <w:rFonts w:ascii="Cambria" w:eastAsia="Book Antiqua" w:hAnsi="Cambria" w:cs="Book Antiqua"/>
          <w:sz w:val="24"/>
          <w:szCs w:val="24"/>
          <w:lang w:val="id-ID"/>
        </w:rPr>
        <w:t xml:space="preserve"> Jakarta : Sinar Grafika, 2006.</w:t>
      </w:r>
    </w:p>
    <w:p w14:paraId="799DBBEA"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Imaniyati, Neni Sri.  </w:t>
      </w:r>
      <w:r w:rsidRPr="00EA5B99">
        <w:rPr>
          <w:rFonts w:ascii="Cambria" w:eastAsia="Book Antiqua" w:hAnsi="Cambria" w:cs="Book Antiqua"/>
          <w:i/>
          <w:iCs/>
          <w:sz w:val="24"/>
          <w:szCs w:val="24"/>
          <w:lang w:val="id-ID"/>
        </w:rPr>
        <w:t xml:space="preserve">Hukum Perbankan. </w:t>
      </w:r>
      <w:r w:rsidRPr="00EA5B99">
        <w:rPr>
          <w:rFonts w:ascii="Cambria" w:eastAsia="Book Antiqua" w:hAnsi="Cambria" w:cs="Book Antiqua"/>
          <w:sz w:val="24"/>
          <w:szCs w:val="24"/>
          <w:lang w:val="id-ID"/>
        </w:rPr>
        <w:t>Bandung: Fakultas Hukum Unisba, 2008.</w:t>
      </w:r>
    </w:p>
    <w:p w14:paraId="333F0382"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Marzuki, Peter Mahmud. </w:t>
      </w:r>
      <w:r w:rsidRPr="00EA5B99">
        <w:rPr>
          <w:rFonts w:ascii="Cambria" w:eastAsia="Book Antiqua" w:hAnsi="Cambria" w:cs="Book Antiqua"/>
          <w:i/>
          <w:iCs/>
          <w:sz w:val="24"/>
          <w:szCs w:val="24"/>
          <w:lang w:val="id-ID"/>
        </w:rPr>
        <w:t>Penelitian Hukum</w:t>
      </w:r>
      <w:r w:rsidRPr="00EA5B99">
        <w:rPr>
          <w:rFonts w:ascii="Cambria" w:eastAsia="Book Antiqua" w:hAnsi="Cambria" w:cs="Book Antiqua"/>
          <w:sz w:val="24"/>
          <w:szCs w:val="24"/>
          <w:lang w:val="id-ID"/>
        </w:rPr>
        <w:t>. Jakarta: Kencana, 2005.</w:t>
      </w:r>
    </w:p>
    <w:p w14:paraId="137663AD"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Muljadi, Kartini, Gunawan Widjaja. </w:t>
      </w:r>
      <w:r w:rsidRPr="00EA5B99">
        <w:rPr>
          <w:rFonts w:ascii="Cambria" w:eastAsia="Book Antiqua" w:hAnsi="Cambria" w:cs="Book Antiqua"/>
          <w:i/>
          <w:iCs/>
          <w:sz w:val="24"/>
          <w:szCs w:val="24"/>
          <w:lang w:val="id-ID"/>
        </w:rPr>
        <w:t>Perikatan yang Lahir dari Perjanjian.</w:t>
      </w:r>
      <w:r w:rsidRPr="00EA5B99">
        <w:rPr>
          <w:rFonts w:ascii="Cambria" w:eastAsia="Book Antiqua" w:hAnsi="Cambria" w:cs="Book Antiqua"/>
          <w:sz w:val="24"/>
          <w:szCs w:val="24"/>
          <w:lang w:val="id-ID"/>
        </w:rPr>
        <w:t xml:space="preserve"> Jakarta : PT. Raja Grafindo Persada, 2004.</w:t>
      </w:r>
    </w:p>
    <w:p w14:paraId="3FDAA855"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Setiawan, R. </w:t>
      </w:r>
      <w:r w:rsidRPr="00EA5B99">
        <w:rPr>
          <w:rFonts w:ascii="Cambria" w:eastAsia="Book Antiqua" w:hAnsi="Cambria" w:cs="Book Antiqua"/>
          <w:i/>
          <w:iCs/>
          <w:sz w:val="24"/>
          <w:szCs w:val="24"/>
          <w:lang w:val="id-ID"/>
        </w:rPr>
        <w:t>Pokok-Pokok Hukum Perikatan</w:t>
      </w:r>
      <w:r w:rsidRPr="00EA5B99">
        <w:rPr>
          <w:rFonts w:ascii="Cambria" w:eastAsia="Book Antiqua" w:hAnsi="Cambria" w:cs="Book Antiqua"/>
          <w:sz w:val="24"/>
          <w:szCs w:val="24"/>
          <w:lang w:val="id-ID"/>
        </w:rPr>
        <w:t>. Bandung: Percetakan Binacipta, 1994.</w:t>
      </w:r>
    </w:p>
    <w:p w14:paraId="42789F78"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Setiawan, Rachmad, J. Satrio. </w:t>
      </w:r>
      <w:r w:rsidRPr="00EA5B99">
        <w:rPr>
          <w:rFonts w:ascii="Cambria" w:eastAsia="Book Antiqua" w:hAnsi="Cambria" w:cs="Book Antiqua"/>
          <w:i/>
          <w:iCs/>
          <w:sz w:val="24"/>
          <w:szCs w:val="24"/>
          <w:lang w:val="id-ID"/>
        </w:rPr>
        <w:t>Penjelasan Hukum Tentang Cessie</w:t>
      </w:r>
      <w:r w:rsidRPr="00EA5B99">
        <w:rPr>
          <w:rFonts w:ascii="Cambria" w:eastAsia="Book Antiqua" w:hAnsi="Cambria" w:cs="Book Antiqua"/>
          <w:sz w:val="24"/>
          <w:szCs w:val="24"/>
          <w:lang w:val="id-ID"/>
        </w:rPr>
        <w:t>. Jakarta: Nasional Lembaga Legal Reform, 2010.</w:t>
      </w:r>
    </w:p>
    <w:p w14:paraId="288A8939"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Sofwan, Sri Soedewi Masjchoen. </w:t>
      </w:r>
      <w:r w:rsidRPr="00EA5B99">
        <w:rPr>
          <w:rFonts w:ascii="Cambria" w:eastAsia="Book Antiqua" w:hAnsi="Cambria" w:cs="Book Antiqua"/>
          <w:i/>
          <w:iCs/>
          <w:sz w:val="24"/>
          <w:szCs w:val="24"/>
          <w:lang w:val="id-ID"/>
        </w:rPr>
        <w:t xml:space="preserve">Hukum Jaminan Di Indonesia Pokok Pokok Hukum Jaminan Dan Jaminan Perorangan. </w:t>
      </w:r>
      <w:r w:rsidRPr="00EA5B99">
        <w:rPr>
          <w:rFonts w:ascii="Cambria" w:eastAsia="Book Antiqua" w:hAnsi="Cambria" w:cs="Book Antiqua"/>
          <w:sz w:val="24"/>
          <w:szCs w:val="24"/>
          <w:lang w:val="id-ID"/>
        </w:rPr>
        <w:t>Yogyakarta: Liberty, 1980.</w:t>
      </w:r>
    </w:p>
    <w:p w14:paraId="65BF263F"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Sofwan, Sri Soedewi Masjchoen. </w:t>
      </w:r>
      <w:r w:rsidRPr="00EA5B99">
        <w:rPr>
          <w:rFonts w:ascii="Cambria" w:eastAsia="Book Antiqua" w:hAnsi="Cambria" w:cs="Book Antiqua"/>
          <w:i/>
          <w:iCs/>
          <w:sz w:val="24"/>
          <w:szCs w:val="24"/>
          <w:lang w:val="id-ID"/>
        </w:rPr>
        <w:t xml:space="preserve">Hukum Perdata: Hukum Benda. </w:t>
      </w:r>
      <w:r w:rsidRPr="00EA5B99">
        <w:rPr>
          <w:rFonts w:ascii="Cambria" w:eastAsia="Book Antiqua" w:hAnsi="Cambria" w:cs="Book Antiqua"/>
          <w:sz w:val="24"/>
          <w:szCs w:val="24"/>
          <w:lang w:val="id-ID"/>
        </w:rPr>
        <w:t>Yogyakarta: Liberty, 1981.</w:t>
      </w:r>
    </w:p>
    <w:p w14:paraId="712B3738"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 Subekti. </w:t>
      </w:r>
      <w:r w:rsidRPr="00EA5B99">
        <w:rPr>
          <w:rFonts w:ascii="Cambria" w:eastAsia="Book Antiqua" w:hAnsi="Cambria" w:cs="Book Antiqua"/>
          <w:i/>
          <w:iCs/>
          <w:sz w:val="24"/>
          <w:szCs w:val="24"/>
          <w:lang w:val="id-ID"/>
        </w:rPr>
        <w:t>Pokok Pokok Hukum Perdata</w:t>
      </w:r>
      <w:r w:rsidRPr="00EA5B99">
        <w:rPr>
          <w:rFonts w:ascii="Cambria" w:eastAsia="Book Antiqua" w:hAnsi="Cambria" w:cs="Book Antiqua"/>
          <w:sz w:val="24"/>
          <w:szCs w:val="24"/>
          <w:lang w:val="id-ID"/>
        </w:rPr>
        <w:t>. Jakarta: PT Internusa, 2003.</w:t>
      </w:r>
    </w:p>
    <w:p w14:paraId="21F2549C"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Usman, Rachmadi. </w:t>
      </w:r>
      <w:r w:rsidRPr="00EA5B99">
        <w:rPr>
          <w:rFonts w:ascii="Cambria" w:eastAsia="Book Antiqua" w:hAnsi="Cambria" w:cs="Book Antiqua"/>
          <w:i/>
          <w:iCs/>
          <w:sz w:val="24"/>
          <w:szCs w:val="24"/>
          <w:lang w:val="id-ID"/>
        </w:rPr>
        <w:t>Hukum Jaminan Keperdataan</w:t>
      </w:r>
      <w:r w:rsidRPr="00EA5B99">
        <w:rPr>
          <w:rFonts w:ascii="Cambria" w:eastAsia="Book Antiqua" w:hAnsi="Cambria" w:cs="Book Antiqua"/>
          <w:sz w:val="24"/>
          <w:szCs w:val="24"/>
          <w:lang w:val="id-ID"/>
        </w:rPr>
        <w:t>. Jakarta : Sinar Grafika, 2008.</w:t>
      </w:r>
    </w:p>
    <w:p w14:paraId="68A4A27C" w14:textId="77777777" w:rsidR="005231C1" w:rsidRPr="00EA5B99" w:rsidRDefault="005231C1" w:rsidP="005231C1">
      <w:pPr>
        <w:spacing w:after="0" w:line="240" w:lineRule="auto"/>
        <w:ind w:left="1275" w:hanging="540"/>
        <w:jc w:val="both"/>
        <w:rPr>
          <w:rFonts w:ascii="Cambria" w:eastAsia="Book Antiqua" w:hAnsi="Cambria" w:cs="Book Antiqua"/>
          <w:sz w:val="24"/>
          <w:szCs w:val="24"/>
          <w:lang w:val="id-ID"/>
        </w:rPr>
      </w:pPr>
      <w:r w:rsidRPr="00EA5B99">
        <w:rPr>
          <w:rFonts w:ascii="Cambria" w:eastAsia="Book Antiqua" w:hAnsi="Cambria" w:cs="Book Antiqua"/>
          <w:sz w:val="24"/>
          <w:szCs w:val="24"/>
          <w:lang w:val="id-ID"/>
        </w:rPr>
        <w:t xml:space="preserve">Usman, Rachmadi. </w:t>
      </w:r>
      <w:r w:rsidRPr="00EA5B99">
        <w:rPr>
          <w:rFonts w:ascii="Cambria" w:eastAsia="Book Antiqua" w:hAnsi="Cambria" w:cs="Book Antiqua"/>
          <w:i/>
          <w:iCs/>
          <w:sz w:val="24"/>
          <w:szCs w:val="24"/>
          <w:lang w:val="id-ID"/>
        </w:rPr>
        <w:t>Hukum Jaminan Kebendaan Tanah “Hak Tanggungan”</w:t>
      </w:r>
      <w:r w:rsidRPr="00EA5B99">
        <w:rPr>
          <w:rFonts w:ascii="Cambria" w:eastAsia="Book Antiqua" w:hAnsi="Cambria" w:cs="Book Antiqua"/>
          <w:sz w:val="24"/>
          <w:szCs w:val="24"/>
          <w:lang w:val="id-ID"/>
        </w:rPr>
        <w:t>. Malang: PT. Literasi Nusantara Abadi Grup, 2024.</w:t>
      </w:r>
    </w:p>
    <w:p w14:paraId="0EFA69A2" w14:textId="77777777" w:rsidR="005231C1" w:rsidRPr="00C3580A" w:rsidRDefault="005231C1" w:rsidP="005231C1">
      <w:pPr>
        <w:spacing w:after="36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Vollmar, HFA. </w:t>
      </w:r>
      <w:r w:rsidRPr="00C3580A">
        <w:rPr>
          <w:rFonts w:ascii="Cambria" w:eastAsia="Book Antiqua" w:hAnsi="Cambria" w:cs="Book Antiqua"/>
          <w:i/>
          <w:iCs/>
          <w:sz w:val="24"/>
          <w:szCs w:val="24"/>
          <w:lang w:val="id-ID"/>
        </w:rPr>
        <w:t>Hukum Benda Menurut KUHPerdata</w:t>
      </w:r>
      <w:r w:rsidRPr="00C3580A">
        <w:rPr>
          <w:rFonts w:ascii="Cambria" w:eastAsia="Book Antiqua" w:hAnsi="Cambria" w:cs="Book Antiqua"/>
          <w:sz w:val="24"/>
          <w:szCs w:val="24"/>
          <w:lang w:val="id-ID"/>
        </w:rPr>
        <w:t>. Bandung: Tarsito, 2012.</w:t>
      </w:r>
    </w:p>
    <w:p w14:paraId="37B3259F" w14:textId="77777777" w:rsidR="005231C1" w:rsidRPr="00C3580A" w:rsidRDefault="005231C1" w:rsidP="005231C1">
      <w:pPr>
        <w:numPr>
          <w:ilvl w:val="0"/>
          <w:numId w:val="22"/>
        </w:numPr>
        <w:spacing w:after="0" w:line="240" w:lineRule="auto"/>
        <w:rPr>
          <w:rFonts w:ascii="Cambria" w:eastAsia="Book Antiqua" w:hAnsi="Cambria" w:cs="Book Antiqua"/>
          <w:b/>
          <w:bCs/>
          <w:sz w:val="24"/>
          <w:szCs w:val="24"/>
          <w:lang w:val="id-ID"/>
        </w:rPr>
      </w:pPr>
      <w:r w:rsidRPr="00C3580A">
        <w:rPr>
          <w:rFonts w:ascii="Cambria" w:eastAsia="Book Antiqua" w:hAnsi="Cambria" w:cs="Book Antiqua"/>
          <w:b/>
          <w:bCs/>
          <w:sz w:val="24"/>
          <w:szCs w:val="24"/>
          <w:lang w:val="id-ID"/>
        </w:rPr>
        <w:t>Jurnal</w:t>
      </w:r>
    </w:p>
    <w:p w14:paraId="6EB72052" w14:textId="77777777" w:rsidR="005231C1" w:rsidRPr="00C3580A" w:rsidRDefault="005231C1" w:rsidP="005231C1">
      <w:pPr>
        <w:spacing w:after="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Hadisantoso, A. B. “Perlindungan Hukum Kreditor Pemegang Hak Tanggungan Terhadap Obyek Hak Tanggungan Yang Diletakkan Sita Jaminan (Analisis Putusan Pengadilan Negeri Jakarta Timur Nomor 321/Pdt. G/2012/PN. Jaktim dan Nomor 211/Pdt. G/2014/PN. Jak. Tim).” </w:t>
      </w:r>
      <w:r w:rsidRPr="00C3580A">
        <w:rPr>
          <w:rFonts w:ascii="Cambria" w:eastAsia="Book Antiqua" w:hAnsi="Cambria" w:cs="Book Antiqua"/>
          <w:i/>
          <w:iCs/>
          <w:sz w:val="24"/>
          <w:szCs w:val="24"/>
          <w:lang w:val="id-ID"/>
        </w:rPr>
        <w:t>SAPIENTIA ET VIRTUS</w:t>
      </w:r>
      <w:r w:rsidRPr="00C3580A">
        <w:rPr>
          <w:rFonts w:ascii="Cambria" w:eastAsia="Book Antiqua" w:hAnsi="Cambria" w:cs="Book Antiqua"/>
          <w:sz w:val="24"/>
          <w:szCs w:val="24"/>
          <w:lang w:val="id-ID"/>
        </w:rPr>
        <w:t xml:space="preserve"> 3, no. 2, 104-121.</w:t>
      </w:r>
    </w:p>
    <w:p w14:paraId="025FE8A6" w14:textId="77777777" w:rsidR="005231C1" w:rsidRPr="00C3580A" w:rsidRDefault="005231C1" w:rsidP="005231C1">
      <w:pPr>
        <w:spacing w:after="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Kurniawati, Lila, Khisni, dan Lathifah Hanim. "Implementasi Asas Droit De Preference Terhadap Jaminan Hak Tanggungan Oleh Pihak Perbankan Dalam Perjanjian Kredit".</w:t>
      </w:r>
      <w:r w:rsidRPr="00C3580A">
        <w:rPr>
          <w:rFonts w:ascii="Cambria" w:eastAsia="Book Antiqua" w:hAnsi="Cambria" w:cs="Book Antiqua"/>
          <w:i/>
          <w:iCs/>
          <w:sz w:val="24"/>
          <w:szCs w:val="24"/>
          <w:lang w:val="id-ID"/>
        </w:rPr>
        <w:t xml:space="preserve"> Jurnal Akta</w:t>
      </w:r>
      <w:r w:rsidRPr="00C3580A">
        <w:rPr>
          <w:rFonts w:ascii="Cambria" w:eastAsia="Book Antiqua" w:hAnsi="Cambria" w:cs="Book Antiqua"/>
          <w:sz w:val="24"/>
          <w:szCs w:val="24"/>
          <w:lang w:val="id-ID"/>
        </w:rPr>
        <w:t xml:space="preserve"> 4, no. 1 (2017): 97-102. https://doi.org/10.30659/akta.v4i1.1750. </w:t>
      </w:r>
    </w:p>
    <w:p w14:paraId="346CC959" w14:textId="77777777" w:rsidR="005231C1" w:rsidRPr="00C3580A" w:rsidRDefault="005231C1" w:rsidP="005231C1">
      <w:pPr>
        <w:spacing w:after="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Mahottama, Dewa Gede </w:t>
      </w:r>
      <w:r w:rsidRPr="00D51686">
        <w:rPr>
          <w:rFonts w:ascii="Cambria" w:eastAsia="Book Antiqua" w:hAnsi="Cambria" w:cs="Book Antiqua"/>
          <w:sz w:val="24"/>
          <w:szCs w:val="24"/>
          <w:lang w:val="id-ID"/>
        </w:rPr>
        <w:t xml:space="preserve">Swamitra. “Perlindungan Hukum Pemegang Hak Sewa Dalam Kepemilikan  Atas  Objek  Sewa  Tanah  Yang  Berada  Dalam Eksekusi   Hak   Tanggungan   Menurut   Hukum   Positif   Di Indonesia”. </w:t>
      </w:r>
      <w:r w:rsidRPr="00D51686">
        <w:rPr>
          <w:rFonts w:ascii="Cambria" w:eastAsia="Book Antiqua" w:hAnsi="Cambria" w:cs="Book Antiqua"/>
          <w:i/>
          <w:iCs/>
          <w:sz w:val="24"/>
          <w:szCs w:val="24"/>
          <w:lang w:val="id-ID"/>
        </w:rPr>
        <w:t>Jurnal Pacta Sunt Servanda</w:t>
      </w:r>
      <w:r w:rsidRPr="00D51686">
        <w:rPr>
          <w:rFonts w:ascii="Cambria" w:eastAsia="Book Antiqua" w:hAnsi="Cambria" w:cs="Book Antiqua"/>
          <w:sz w:val="24"/>
          <w:szCs w:val="24"/>
          <w:lang w:val="id-ID"/>
        </w:rPr>
        <w:t xml:space="preserve"> 6, no. 1 (2025): 2723-7435, https://ejournal2.undiksha.ac.id/index.php/JPSS.</w:t>
      </w:r>
    </w:p>
    <w:p w14:paraId="4C753925" w14:textId="77777777" w:rsidR="005231C1" w:rsidRPr="00D51686" w:rsidRDefault="005231C1" w:rsidP="005231C1">
      <w:pPr>
        <w:spacing w:after="0" w:line="240" w:lineRule="auto"/>
        <w:ind w:left="1275" w:hanging="540"/>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 xml:space="preserve">Perwirasari, D. P., dan Ikrardini, Z., “Penerapan Prinsip Kehati-Hatian Dalam Penyaluran Kredit Usaha Rakyat Non Agunan Ditinjau Dari Sisi Hukum Perikatan,” </w:t>
      </w:r>
      <w:r w:rsidRPr="00C3580A">
        <w:rPr>
          <w:rFonts w:ascii="Cambria" w:eastAsia="Book Antiqua" w:hAnsi="Cambria" w:cs="Book Antiqua"/>
          <w:i/>
          <w:iCs/>
          <w:sz w:val="24"/>
          <w:szCs w:val="24"/>
          <w:lang w:val="id-ID"/>
        </w:rPr>
        <w:t>Jurnal Dialektia Hukum</w:t>
      </w:r>
      <w:r w:rsidRPr="00C3580A">
        <w:rPr>
          <w:rFonts w:ascii="Cambria" w:eastAsia="Book Antiqua" w:hAnsi="Cambria" w:cs="Book Antiqua"/>
          <w:sz w:val="24"/>
          <w:szCs w:val="24"/>
          <w:lang w:val="id-ID"/>
        </w:rPr>
        <w:t xml:space="preserve"> 2, no. 2 (2020): 153, </w:t>
      </w:r>
      <w:r w:rsidRPr="00D51686">
        <w:rPr>
          <w:rFonts w:ascii="Cambria" w:eastAsia="Book Antiqua" w:hAnsi="Cambria" w:cs="Book Antiqua"/>
          <w:sz w:val="24"/>
          <w:szCs w:val="24"/>
          <w:lang w:val="id-ID"/>
        </w:rPr>
        <w:t>https://doi.org/10.36859/jdh.v2i2.514</w:t>
      </w:r>
    </w:p>
    <w:p w14:paraId="481E1ACE" w14:textId="77777777" w:rsidR="005231C1" w:rsidRPr="00D51686" w:rsidRDefault="005231C1" w:rsidP="005231C1">
      <w:pPr>
        <w:spacing w:after="0" w:line="240" w:lineRule="auto"/>
        <w:ind w:left="1275" w:hanging="540"/>
        <w:jc w:val="both"/>
        <w:rPr>
          <w:rFonts w:ascii="Cambria" w:eastAsia="Book Antiqua" w:hAnsi="Cambria" w:cs="Book Antiqua"/>
          <w:sz w:val="24"/>
          <w:szCs w:val="24"/>
          <w:lang w:val="id-ID"/>
        </w:rPr>
      </w:pPr>
      <w:r w:rsidRPr="00D51686">
        <w:rPr>
          <w:rFonts w:ascii="Cambria" w:eastAsia="Book Antiqua" w:hAnsi="Cambria" w:cs="Book Antiqua"/>
          <w:sz w:val="24"/>
          <w:szCs w:val="24"/>
          <w:lang w:val="id-ID"/>
        </w:rPr>
        <w:t>R. F. F, Mahlafi, “Tinjauan Yuridis Wanprestasi Dalam Perjanjian Sewa Menyewa Rumah (Studi Putusan Nomor 177/Pdt. G/2019/PN. Jkt. Utr),” Journal Sains Student Research 1, no. 1 (2023).</w:t>
      </w:r>
    </w:p>
    <w:p w14:paraId="45F72CEC" w14:textId="77777777" w:rsidR="005231C1" w:rsidRPr="00D51686" w:rsidRDefault="005231C1" w:rsidP="005231C1">
      <w:pPr>
        <w:spacing w:after="0" w:line="240" w:lineRule="auto"/>
        <w:ind w:left="1275" w:hanging="540"/>
        <w:jc w:val="both"/>
        <w:rPr>
          <w:rFonts w:ascii="Cambria" w:eastAsia="Book Antiqua" w:hAnsi="Cambria" w:cs="Book Antiqua"/>
          <w:sz w:val="24"/>
          <w:szCs w:val="24"/>
          <w:lang w:val="id-ID"/>
        </w:rPr>
      </w:pPr>
      <w:r w:rsidRPr="00D51686">
        <w:rPr>
          <w:rFonts w:ascii="Cambria" w:eastAsia="Book Antiqua" w:hAnsi="Cambria" w:cs="Book Antiqua"/>
          <w:sz w:val="24"/>
          <w:szCs w:val="24"/>
          <w:lang w:val="id-ID"/>
        </w:rPr>
        <w:t xml:space="preserve">Sirait, Manaan Damianos, dkk. “Asas Itikad Baik dalam Perjanjian Sewa-Menyewa Rumah Kantor”. </w:t>
      </w:r>
      <w:r w:rsidRPr="00D51686">
        <w:rPr>
          <w:rFonts w:ascii="Cambria" w:eastAsia="Book Antiqua" w:hAnsi="Cambria" w:cs="Book Antiqua"/>
          <w:i/>
          <w:iCs/>
          <w:sz w:val="24"/>
          <w:szCs w:val="24"/>
          <w:lang w:val="id-ID"/>
        </w:rPr>
        <w:t xml:space="preserve">Jurnal Analogi Hukum </w:t>
      </w:r>
      <w:r w:rsidRPr="00D51686">
        <w:rPr>
          <w:rFonts w:ascii="Cambria" w:eastAsia="Book Antiqua" w:hAnsi="Cambria" w:cs="Book Antiqua"/>
          <w:sz w:val="24"/>
          <w:szCs w:val="24"/>
          <w:lang w:val="id-ID"/>
        </w:rPr>
        <w:t xml:space="preserve">2, no. 2 (2020): 221-227. https://doi.org/10.22225/ah.2.2.1934.221-227. </w:t>
      </w:r>
    </w:p>
    <w:p w14:paraId="36833CA4" w14:textId="77777777" w:rsidR="005231C1" w:rsidRPr="00D51686" w:rsidRDefault="005231C1" w:rsidP="005231C1">
      <w:pPr>
        <w:spacing w:after="0" w:line="240" w:lineRule="auto"/>
        <w:ind w:left="1275" w:hanging="540"/>
        <w:jc w:val="both"/>
        <w:rPr>
          <w:rFonts w:ascii="Cambria" w:eastAsia="Book Antiqua" w:hAnsi="Cambria" w:cs="Book Antiqua"/>
          <w:sz w:val="24"/>
          <w:szCs w:val="24"/>
          <w:lang w:val="id-ID"/>
        </w:rPr>
      </w:pPr>
      <w:r w:rsidRPr="00D51686">
        <w:rPr>
          <w:rFonts w:ascii="Cambria" w:eastAsia="Book Antiqua" w:hAnsi="Cambria" w:cs="Book Antiqua"/>
          <w:sz w:val="24"/>
          <w:szCs w:val="24"/>
          <w:lang w:val="id-ID"/>
        </w:rPr>
        <w:lastRenderedPageBreak/>
        <w:t xml:space="preserve">Sukardi, “Tinjauan Yuridis Pengakhiran Sewa Menyewa Rumah Yang Dibuat Secara Lisan Di Kelurahan Sungai Beliung Kecamatan Pontianak Barat”, </w:t>
      </w:r>
      <w:r w:rsidRPr="00D51686">
        <w:rPr>
          <w:rFonts w:ascii="Cambria" w:eastAsia="Book Antiqua" w:hAnsi="Cambria" w:cs="Book Antiqua"/>
          <w:i/>
          <w:iCs/>
          <w:sz w:val="24"/>
          <w:szCs w:val="24"/>
          <w:lang w:val="id-ID"/>
        </w:rPr>
        <w:t>Al-Maslahah Jurnal Ilmu Syariah</w:t>
      </w:r>
      <w:r w:rsidRPr="00D51686">
        <w:rPr>
          <w:rFonts w:ascii="Cambria" w:eastAsia="Book Antiqua" w:hAnsi="Cambria" w:cs="Book Antiqua"/>
          <w:sz w:val="24"/>
          <w:szCs w:val="24"/>
          <w:lang w:val="id-ID"/>
        </w:rPr>
        <w:t>, Vol 9 No 2 (2014), https://jurnaliainpontianak.or.id/index.php/Almaslahah/article/view/686/pdf</w:t>
      </w:r>
    </w:p>
    <w:p w14:paraId="63BA306D" w14:textId="77777777" w:rsidR="005231C1" w:rsidRDefault="005231C1" w:rsidP="005231C1">
      <w:pPr>
        <w:spacing w:after="0" w:line="240" w:lineRule="auto"/>
        <w:ind w:left="1275" w:hanging="540"/>
        <w:jc w:val="both"/>
        <w:rPr>
          <w:rFonts w:ascii="Cambria" w:eastAsia="Book Antiqua" w:hAnsi="Cambria" w:cs="Book Antiqua"/>
          <w:sz w:val="24"/>
          <w:szCs w:val="24"/>
          <w:lang w:val="id-ID"/>
        </w:rPr>
      </w:pPr>
      <w:r w:rsidRPr="00D51686">
        <w:rPr>
          <w:rFonts w:ascii="Cambria" w:eastAsia="Book Antiqua" w:hAnsi="Cambria" w:cs="Book Antiqua"/>
          <w:sz w:val="24"/>
          <w:szCs w:val="24"/>
          <w:lang w:val="id-ID"/>
        </w:rPr>
        <w:t xml:space="preserve">Syahidah, A. A., dan Handayani, S. W., “Tanggung Jawab Pemilik Tanah Terhadap Penyewa Atas Sengketa Hak Sewa Tanah yang Tidak Terdaftar di BPN,” </w:t>
      </w:r>
      <w:r w:rsidRPr="00D51686">
        <w:rPr>
          <w:rFonts w:ascii="Cambria" w:eastAsia="Book Antiqua" w:hAnsi="Cambria" w:cs="Book Antiqua"/>
          <w:i/>
          <w:iCs/>
          <w:sz w:val="24"/>
          <w:szCs w:val="24"/>
          <w:lang w:val="id-ID"/>
        </w:rPr>
        <w:t>Al-Zayn: Jurnal Ilmu Sosial &amp; Hukum</w:t>
      </w:r>
      <w:r w:rsidRPr="00D51686">
        <w:rPr>
          <w:rFonts w:ascii="Cambria" w:eastAsia="Book Antiqua" w:hAnsi="Cambria" w:cs="Book Antiqua"/>
          <w:sz w:val="24"/>
          <w:szCs w:val="24"/>
          <w:lang w:val="id-ID"/>
        </w:rPr>
        <w:t xml:space="preserve"> 3, no. 6, (2025), </w:t>
      </w:r>
      <w:hyperlink r:id="rId20" w:history="1">
        <w:r w:rsidRPr="0096399A">
          <w:rPr>
            <w:rStyle w:val="Hyperlink"/>
            <w:rFonts w:ascii="Cambria" w:eastAsia="Book Antiqua" w:hAnsi="Cambria" w:cs="Book Antiqua"/>
            <w:sz w:val="24"/>
            <w:szCs w:val="24"/>
            <w:lang w:val="id-ID"/>
          </w:rPr>
          <w:t>https://doi.org/10.61104/alz.v3i6.2554</w:t>
        </w:r>
      </w:hyperlink>
    </w:p>
    <w:p w14:paraId="78E09F0F" w14:textId="77777777" w:rsidR="005231C1" w:rsidRPr="00C3580A" w:rsidRDefault="005231C1" w:rsidP="005231C1">
      <w:pPr>
        <w:spacing w:after="360" w:line="240" w:lineRule="auto"/>
        <w:ind w:left="1275" w:hanging="540"/>
        <w:jc w:val="both"/>
        <w:rPr>
          <w:rFonts w:ascii="Cambria" w:eastAsia="Book Antiqua" w:hAnsi="Cambria" w:cs="Book Antiqua"/>
          <w:sz w:val="24"/>
          <w:szCs w:val="24"/>
          <w:lang w:val="id-ID"/>
        </w:rPr>
      </w:pPr>
      <w:r w:rsidRPr="0049422F">
        <w:rPr>
          <w:rFonts w:ascii="Cambria" w:eastAsia="Book Antiqua" w:hAnsi="Cambria" w:cs="Book Antiqua"/>
          <w:sz w:val="24"/>
          <w:szCs w:val="24"/>
          <w:lang w:val="id-ID"/>
        </w:rPr>
        <w:t>Widakdo,</w:t>
      </w:r>
      <w:r>
        <w:rPr>
          <w:rFonts w:ascii="Cambria" w:eastAsia="Book Antiqua" w:hAnsi="Cambria" w:cs="Book Antiqua"/>
          <w:sz w:val="24"/>
          <w:szCs w:val="24"/>
          <w:lang w:val="id-ID"/>
        </w:rPr>
        <w:t xml:space="preserve"> </w:t>
      </w:r>
      <w:r w:rsidRPr="0049422F">
        <w:rPr>
          <w:rFonts w:ascii="Cambria" w:eastAsia="Book Antiqua" w:hAnsi="Cambria" w:cs="Book Antiqua"/>
          <w:sz w:val="24"/>
          <w:szCs w:val="24"/>
          <w:lang w:val="id-ID"/>
        </w:rPr>
        <w:t>Soewito “PEROLEHAN HAK ATAS TANAH PERMASALAHAN DAN PERKEMBANGANNYA,” Perspektif 2, no. 1 (1997): 75, https://doi.org/10.30742/perspektif.v2i1.133.</w:t>
      </w:r>
    </w:p>
    <w:p w14:paraId="5C42FE01" w14:textId="77777777" w:rsidR="005231C1" w:rsidRPr="00C3580A" w:rsidRDefault="005231C1" w:rsidP="005231C1">
      <w:pPr>
        <w:numPr>
          <w:ilvl w:val="0"/>
          <w:numId w:val="22"/>
        </w:numPr>
        <w:spacing w:after="0" w:line="240" w:lineRule="auto"/>
        <w:rPr>
          <w:rFonts w:ascii="Cambria" w:eastAsia="Book Antiqua" w:hAnsi="Cambria" w:cs="Book Antiqua"/>
          <w:b/>
          <w:bCs/>
          <w:sz w:val="24"/>
          <w:szCs w:val="24"/>
          <w:lang w:val="id-ID"/>
        </w:rPr>
      </w:pPr>
      <w:r w:rsidRPr="00C3580A">
        <w:rPr>
          <w:rFonts w:ascii="Cambria" w:eastAsia="Book Antiqua" w:hAnsi="Cambria" w:cs="Book Antiqua"/>
          <w:b/>
          <w:bCs/>
          <w:sz w:val="24"/>
          <w:szCs w:val="24"/>
          <w:lang w:val="id-ID"/>
        </w:rPr>
        <w:t>Skripsi</w:t>
      </w:r>
    </w:p>
    <w:p w14:paraId="11175A70" w14:textId="77777777" w:rsidR="005231C1" w:rsidRDefault="005231C1" w:rsidP="005231C1">
      <w:pPr>
        <w:spacing w:line="240" w:lineRule="auto"/>
        <w:ind w:left="1275" w:hanging="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Muspadi, Luh Sunari Dewi Sri, “Perlindungan Hukum Terhadap Penyewa Atas Objek Sewa Menyewa Tanah yang Masih Dibebani Hak Tanggungan”, Skripsi., Universitas Warmadewa, 2026.</w:t>
      </w:r>
    </w:p>
    <w:p w14:paraId="47F527A5" w14:textId="77777777" w:rsidR="005231C1" w:rsidRPr="00744996" w:rsidRDefault="005231C1" w:rsidP="005231C1">
      <w:pPr>
        <w:spacing w:line="240" w:lineRule="auto"/>
        <w:ind w:left="1275" w:hanging="566"/>
        <w:jc w:val="both"/>
        <w:rPr>
          <w:rFonts w:ascii="Cambria" w:eastAsia="Book Antiqua" w:hAnsi="Cambria" w:cs="Book Antiqua"/>
          <w:sz w:val="24"/>
          <w:szCs w:val="24"/>
          <w:lang w:val="id-ID"/>
        </w:rPr>
      </w:pPr>
    </w:p>
    <w:p w14:paraId="22FEBE2F" w14:textId="77777777" w:rsidR="005231C1" w:rsidRPr="00C3580A" w:rsidRDefault="005231C1" w:rsidP="005231C1">
      <w:pPr>
        <w:numPr>
          <w:ilvl w:val="0"/>
          <w:numId w:val="22"/>
        </w:numPr>
        <w:spacing w:after="0" w:line="240" w:lineRule="auto"/>
        <w:rPr>
          <w:rFonts w:ascii="Cambria" w:eastAsia="Book Antiqua" w:hAnsi="Cambria" w:cs="Book Antiqua"/>
          <w:b/>
          <w:bCs/>
          <w:sz w:val="24"/>
          <w:szCs w:val="24"/>
          <w:lang w:val="id-ID"/>
        </w:rPr>
      </w:pPr>
      <w:r w:rsidRPr="00C3580A">
        <w:rPr>
          <w:rFonts w:ascii="Cambria" w:eastAsia="Book Antiqua" w:hAnsi="Cambria" w:cs="Book Antiqua"/>
          <w:b/>
          <w:bCs/>
          <w:sz w:val="24"/>
          <w:szCs w:val="24"/>
          <w:lang w:val="id-ID"/>
        </w:rPr>
        <w:t>Dokumen Pendukung Lainnya</w:t>
      </w:r>
    </w:p>
    <w:p w14:paraId="21D2D15D" w14:textId="77777777" w:rsidR="005231C1" w:rsidRPr="00C3580A" w:rsidRDefault="005231C1" w:rsidP="005231C1">
      <w:pPr>
        <w:spacing w:line="240" w:lineRule="auto"/>
        <w:ind w:left="1275" w:hanging="566"/>
        <w:jc w:val="both"/>
        <w:rPr>
          <w:rFonts w:ascii="Cambria" w:eastAsia="Book Antiqua" w:hAnsi="Cambria" w:cs="Book Antiqua"/>
          <w:sz w:val="24"/>
          <w:szCs w:val="24"/>
          <w:lang w:val="id-ID"/>
        </w:rPr>
      </w:pPr>
      <w:r w:rsidRPr="00C3580A">
        <w:rPr>
          <w:rFonts w:ascii="Cambria" w:eastAsia="Book Antiqua" w:hAnsi="Cambria" w:cs="Book Antiqua"/>
          <w:sz w:val="24"/>
          <w:szCs w:val="24"/>
          <w:lang w:val="id-ID"/>
        </w:rPr>
        <w:t>Lampiran Surat Pernyataan Pengosongan yang diperoleh dari Bank X di Kota Jakarta</w:t>
      </w:r>
    </w:p>
    <w:p w14:paraId="2FB6B0C8" w14:textId="77777777" w:rsidR="005231C1" w:rsidRPr="00F47EB6" w:rsidRDefault="005231C1" w:rsidP="005231C1">
      <w:pPr>
        <w:spacing w:line="240" w:lineRule="auto"/>
        <w:ind w:firstLine="720"/>
        <w:jc w:val="both"/>
        <w:rPr>
          <w:rFonts w:ascii="Book Antiqua" w:eastAsia="Book Antiqua" w:hAnsi="Book Antiqua" w:cs="Book Antiqua"/>
          <w:sz w:val="24"/>
          <w:szCs w:val="24"/>
          <w:lang w:val="id-ID"/>
        </w:rPr>
      </w:pPr>
    </w:p>
    <w:p w14:paraId="0EA8B3E3" w14:textId="77777777" w:rsidR="005231C1" w:rsidRDefault="005231C1" w:rsidP="005231C1"/>
    <w:p w14:paraId="7BA907ED" w14:textId="77777777" w:rsidR="008150AF" w:rsidRDefault="008150AF" w:rsidP="005231C1">
      <w:pPr>
        <w:widowControl w:val="0"/>
        <w:autoSpaceDE w:val="0"/>
        <w:autoSpaceDN w:val="0"/>
        <w:adjustRightInd w:val="0"/>
        <w:spacing w:after="0" w:line="276" w:lineRule="auto"/>
        <w:jc w:val="both"/>
        <w:rPr>
          <w:rFonts w:ascii="Cambria" w:hAnsi="Cambria" w:cs="Times New Roman"/>
          <w:sz w:val="24"/>
          <w:szCs w:val="24"/>
        </w:rPr>
      </w:pPr>
    </w:p>
    <w:p w14:paraId="02975BF7"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0925B300"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63D19BB4"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2761D5C4"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4C460830"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7BDFA5B3"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5CC197BF"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0E5FBB2A"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3CC2C511"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32699A2C"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438A9F40"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466B1136"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0FE6F9A8"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612E83F0"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202A96C1"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4648B627"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5E655226"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4B36A5A1"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7670BAC5"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455187C8"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2B8B02AE"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0D501749"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35F48A7C"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51E9FF3A" w14:textId="77777777" w:rsidR="009F4231" w:rsidRDefault="009F4231" w:rsidP="005231C1">
      <w:pPr>
        <w:widowControl w:val="0"/>
        <w:autoSpaceDE w:val="0"/>
        <w:autoSpaceDN w:val="0"/>
        <w:adjustRightInd w:val="0"/>
        <w:spacing w:after="0" w:line="276" w:lineRule="auto"/>
        <w:jc w:val="both"/>
        <w:rPr>
          <w:rFonts w:ascii="Cambria" w:hAnsi="Cambria" w:cs="Times New Roman"/>
          <w:sz w:val="24"/>
          <w:szCs w:val="24"/>
        </w:rPr>
      </w:pPr>
    </w:p>
    <w:p w14:paraId="7610E59C" w14:textId="77777777" w:rsidR="009F4231" w:rsidRDefault="009F4231" w:rsidP="005231C1">
      <w:pPr>
        <w:widowControl w:val="0"/>
        <w:autoSpaceDE w:val="0"/>
        <w:autoSpaceDN w:val="0"/>
        <w:adjustRightInd w:val="0"/>
        <w:spacing w:after="0" w:line="276" w:lineRule="auto"/>
        <w:jc w:val="both"/>
        <w:rPr>
          <w:rFonts w:ascii="Cambria" w:hAnsi="Cambria" w:cs="Times New Roman"/>
          <w:sz w:val="24"/>
          <w:szCs w:val="24"/>
        </w:rPr>
      </w:pPr>
    </w:p>
    <w:p w14:paraId="623CAFAD" w14:textId="77777777" w:rsidR="009F4231" w:rsidRDefault="009F4231" w:rsidP="005231C1">
      <w:pPr>
        <w:widowControl w:val="0"/>
        <w:autoSpaceDE w:val="0"/>
        <w:autoSpaceDN w:val="0"/>
        <w:adjustRightInd w:val="0"/>
        <w:spacing w:after="0" w:line="276" w:lineRule="auto"/>
        <w:jc w:val="both"/>
        <w:rPr>
          <w:rFonts w:ascii="Cambria" w:hAnsi="Cambria" w:cs="Times New Roman"/>
          <w:sz w:val="24"/>
          <w:szCs w:val="24"/>
        </w:rPr>
      </w:pPr>
    </w:p>
    <w:p w14:paraId="3BAA18DB" w14:textId="77777777" w:rsidR="009F4231" w:rsidRDefault="009F4231" w:rsidP="005231C1">
      <w:pPr>
        <w:widowControl w:val="0"/>
        <w:autoSpaceDE w:val="0"/>
        <w:autoSpaceDN w:val="0"/>
        <w:adjustRightInd w:val="0"/>
        <w:spacing w:after="0" w:line="276" w:lineRule="auto"/>
        <w:jc w:val="both"/>
        <w:rPr>
          <w:rFonts w:ascii="Cambria" w:hAnsi="Cambria" w:cs="Times New Roman"/>
          <w:sz w:val="24"/>
          <w:szCs w:val="24"/>
        </w:rPr>
      </w:pPr>
    </w:p>
    <w:p w14:paraId="1562DCDA" w14:textId="77777777" w:rsidR="009F4231" w:rsidRDefault="009F4231" w:rsidP="005231C1">
      <w:pPr>
        <w:widowControl w:val="0"/>
        <w:autoSpaceDE w:val="0"/>
        <w:autoSpaceDN w:val="0"/>
        <w:adjustRightInd w:val="0"/>
        <w:spacing w:after="0" w:line="276" w:lineRule="auto"/>
        <w:jc w:val="both"/>
        <w:rPr>
          <w:rFonts w:ascii="Cambria" w:hAnsi="Cambria" w:cs="Times New Roman"/>
          <w:sz w:val="24"/>
          <w:szCs w:val="24"/>
        </w:rPr>
      </w:pPr>
    </w:p>
    <w:p w14:paraId="22EDEB28" w14:textId="77777777" w:rsidR="009F4231" w:rsidRDefault="009F4231" w:rsidP="005231C1">
      <w:pPr>
        <w:widowControl w:val="0"/>
        <w:autoSpaceDE w:val="0"/>
        <w:autoSpaceDN w:val="0"/>
        <w:adjustRightInd w:val="0"/>
        <w:spacing w:after="0" w:line="276" w:lineRule="auto"/>
        <w:jc w:val="both"/>
        <w:rPr>
          <w:rFonts w:ascii="Cambria" w:hAnsi="Cambria" w:cs="Times New Roman"/>
          <w:sz w:val="24"/>
          <w:szCs w:val="24"/>
        </w:rPr>
      </w:pPr>
    </w:p>
    <w:p w14:paraId="7E2636BE"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3184ED93" w14:textId="77777777" w:rsidR="005231C1" w:rsidRDefault="005231C1" w:rsidP="005231C1">
      <w:pPr>
        <w:widowControl w:val="0"/>
        <w:autoSpaceDE w:val="0"/>
        <w:autoSpaceDN w:val="0"/>
        <w:adjustRightInd w:val="0"/>
        <w:spacing w:after="0" w:line="276" w:lineRule="auto"/>
        <w:jc w:val="both"/>
        <w:rPr>
          <w:rFonts w:ascii="Cambria" w:hAnsi="Cambria" w:cs="Times New Roman"/>
          <w:sz w:val="24"/>
          <w:szCs w:val="24"/>
        </w:rPr>
      </w:pPr>
    </w:p>
    <w:p w14:paraId="78938FD1" w14:textId="77777777" w:rsidR="005231C1" w:rsidRPr="005231C1" w:rsidRDefault="005231C1" w:rsidP="005231C1">
      <w:pPr>
        <w:widowControl w:val="0"/>
        <w:autoSpaceDE w:val="0"/>
        <w:autoSpaceDN w:val="0"/>
        <w:adjustRightInd w:val="0"/>
        <w:spacing w:after="0" w:line="276" w:lineRule="auto"/>
        <w:jc w:val="center"/>
        <w:rPr>
          <w:rFonts w:ascii="Cambria" w:hAnsi="Cambria" w:cs="Times New Roman"/>
          <w:b/>
          <w:bCs/>
          <w:i/>
          <w:iCs/>
          <w:sz w:val="40"/>
          <w:szCs w:val="40"/>
        </w:rPr>
      </w:pPr>
    </w:p>
    <w:p w14:paraId="5B4D1A2A" w14:textId="24057755" w:rsidR="005231C1" w:rsidRPr="005231C1" w:rsidRDefault="005231C1" w:rsidP="005231C1">
      <w:pPr>
        <w:widowControl w:val="0"/>
        <w:autoSpaceDE w:val="0"/>
        <w:autoSpaceDN w:val="0"/>
        <w:adjustRightInd w:val="0"/>
        <w:spacing w:after="0" w:line="276" w:lineRule="auto"/>
        <w:jc w:val="center"/>
        <w:rPr>
          <w:rFonts w:ascii="Cambria" w:hAnsi="Cambria" w:cs="Times New Roman"/>
          <w:b/>
          <w:bCs/>
          <w:i/>
          <w:iCs/>
          <w:sz w:val="40"/>
          <w:szCs w:val="40"/>
        </w:rPr>
      </w:pPr>
      <w:r w:rsidRPr="005231C1">
        <w:rPr>
          <w:rFonts w:ascii="Cambria" w:hAnsi="Cambria" w:cs="Times New Roman"/>
          <w:b/>
          <w:bCs/>
          <w:i/>
          <w:iCs/>
          <w:sz w:val="40"/>
          <w:szCs w:val="40"/>
        </w:rPr>
        <w:t>“This Page Intentionally Left Blanks”</w:t>
      </w:r>
    </w:p>
    <w:sectPr w:rsidR="005231C1" w:rsidRPr="005231C1" w:rsidSect="004B0E39">
      <w:headerReference w:type="even" r:id="rId21"/>
      <w:headerReference w:type="default" r:id="rId22"/>
      <w:type w:val="continuous"/>
      <w:pgSz w:w="11906" w:h="16838" w:code="9"/>
      <w:pgMar w:top="1699" w:right="1699" w:bottom="1699" w:left="1701" w:header="709" w:footer="709" w:gutter="0"/>
      <w:pgNumType w:start="1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1FB6" w14:textId="77777777" w:rsidR="00F77027" w:rsidRDefault="00F77027" w:rsidP="00D65224">
      <w:pPr>
        <w:spacing w:after="0" w:line="240" w:lineRule="auto"/>
      </w:pPr>
      <w:r>
        <w:separator/>
      </w:r>
    </w:p>
  </w:endnote>
  <w:endnote w:type="continuationSeparator" w:id="0">
    <w:p w14:paraId="16A15BB2" w14:textId="77777777" w:rsidR="00F77027" w:rsidRDefault="00F77027" w:rsidP="00D65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BE60C" w14:textId="77777777" w:rsidR="00F77027" w:rsidRDefault="00F77027" w:rsidP="00D65224">
      <w:pPr>
        <w:spacing w:after="0" w:line="240" w:lineRule="auto"/>
      </w:pPr>
      <w:r>
        <w:separator/>
      </w:r>
    </w:p>
  </w:footnote>
  <w:footnote w:type="continuationSeparator" w:id="0">
    <w:p w14:paraId="43E42CAD" w14:textId="77777777" w:rsidR="00F77027" w:rsidRDefault="00F77027" w:rsidP="00D65224">
      <w:pPr>
        <w:spacing w:after="0" w:line="240" w:lineRule="auto"/>
      </w:pPr>
      <w:r>
        <w:continuationSeparator/>
      </w:r>
    </w:p>
  </w:footnote>
  <w:footnote w:id="1">
    <w:p w14:paraId="3DABB4ED"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Kartini Muljadi dan Gunawan Widjaja, Perikatan yang Lahir dari Perjanjian (Jakarta : PT. </w:t>
      </w:r>
      <w:r w:rsidRPr="005231C1">
        <w:rPr>
          <w:rFonts w:asciiTheme="majorHAnsi" w:eastAsia="Book Antiqua" w:hAnsiTheme="majorHAnsi" w:cs="Book Antiqua"/>
          <w:sz w:val="20"/>
          <w:szCs w:val="20"/>
        </w:rPr>
        <w:t xml:space="preserve">Raja </w:t>
      </w:r>
      <w:proofErr w:type="spellStart"/>
      <w:r w:rsidRPr="005231C1">
        <w:rPr>
          <w:rFonts w:asciiTheme="majorHAnsi" w:eastAsia="Book Antiqua" w:hAnsiTheme="majorHAnsi" w:cs="Book Antiqua"/>
          <w:sz w:val="20"/>
          <w:szCs w:val="20"/>
        </w:rPr>
        <w:t>Grafindo</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Persada</w:t>
      </w:r>
      <w:proofErr w:type="spellEnd"/>
      <w:r w:rsidRPr="005231C1">
        <w:rPr>
          <w:rFonts w:asciiTheme="majorHAnsi" w:eastAsia="Book Antiqua" w:hAnsiTheme="majorHAnsi" w:cs="Book Antiqua"/>
          <w:sz w:val="20"/>
          <w:szCs w:val="20"/>
        </w:rPr>
        <w:t>, 2004), 14-15.</w:t>
      </w:r>
    </w:p>
  </w:footnote>
  <w:footnote w:id="2">
    <w:p w14:paraId="7F48BA5E"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r w:rsidRPr="005231C1">
        <w:rPr>
          <w:rFonts w:asciiTheme="majorHAnsi" w:eastAsia="Book Antiqua" w:hAnsiTheme="majorHAnsi" w:cs="Book Antiqua"/>
          <w:i/>
          <w:iCs/>
          <w:sz w:val="20"/>
          <w:szCs w:val="20"/>
        </w:rPr>
        <w:t xml:space="preserve">Ibid, </w:t>
      </w:r>
      <w:proofErr w:type="spellStart"/>
      <w:r w:rsidRPr="005231C1">
        <w:rPr>
          <w:rFonts w:asciiTheme="majorHAnsi" w:eastAsia="Book Antiqua" w:hAnsiTheme="majorHAnsi" w:cs="Book Antiqua"/>
          <w:sz w:val="20"/>
          <w:szCs w:val="20"/>
        </w:rPr>
        <w:t>hlm</w:t>
      </w:r>
      <w:proofErr w:type="spellEnd"/>
      <w:r w:rsidRPr="005231C1">
        <w:rPr>
          <w:rFonts w:asciiTheme="majorHAnsi" w:eastAsia="Book Antiqua" w:hAnsiTheme="majorHAnsi" w:cs="Book Antiqua"/>
          <w:sz w:val="20"/>
          <w:szCs w:val="20"/>
        </w:rPr>
        <w:t>. 46.</w:t>
      </w:r>
    </w:p>
  </w:footnote>
  <w:footnote w:id="3">
    <w:p w14:paraId="242292EC"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r w:rsidRPr="005231C1">
        <w:rPr>
          <w:rFonts w:asciiTheme="majorHAnsi" w:eastAsia="Book Antiqua" w:hAnsiTheme="majorHAnsi" w:cs="Book Antiqua"/>
          <w:i/>
          <w:iCs/>
          <w:sz w:val="20"/>
          <w:szCs w:val="20"/>
        </w:rPr>
        <w:t xml:space="preserve">Ibid, </w:t>
      </w:r>
      <w:proofErr w:type="spellStart"/>
      <w:r w:rsidRPr="005231C1">
        <w:rPr>
          <w:rFonts w:asciiTheme="majorHAnsi" w:eastAsia="Book Antiqua" w:hAnsiTheme="majorHAnsi" w:cs="Book Antiqua"/>
          <w:sz w:val="20"/>
          <w:szCs w:val="20"/>
        </w:rPr>
        <w:t>hlm</w:t>
      </w:r>
      <w:proofErr w:type="spellEnd"/>
      <w:r w:rsidRPr="005231C1">
        <w:rPr>
          <w:rFonts w:asciiTheme="majorHAnsi" w:eastAsia="Book Antiqua" w:hAnsiTheme="majorHAnsi" w:cs="Book Antiqua"/>
          <w:sz w:val="20"/>
          <w:szCs w:val="20"/>
        </w:rPr>
        <w:t>. 80.</w:t>
      </w:r>
    </w:p>
  </w:footnote>
  <w:footnote w:id="4">
    <w:p w14:paraId="5D6B3B6E"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Pasal</w:t>
      </w:r>
      <w:proofErr w:type="spellEnd"/>
      <w:r w:rsidRPr="005231C1">
        <w:rPr>
          <w:rFonts w:asciiTheme="majorHAnsi" w:eastAsia="Book Antiqua" w:hAnsiTheme="majorHAnsi" w:cs="Book Antiqua"/>
          <w:sz w:val="20"/>
          <w:szCs w:val="20"/>
        </w:rPr>
        <w:t xml:space="preserve"> 1338 </w:t>
      </w:r>
      <w:proofErr w:type="spellStart"/>
      <w:r w:rsidRPr="005231C1">
        <w:rPr>
          <w:rFonts w:asciiTheme="majorHAnsi" w:eastAsia="Book Antiqua" w:hAnsiTheme="majorHAnsi" w:cs="Book Antiqua"/>
          <w:sz w:val="20"/>
          <w:szCs w:val="20"/>
        </w:rPr>
        <w:t>ayat</w:t>
      </w:r>
      <w:proofErr w:type="spellEnd"/>
      <w:r w:rsidRPr="005231C1">
        <w:rPr>
          <w:rFonts w:asciiTheme="majorHAnsi" w:eastAsia="Book Antiqua" w:hAnsiTheme="majorHAnsi" w:cs="Book Antiqua"/>
          <w:sz w:val="20"/>
          <w:szCs w:val="20"/>
        </w:rPr>
        <w:t xml:space="preserve"> (1) Kitab </w:t>
      </w:r>
      <w:proofErr w:type="spellStart"/>
      <w:r w:rsidRPr="005231C1">
        <w:rPr>
          <w:rFonts w:asciiTheme="majorHAnsi" w:eastAsia="Book Antiqua" w:hAnsiTheme="majorHAnsi" w:cs="Book Antiqua"/>
          <w:sz w:val="20"/>
          <w:szCs w:val="20"/>
        </w:rPr>
        <w:t>Undang-Undang</w:t>
      </w:r>
      <w:proofErr w:type="spellEnd"/>
      <w:r w:rsidRPr="005231C1">
        <w:rPr>
          <w:rFonts w:asciiTheme="majorHAnsi" w:eastAsia="Book Antiqua" w:hAnsiTheme="majorHAnsi" w:cs="Book Antiqua"/>
          <w:sz w:val="20"/>
          <w:szCs w:val="20"/>
        </w:rPr>
        <w:t xml:space="preserve"> Hukum </w:t>
      </w:r>
      <w:proofErr w:type="spellStart"/>
      <w:r w:rsidRPr="005231C1">
        <w:rPr>
          <w:rFonts w:asciiTheme="majorHAnsi" w:eastAsia="Book Antiqua" w:hAnsiTheme="majorHAnsi" w:cs="Book Antiqua"/>
          <w:sz w:val="20"/>
          <w:szCs w:val="20"/>
        </w:rPr>
        <w:t>Perdata</w:t>
      </w:r>
      <w:proofErr w:type="spellEnd"/>
      <w:r w:rsidRPr="005231C1">
        <w:rPr>
          <w:rFonts w:asciiTheme="majorHAnsi" w:eastAsia="Book Antiqua" w:hAnsiTheme="majorHAnsi" w:cs="Book Antiqua"/>
          <w:sz w:val="20"/>
          <w:szCs w:val="20"/>
        </w:rPr>
        <w:t>.</w:t>
      </w:r>
    </w:p>
  </w:footnote>
  <w:footnote w:id="5">
    <w:p w14:paraId="75D3C0AD"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Pasal</w:t>
      </w:r>
      <w:proofErr w:type="spellEnd"/>
      <w:r w:rsidRPr="005231C1">
        <w:rPr>
          <w:rFonts w:asciiTheme="majorHAnsi" w:eastAsia="Book Antiqua" w:hAnsiTheme="majorHAnsi" w:cs="Book Antiqua"/>
          <w:sz w:val="20"/>
          <w:szCs w:val="20"/>
        </w:rPr>
        <w:t xml:space="preserve"> 1549 Kitab </w:t>
      </w:r>
      <w:proofErr w:type="spellStart"/>
      <w:r w:rsidRPr="005231C1">
        <w:rPr>
          <w:rFonts w:asciiTheme="majorHAnsi" w:eastAsia="Book Antiqua" w:hAnsiTheme="majorHAnsi" w:cs="Book Antiqua"/>
          <w:sz w:val="20"/>
          <w:szCs w:val="20"/>
        </w:rPr>
        <w:t>Undang-Undang</w:t>
      </w:r>
      <w:proofErr w:type="spellEnd"/>
      <w:r w:rsidRPr="005231C1">
        <w:rPr>
          <w:rFonts w:asciiTheme="majorHAnsi" w:eastAsia="Book Antiqua" w:hAnsiTheme="majorHAnsi" w:cs="Book Antiqua"/>
          <w:sz w:val="20"/>
          <w:szCs w:val="20"/>
        </w:rPr>
        <w:t xml:space="preserve"> Hukum </w:t>
      </w:r>
      <w:proofErr w:type="spellStart"/>
      <w:r w:rsidRPr="005231C1">
        <w:rPr>
          <w:rFonts w:asciiTheme="majorHAnsi" w:eastAsia="Book Antiqua" w:hAnsiTheme="majorHAnsi" w:cs="Book Antiqua"/>
          <w:sz w:val="20"/>
          <w:szCs w:val="20"/>
        </w:rPr>
        <w:t>Perdata</w:t>
      </w:r>
      <w:proofErr w:type="spellEnd"/>
      <w:r w:rsidRPr="005231C1">
        <w:rPr>
          <w:rFonts w:asciiTheme="majorHAnsi" w:eastAsia="Book Antiqua" w:hAnsiTheme="majorHAnsi" w:cs="Book Antiqua"/>
          <w:sz w:val="20"/>
          <w:szCs w:val="20"/>
        </w:rPr>
        <w:t>.</w:t>
      </w:r>
    </w:p>
  </w:footnote>
  <w:footnote w:id="6">
    <w:p w14:paraId="5793A542"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Manaan</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Damianos</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Sirait</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dkk</w:t>
      </w:r>
      <w:proofErr w:type="spellEnd"/>
      <w:r w:rsidRPr="005231C1">
        <w:rPr>
          <w:rFonts w:asciiTheme="majorHAnsi" w:eastAsia="Book Antiqua" w:hAnsiTheme="majorHAnsi" w:cs="Book Antiqua"/>
          <w:sz w:val="20"/>
          <w:szCs w:val="20"/>
        </w:rPr>
        <w:t>, “</w:t>
      </w:r>
      <w:proofErr w:type="spellStart"/>
      <w:r w:rsidRPr="005231C1">
        <w:rPr>
          <w:rFonts w:asciiTheme="majorHAnsi" w:eastAsia="Book Antiqua" w:hAnsiTheme="majorHAnsi" w:cs="Book Antiqua"/>
          <w:sz w:val="20"/>
          <w:szCs w:val="20"/>
          <w:highlight w:val="white"/>
        </w:rPr>
        <w:t>Asas</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Itikad</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Baik</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dalam</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Perjanjian</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Sewa-Menyewa</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Rumah</w:t>
      </w:r>
      <w:proofErr w:type="spellEnd"/>
      <w:r w:rsidRPr="005231C1">
        <w:rPr>
          <w:rFonts w:asciiTheme="majorHAnsi" w:eastAsia="Book Antiqua" w:hAnsiTheme="majorHAnsi" w:cs="Book Antiqua"/>
          <w:sz w:val="20"/>
          <w:szCs w:val="20"/>
          <w:highlight w:val="white"/>
        </w:rPr>
        <w:t xml:space="preserve"> Kantor”, </w:t>
      </w:r>
      <w:proofErr w:type="spellStart"/>
      <w:r w:rsidRPr="005231C1">
        <w:rPr>
          <w:rFonts w:asciiTheme="majorHAnsi" w:eastAsia="Book Antiqua" w:hAnsiTheme="majorHAnsi" w:cs="Book Antiqua"/>
          <w:sz w:val="20"/>
          <w:szCs w:val="20"/>
          <w:highlight w:val="white"/>
        </w:rPr>
        <w:t>Jurnal</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Analogi</w:t>
      </w:r>
      <w:proofErr w:type="spellEnd"/>
      <w:r w:rsidRPr="005231C1">
        <w:rPr>
          <w:rFonts w:asciiTheme="majorHAnsi" w:eastAsia="Book Antiqua" w:hAnsiTheme="majorHAnsi" w:cs="Book Antiqua"/>
          <w:sz w:val="20"/>
          <w:szCs w:val="20"/>
          <w:highlight w:val="white"/>
        </w:rPr>
        <w:t xml:space="preserve"> Hukum 2</w:t>
      </w:r>
      <w:r w:rsidRPr="005231C1">
        <w:rPr>
          <w:rFonts w:asciiTheme="majorHAnsi" w:eastAsia="Book Antiqua" w:hAnsiTheme="majorHAnsi" w:cs="Book Antiqua"/>
          <w:i/>
          <w:iCs/>
          <w:sz w:val="20"/>
          <w:szCs w:val="20"/>
          <w:highlight w:val="white"/>
        </w:rPr>
        <w:t xml:space="preserve">, </w:t>
      </w:r>
      <w:r w:rsidRPr="005231C1">
        <w:rPr>
          <w:rFonts w:asciiTheme="majorHAnsi" w:eastAsia="Book Antiqua" w:hAnsiTheme="majorHAnsi" w:cs="Book Antiqua"/>
          <w:sz w:val="20"/>
          <w:szCs w:val="20"/>
          <w:highlight w:val="white"/>
        </w:rPr>
        <w:t xml:space="preserve">no. 2 (2020): </w:t>
      </w:r>
      <w:r w:rsidRPr="005231C1">
        <w:rPr>
          <w:rFonts w:asciiTheme="majorHAnsi" w:eastAsia="Book Antiqua" w:hAnsiTheme="majorHAnsi" w:cs="Book Antiqua"/>
          <w:sz w:val="20"/>
          <w:szCs w:val="20"/>
        </w:rPr>
        <w:t>222</w:t>
      </w:r>
    </w:p>
  </w:footnote>
  <w:footnote w:id="7">
    <w:p w14:paraId="5637AAEB" w14:textId="77777777" w:rsidR="005231C1" w:rsidRPr="005231C1" w:rsidRDefault="005231C1" w:rsidP="004B0E39">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Pasal</w:t>
      </w:r>
      <w:proofErr w:type="spellEnd"/>
      <w:r w:rsidRPr="005231C1">
        <w:rPr>
          <w:rFonts w:asciiTheme="majorHAnsi" w:eastAsia="Book Antiqua" w:hAnsiTheme="majorHAnsi" w:cs="Book Antiqua"/>
          <w:sz w:val="20"/>
          <w:szCs w:val="20"/>
        </w:rPr>
        <w:t xml:space="preserve"> 1 </w:t>
      </w:r>
      <w:proofErr w:type="spellStart"/>
      <w:r w:rsidRPr="005231C1">
        <w:rPr>
          <w:rFonts w:asciiTheme="majorHAnsi" w:eastAsia="Book Antiqua" w:hAnsiTheme="majorHAnsi" w:cs="Book Antiqua"/>
          <w:sz w:val="20"/>
          <w:szCs w:val="20"/>
        </w:rPr>
        <w:t>ayat</w:t>
      </w:r>
      <w:proofErr w:type="spellEnd"/>
      <w:r w:rsidRPr="005231C1">
        <w:rPr>
          <w:rFonts w:asciiTheme="majorHAnsi" w:eastAsia="Book Antiqua" w:hAnsiTheme="majorHAnsi" w:cs="Book Antiqua"/>
          <w:sz w:val="20"/>
          <w:szCs w:val="20"/>
        </w:rPr>
        <w:t xml:space="preserve"> (2) </w:t>
      </w:r>
      <w:proofErr w:type="spellStart"/>
      <w:r w:rsidRPr="005231C1">
        <w:rPr>
          <w:rFonts w:asciiTheme="majorHAnsi" w:eastAsia="Book Antiqua" w:hAnsiTheme="majorHAnsi" w:cs="Book Antiqua"/>
          <w:sz w:val="20"/>
          <w:szCs w:val="20"/>
        </w:rPr>
        <w:t>Undang-Undang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Nomor</w:t>
      </w:r>
      <w:proofErr w:type="spellEnd"/>
      <w:r w:rsidRPr="005231C1">
        <w:rPr>
          <w:rFonts w:asciiTheme="majorHAnsi" w:eastAsia="Book Antiqua" w:hAnsiTheme="majorHAnsi" w:cs="Book Antiqua"/>
          <w:sz w:val="20"/>
          <w:szCs w:val="20"/>
        </w:rPr>
        <w:t xml:space="preserve"> 10 </w:t>
      </w:r>
      <w:proofErr w:type="spellStart"/>
      <w:r w:rsidRPr="005231C1">
        <w:rPr>
          <w:rFonts w:asciiTheme="majorHAnsi" w:eastAsia="Book Antiqua" w:hAnsiTheme="majorHAnsi" w:cs="Book Antiqua"/>
          <w:sz w:val="20"/>
          <w:szCs w:val="20"/>
        </w:rPr>
        <w:t>Tahun</w:t>
      </w:r>
      <w:proofErr w:type="spellEnd"/>
      <w:r w:rsidRPr="005231C1">
        <w:rPr>
          <w:rFonts w:asciiTheme="majorHAnsi" w:eastAsia="Book Antiqua" w:hAnsiTheme="majorHAnsi" w:cs="Book Antiqua"/>
          <w:sz w:val="20"/>
          <w:szCs w:val="20"/>
        </w:rPr>
        <w:t xml:space="preserve"> 1998 </w:t>
      </w:r>
      <w:proofErr w:type="spellStart"/>
      <w:r w:rsidRPr="005231C1">
        <w:rPr>
          <w:rFonts w:asciiTheme="majorHAnsi" w:eastAsia="Book Antiqua" w:hAnsiTheme="majorHAnsi" w:cs="Book Antiqua"/>
          <w:color w:val="181C32"/>
          <w:sz w:val="20"/>
          <w:szCs w:val="20"/>
        </w:rPr>
        <w:t>tentang</w:t>
      </w:r>
      <w:proofErr w:type="spellEnd"/>
      <w:r w:rsidRPr="005231C1">
        <w:rPr>
          <w:rFonts w:asciiTheme="majorHAnsi" w:eastAsia="Book Antiqua" w:hAnsiTheme="majorHAnsi" w:cs="Book Antiqua"/>
          <w:color w:val="181C32"/>
          <w:sz w:val="20"/>
          <w:szCs w:val="20"/>
        </w:rPr>
        <w:t xml:space="preserve"> </w:t>
      </w:r>
      <w:proofErr w:type="spellStart"/>
      <w:r w:rsidRPr="005231C1">
        <w:rPr>
          <w:rFonts w:asciiTheme="majorHAnsi" w:eastAsia="Book Antiqua" w:hAnsiTheme="majorHAnsi" w:cs="Book Antiqua"/>
          <w:color w:val="181C32"/>
          <w:sz w:val="20"/>
          <w:szCs w:val="20"/>
        </w:rPr>
        <w:t>Perubahan</w:t>
      </w:r>
      <w:proofErr w:type="spellEnd"/>
      <w:r w:rsidRPr="005231C1">
        <w:rPr>
          <w:rFonts w:asciiTheme="majorHAnsi" w:eastAsia="Book Antiqua" w:hAnsiTheme="majorHAnsi" w:cs="Book Antiqua"/>
          <w:color w:val="181C32"/>
          <w:sz w:val="20"/>
          <w:szCs w:val="20"/>
        </w:rPr>
        <w:t xml:space="preserve"> </w:t>
      </w:r>
      <w:proofErr w:type="spellStart"/>
      <w:r w:rsidRPr="005231C1">
        <w:rPr>
          <w:rFonts w:asciiTheme="majorHAnsi" w:eastAsia="Book Antiqua" w:hAnsiTheme="majorHAnsi" w:cs="Book Antiqua"/>
          <w:color w:val="181C32"/>
          <w:sz w:val="20"/>
          <w:szCs w:val="20"/>
        </w:rPr>
        <w:t>atas</w:t>
      </w:r>
      <w:proofErr w:type="spellEnd"/>
      <w:r w:rsidRPr="005231C1">
        <w:rPr>
          <w:rFonts w:asciiTheme="majorHAnsi" w:eastAsia="Book Antiqua" w:hAnsiTheme="majorHAnsi" w:cs="Book Antiqua"/>
          <w:color w:val="181C32"/>
          <w:sz w:val="20"/>
          <w:szCs w:val="20"/>
        </w:rPr>
        <w:t xml:space="preserve"> </w:t>
      </w:r>
      <w:proofErr w:type="spellStart"/>
      <w:r w:rsidRPr="005231C1">
        <w:rPr>
          <w:rFonts w:asciiTheme="majorHAnsi" w:eastAsia="Book Antiqua" w:hAnsiTheme="majorHAnsi" w:cs="Book Antiqua"/>
          <w:color w:val="181C32"/>
          <w:sz w:val="20"/>
          <w:szCs w:val="20"/>
        </w:rPr>
        <w:t>Undang-Undang</w:t>
      </w:r>
      <w:proofErr w:type="spellEnd"/>
      <w:r w:rsidRPr="005231C1">
        <w:rPr>
          <w:rFonts w:asciiTheme="majorHAnsi" w:eastAsia="Book Antiqua" w:hAnsiTheme="majorHAnsi" w:cs="Book Antiqua"/>
          <w:color w:val="181C32"/>
          <w:sz w:val="20"/>
          <w:szCs w:val="20"/>
        </w:rPr>
        <w:t xml:space="preserve"> </w:t>
      </w:r>
      <w:proofErr w:type="spellStart"/>
      <w:r w:rsidRPr="005231C1">
        <w:rPr>
          <w:rFonts w:asciiTheme="majorHAnsi" w:eastAsia="Book Antiqua" w:hAnsiTheme="majorHAnsi" w:cs="Book Antiqua"/>
          <w:color w:val="181C32"/>
          <w:sz w:val="20"/>
          <w:szCs w:val="20"/>
        </w:rPr>
        <w:t>Nomor</w:t>
      </w:r>
      <w:proofErr w:type="spellEnd"/>
      <w:r w:rsidRPr="005231C1">
        <w:rPr>
          <w:rFonts w:asciiTheme="majorHAnsi" w:eastAsia="Book Antiqua" w:hAnsiTheme="majorHAnsi" w:cs="Book Antiqua"/>
          <w:color w:val="181C32"/>
          <w:sz w:val="20"/>
          <w:szCs w:val="20"/>
        </w:rPr>
        <w:t xml:space="preserve"> 7 </w:t>
      </w:r>
      <w:proofErr w:type="spellStart"/>
      <w:r w:rsidRPr="005231C1">
        <w:rPr>
          <w:rFonts w:asciiTheme="majorHAnsi" w:eastAsia="Book Antiqua" w:hAnsiTheme="majorHAnsi" w:cs="Book Antiqua"/>
          <w:color w:val="181C32"/>
          <w:sz w:val="20"/>
          <w:szCs w:val="20"/>
        </w:rPr>
        <w:t>Tahun</w:t>
      </w:r>
      <w:proofErr w:type="spellEnd"/>
      <w:r w:rsidRPr="005231C1">
        <w:rPr>
          <w:rFonts w:asciiTheme="majorHAnsi" w:eastAsia="Book Antiqua" w:hAnsiTheme="majorHAnsi" w:cs="Book Antiqua"/>
          <w:color w:val="181C32"/>
          <w:sz w:val="20"/>
          <w:szCs w:val="20"/>
        </w:rPr>
        <w:t xml:space="preserve"> 1992 </w:t>
      </w:r>
      <w:proofErr w:type="spellStart"/>
      <w:r w:rsidRPr="005231C1">
        <w:rPr>
          <w:rFonts w:asciiTheme="majorHAnsi" w:eastAsia="Book Antiqua" w:hAnsiTheme="majorHAnsi" w:cs="Book Antiqua"/>
          <w:color w:val="181C32"/>
          <w:sz w:val="20"/>
          <w:szCs w:val="20"/>
        </w:rPr>
        <w:t>tentang</w:t>
      </w:r>
      <w:proofErr w:type="spellEnd"/>
      <w:r w:rsidRPr="005231C1">
        <w:rPr>
          <w:rFonts w:asciiTheme="majorHAnsi" w:eastAsia="Book Antiqua" w:hAnsiTheme="majorHAnsi" w:cs="Book Antiqua"/>
          <w:color w:val="181C32"/>
          <w:sz w:val="20"/>
          <w:szCs w:val="20"/>
        </w:rPr>
        <w:t xml:space="preserve"> </w:t>
      </w:r>
      <w:proofErr w:type="spellStart"/>
      <w:r w:rsidRPr="005231C1">
        <w:rPr>
          <w:rFonts w:asciiTheme="majorHAnsi" w:eastAsia="Book Antiqua" w:hAnsiTheme="majorHAnsi" w:cs="Book Antiqua"/>
          <w:color w:val="181C32"/>
          <w:sz w:val="20"/>
          <w:szCs w:val="20"/>
        </w:rPr>
        <w:t>Perbankan</w:t>
      </w:r>
      <w:proofErr w:type="spellEnd"/>
      <w:r w:rsidRPr="005231C1">
        <w:rPr>
          <w:rFonts w:asciiTheme="majorHAnsi" w:eastAsia="Book Antiqua" w:hAnsiTheme="majorHAnsi" w:cs="Book Antiqua"/>
          <w:color w:val="181C32"/>
          <w:sz w:val="20"/>
          <w:szCs w:val="20"/>
        </w:rPr>
        <w:t>.</w:t>
      </w:r>
    </w:p>
  </w:footnote>
  <w:footnote w:id="8">
    <w:p w14:paraId="30A4E053" w14:textId="77777777" w:rsidR="005231C1" w:rsidRPr="004B0E39" w:rsidRDefault="005231C1" w:rsidP="004B0E39">
      <w:pPr>
        <w:spacing w:after="0" w:line="240" w:lineRule="auto"/>
        <w:jc w:val="both"/>
        <w:rPr>
          <w:rFonts w:asciiTheme="majorHAnsi" w:eastAsia="Book Antiqua" w:hAnsiTheme="majorHAnsi" w:cs="Book Antiqua"/>
          <w:sz w:val="20"/>
          <w:szCs w:val="20"/>
        </w:rPr>
      </w:pPr>
      <w:r w:rsidRPr="004B0E39">
        <w:rPr>
          <w:rFonts w:asciiTheme="majorHAnsi" w:hAnsiTheme="majorHAnsi"/>
          <w:sz w:val="20"/>
          <w:szCs w:val="20"/>
          <w:vertAlign w:val="superscript"/>
        </w:rPr>
        <w:footnoteRef/>
      </w:r>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Rachmadi</w:t>
      </w:r>
      <w:proofErr w:type="spellEnd"/>
      <w:r w:rsidRPr="004B0E39">
        <w:rPr>
          <w:rFonts w:asciiTheme="majorHAnsi" w:eastAsia="Book Antiqua" w:hAnsiTheme="majorHAnsi" w:cs="Book Antiqua"/>
          <w:sz w:val="20"/>
          <w:szCs w:val="20"/>
        </w:rPr>
        <w:t xml:space="preserve"> Usman, Hukum </w:t>
      </w:r>
      <w:proofErr w:type="spellStart"/>
      <w:r w:rsidRPr="004B0E39">
        <w:rPr>
          <w:rFonts w:asciiTheme="majorHAnsi" w:eastAsia="Book Antiqua" w:hAnsiTheme="majorHAnsi" w:cs="Book Antiqua"/>
          <w:sz w:val="20"/>
          <w:szCs w:val="20"/>
        </w:rPr>
        <w:t>Jaminan</w:t>
      </w:r>
      <w:proofErr w:type="spellEnd"/>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Kebendaan</w:t>
      </w:r>
      <w:proofErr w:type="spellEnd"/>
      <w:r w:rsidRPr="004B0E39">
        <w:rPr>
          <w:rFonts w:asciiTheme="majorHAnsi" w:eastAsia="Book Antiqua" w:hAnsiTheme="majorHAnsi" w:cs="Book Antiqua"/>
          <w:sz w:val="20"/>
          <w:szCs w:val="20"/>
        </w:rPr>
        <w:t xml:space="preserve"> Tanah “</w:t>
      </w:r>
      <w:proofErr w:type="spellStart"/>
      <w:r w:rsidRPr="004B0E39">
        <w:rPr>
          <w:rFonts w:asciiTheme="majorHAnsi" w:eastAsia="Book Antiqua" w:hAnsiTheme="majorHAnsi" w:cs="Book Antiqua"/>
          <w:sz w:val="20"/>
          <w:szCs w:val="20"/>
        </w:rPr>
        <w:t>Hak</w:t>
      </w:r>
      <w:proofErr w:type="spellEnd"/>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Tanggungan</w:t>
      </w:r>
      <w:proofErr w:type="spellEnd"/>
      <w:r w:rsidRPr="004B0E39">
        <w:rPr>
          <w:rFonts w:asciiTheme="majorHAnsi" w:eastAsia="Book Antiqua" w:hAnsiTheme="majorHAnsi" w:cs="Book Antiqua"/>
          <w:sz w:val="20"/>
          <w:szCs w:val="20"/>
        </w:rPr>
        <w:t xml:space="preserve">” (Malang: PT. </w:t>
      </w:r>
      <w:proofErr w:type="spellStart"/>
      <w:r w:rsidRPr="004B0E39">
        <w:rPr>
          <w:rFonts w:asciiTheme="majorHAnsi" w:eastAsia="Book Antiqua" w:hAnsiTheme="majorHAnsi" w:cs="Book Antiqua"/>
          <w:sz w:val="20"/>
          <w:szCs w:val="20"/>
        </w:rPr>
        <w:t>Literasi</w:t>
      </w:r>
      <w:proofErr w:type="spellEnd"/>
      <w:r w:rsidRPr="004B0E39">
        <w:rPr>
          <w:rFonts w:asciiTheme="majorHAnsi" w:eastAsia="Book Antiqua" w:hAnsiTheme="majorHAnsi" w:cs="Book Antiqua"/>
          <w:sz w:val="20"/>
          <w:szCs w:val="20"/>
        </w:rPr>
        <w:t xml:space="preserve"> Nusantara Abadi </w:t>
      </w:r>
      <w:proofErr w:type="spellStart"/>
      <w:r w:rsidRPr="004B0E39">
        <w:rPr>
          <w:rFonts w:asciiTheme="majorHAnsi" w:eastAsia="Book Antiqua" w:hAnsiTheme="majorHAnsi" w:cs="Book Antiqua"/>
          <w:sz w:val="20"/>
          <w:szCs w:val="20"/>
        </w:rPr>
        <w:t>Grup</w:t>
      </w:r>
      <w:proofErr w:type="spellEnd"/>
      <w:r w:rsidRPr="004B0E39">
        <w:rPr>
          <w:rFonts w:asciiTheme="majorHAnsi" w:eastAsia="Book Antiqua" w:hAnsiTheme="majorHAnsi" w:cs="Book Antiqua"/>
          <w:sz w:val="20"/>
          <w:szCs w:val="20"/>
        </w:rPr>
        <w:t>, 2024), 3.</w:t>
      </w:r>
    </w:p>
  </w:footnote>
  <w:footnote w:id="9">
    <w:p w14:paraId="403E99A8" w14:textId="77777777" w:rsidR="005231C1" w:rsidRPr="004B0E39" w:rsidRDefault="005231C1" w:rsidP="004B0E39">
      <w:pPr>
        <w:spacing w:after="0" w:line="240" w:lineRule="auto"/>
        <w:jc w:val="both"/>
        <w:rPr>
          <w:rFonts w:asciiTheme="majorHAnsi" w:eastAsia="Book Antiqua" w:hAnsiTheme="majorHAnsi" w:cs="Book Antiqua"/>
          <w:sz w:val="20"/>
          <w:szCs w:val="20"/>
        </w:rPr>
      </w:pPr>
      <w:r w:rsidRPr="004B0E39">
        <w:rPr>
          <w:rFonts w:asciiTheme="majorHAnsi" w:hAnsiTheme="majorHAnsi"/>
          <w:sz w:val="20"/>
          <w:szCs w:val="20"/>
          <w:vertAlign w:val="superscript"/>
        </w:rPr>
        <w:footnoteRef/>
      </w:r>
      <w:r w:rsidRPr="004B0E39">
        <w:rPr>
          <w:rFonts w:asciiTheme="majorHAnsi" w:eastAsia="Book Antiqua" w:hAnsiTheme="majorHAnsi" w:cs="Book Antiqua"/>
          <w:sz w:val="20"/>
          <w:szCs w:val="20"/>
        </w:rPr>
        <w:t xml:space="preserve"> Sri </w:t>
      </w:r>
      <w:proofErr w:type="spellStart"/>
      <w:r w:rsidRPr="004B0E39">
        <w:rPr>
          <w:rFonts w:asciiTheme="majorHAnsi" w:eastAsia="Book Antiqua" w:hAnsiTheme="majorHAnsi" w:cs="Book Antiqua"/>
          <w:sz w:val="20"/>
          <w:szCs w:val="20"/>
        </w:rPr>
        <w:t>Soedewi</w:t>
      </w:r>
      <w:proofErr w:type="spellEnd"/>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Masjchoen</w:t>
      </w:r>
      <w:proofErr w:type="spellEnd"/>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Sofwan</w:t>
      </w:r>
      <w:proofErr w:type="spellEnd"/>
      <w:r w:rsidRPr="004B0E39">
        <w:rPr>
          <w:rFonts w:asciiTheme="majorHAnsi" w:eastAsia="Book Antiqua" w:hAnsiTheme="majorHAnsi" w:cs="Book Antiqua"/>
          <w:sz w:val="20"/>
          <w:szCs w:val="20"/>
        </w:rPr>
        <w:t xml:space="preserve">, Hukum </w:t>
      </w:r>
      <w:proofErr w:type="spellStart"/>
      <w:r w:rsidRPr="004B0E39">
        <w:rPr>
          <w:rFonts w:asciiTheme="majorHAnsi" w:eastAsia="Book Antiqua" w:hAnsiTheme="majorHAnsi" w:cs="Book Antiqua"/>
          <w:sz w:val="20"/>
          <w:szCs w:val="20"/>
        </w:rPr>
        <w:t>Jaminan</w:t>
      </w:r>
      <w:proofErr w:type="spellEnd"/>
      <w:r w:rsidRPr="004B0E39">
        <w:rPr>
          <w:rFonts w:asciiTheme="majorHAnsi" w:eastAsia="Book Antiqua" w:hAnsiTheme="majorHAnsi" w:cs="Book Antiqua"/>
          <w:sz w:val="20"/>
          <w:szCs w:val="20"/>
        </w:rPr>
        <w:t xml:space="preserve"> Di Indonesia </w:t>
      </w:r>
      <w:proofErr w:type="spellStart"/>
      <w:r w:rsidRPr="004B0E39">
        <w:rPr>
          <w:rFonts w:asciiTheme="majorHAnsi" w:eastAsia="Book Antiqua" w:hAnsiTheme="majorHAnsi" w:cs="Book Antiqua"/>
          <w:sz w:val="20"/>
          <w:szCs w:val="20"/>
        </w:rPr>
        <w:t>Pokok</w:t>
      </w:r>
      <w:proofErr w:type="spellEnd"/>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Pokok</w:t>
      </w:r>
      <w:proofErr w:type="spellEnd"/>
      <w:r w:rsidRPr="004B0E39">
        <w:rPr>
          <w:rFonts w:asciiTheme="majorHAnsi" w:eastAsia="Book Antiqua" w:hAnsiTheme="majorHAnsi" w:cs="Book Antiqua"/>
          <w:sz w:val="20"/>
          <w:szCs w:val="20"/>
        </w:rPr>
        <w:t xml:space="preserve"> Hukum </w:t>
      </w:r>
      <w:proofErr w:type="spellStart"/>
      <w:r w:rsidRPr="004B0E39">
        <w:rPr>
          <w:rFonts w:asciiTheme="majorHAnsi" w:eastAsia="Book Antiqua" w:hAnsiTheme="majorHAnsi" w:cs="Book Antiqua"/>
          <w:sz w:val="20"/>
          <w:szCs w:val="20"/>
        </w:rPr>
        <w:t>Jaminan</w:t>
      </w:r>
      <w:proofErr w:type="spellEnd"/>
      <w:r w:rsidRPr="004B0E39">
        <w:rPr>
          <w:rFonts w:asciiTheme="majorHAnsi" w:eastAsia="Book Antiqua" w:hAnsiTheme="majorHAnsi" w:cs="Book Antiqua"/>
          <w:sz w:val="20"/>
          <w:szCs w:val="20"/>
        </w:rPr>
        <w:t xml:space="preserve"> Dan </w:t>
      </w:r>
      <w:proofErr w:type="spellStart"/>
      <w:r w:rsidRPr="004B0E39">
        <w:rPr>
          <w:rFonts w:asciiTheme="majorHAnsi" w:eastAsia="Book Antiqua" w:hAnsiTheme="majorHAnsi" w:cs="Book Antiqua"/>
          <w:sz w:val="20"/>
          <w:szCs w:val="20"/>
        </w:rPr>
        <w:t>Jaminan</w:t>
      </w:r>
      <w:proofErr w:type="spellEnd"/>
      <w:r w:rsidRPr="004B0E39">
        <w:rPr>
          <w:rFonts w:asciiTheme="majorHAnsi" w:eastAsia="Book Antiqua" w:hAnsiTheme="majorHAnsi" w:cs="Book Antiqua"/>
          <w:sz w:val="20"/>
          <w:szCs w:val="20"/>
        </w:rPr>
        <w:t xml:space="preserve"> </w:t>
      </w:r>
      <w:proofErr w:type="spellStart"/>
      <w:r w:rsidRPr="004B0E39">
        <w:rPr>
          <w:rFonts w:asciiTheme="majorHAnsi" w:eastAsia="Book Antiqua" w:hAnsiTheme="majorHAnsi" w:cs="Book Antiqua"/>
          <w:sz w:val="20"/>
          <w:szCs w:val="20"/>
        </w:rPr>
        <w:t>Perorangan</w:t>
      </w:r>
      <w:proofErr w:type="spellEnd"/>
      <w:r w:rsidRPr="004B0E39">
        <w:rPr>
          <w:rFonts w:asciiTheme="majorHAnsi" w:eastAsia="Book Antiqua" w:hAnsiTheme="majorHAnsi" w:cs="Book Antiqua"/>
          <w:sz w:val="20"/>
          <w:szCs w:val="20"/>
        </w:rPr>
        <w:t xml:space="preserve"> (Yogyakarta: Liberty, 1980), 45. </w:t>
      </w:r>
    </w:p>
  </w:footnote>
  <w:footnote w:id="10">
    <w:p w14:paraId="3C99A324" w14:textId="77777777" w:rsidR="005231C1" w:rsidRPr="004B0E39" w:rsidRDefault="005231C1" w:rsidP="004B0E39">
      <w:pPr>
        <w:spacing w:after="0" w:line="240" w:lineRule="auto"/>
        <w:jc w:val="both"/>
        <w:rPr>
          <w:rFonts w:asciiTheme="majorHAnsi" w:eastAsia="Book Antiqua" w:hAnsiTheme="majorHAnsi" w:cs="Book Antiqua"/>
          <w:sz w:val="20"/>
          <w:szCs w:val="20"/>
          <w:lang w:val="fi-FI"/>
        </w:rPr>
      </w:pPr>
      <w:r w:rsidRPr="004B0E39">
        <w:rPr>
          <w:rFonts w:asciiTheme="majorHAnsi" w:hAnsiTheme="majorHAnsi"/>
          <w:sz w:val="20"/>
          <w:szCs w:val="20"/>
          <w:vertAlign w:val="superscript"/>
        </w:rPr>
        <w:footnoteRef/>
      </w:r>
      <w:r w:rsidRPr="004B0E39">
        <w:rPr>
          <w:rFonts w:asciiTheme="majorHAnsi" w:eastAsia="Book Antiqua" w:hAnsiTheme="majorHAnsi" w:cs="Book Antiqua"/>
          <w:sz w:val="20"/>
          <w:szCs w:val="20"/>
          <w:lang w:val="fi-FI"/>
        </w:rPr>
        <w:t xml:space="preserve"> </w:t>
      </w:r>
      <w:r w:rsidRPr="004B0E39">
        <w:rPr>
          <w:rFonts w:asciiTheme="majorHAnsi" w:eastAsia="Book Antiqua" w:hAnsiTheme="majorHAnsi" w:cs="Book Antiqua"/>
          <w:sz w:val="20"/>
          <w:szCs w:val="20"/>
          <w:lang w:val="fi-FI"/>
        </w:rPr>
        <w:t>Rachmadi Usman, Hukum Jaminan Keperdataan (Jakarta : Sinar Grafika, 2008), 74.</w:t>
      </w:r>
    </w:p>
  </w:footnote>
  <w:footnote w:id="11">
    <w:p w14:paraId="6D145F23"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4B0E39">
        <w:rPr>
          <w:rFonts w:asciiTheme="majorHAnsi" w:hAnsiTheme="majorHAnsi"/>
          <w:sz w:val="20"/>
          <w:szCs w:val="20"/>
          <w:vertAlign w:val="superscript"/>
        </w:rPr>
        <w:footnoteRef/>
      </w:r>
      <w:r w:rsidRPr="004B0E39">
        <w:rPr>
          <w:rFonts w:asciiTheme="majorHAnsi" w:eastAsia="Book Antiqua" w:hAnsiTheme="majorHAnsi" w:cs="Book Antiqua"/>
          <w:sz w:val="20"/>
          <w:szCs w:val="20"/>
          <w:lang w:val="fi-FI"/>
        </w:rPr>
        <w:t xml:space="preserve"> </w:t>
      </w:r>
      <w:r w:rsidRPr="004B0E39">
        <w:rPr>
          <w:rFonts w:asciiTheme="majorHAnsi" w:eastAsia="Book Antiqua" w:hAnsiTheme="majorHAnsi" w:cs="Book Antiqua"/>
          <w:sz w:val="20"/>
          <w:szCs w:val="20"/>
          <w:lang w:val="fi-FI"/>
        </w:rPr>
        <w:t xml:space="preserve">Lila Kurniawati, </w:t>
      </w:r>
      <w:r w:rsidRPr="004B0E39">
        <w:rPr>
          <w:rFonts w:asciiTheme="majorHAnsi" w:eastAsia="Book Antiqua" w:hAnsiTheme="majorHAnsi" w:cs="Book Antiqua"/>
          <w:sz w:val="20"/>
          <w:szCs w:val="20"/>
          <w:highlight w:val="white"/>
          <w:lang w:val="fi-FI"/>
        </w:rPr>
        <w:t xml:space="preserve">Khisni, dan Lathifah Hanim, "Implementasi Asas Droit De Preference Terhadap Jaminan Hak Tanggungan Oleh Pihak Perbankan Dalam Perjanjian Kredit," Jurnal Akta 4, no. 1 (2017): 99. </w:t>
      </w:r>
      <w:hyperlink r:id="rId1">
        <w:r w:rsidRPr="004B0E39">
          <w:rPr>
            <w:rFonts w:asciiTheme="majorHAnsi" w:eastAsia="Book Antiqua" w:hAnsiTheme="majorHAnsi" w:cs="Book Antiqua"/>
            <w:sz w:val="20"/>
            <w:szCs w:val="20"/>
            <w:highlight w:val="white"/>
            <w:lang w:val="fi-FI"/>
          </w:rPr>
          <w:t>https://doi.org/10.30659/akta.v4i1.1750</w:t>
        </w:r>
      </w:hyperlink>
      <w:r w:rsidRPr="004B0E39">
        <w:rPr>
          <w:rFonts w:asciiTheme="majorHAnsi" w:eastAsia="Book Antiqua" w:hAnsiTheme="majorHAnsi" w:cs="Book Antiqua"/>
          <w:sz w:val="20"/>
          <w:szCs w:val="20"/>
          <w:highlight w:val="white"/>
          <w:lang w:val="fi-FI"/>
        </w:rPr>
        <w:t>.</w:t>
      </w:r>
      <w:r w:rsidRPr="005231C1">
        <w:rPr>
          <w:rFonts w:asciiTheme="majorHAnsi" w:eastAsia="Book Antiqua" w:hAnsiTheme="majorHAnsi" w:cs="Book Antiqua"/>
          <w:sz w:val="20"/>
          <w:szCs w:val="20"/>
          <w:highlight w:val="white"/>
          <w:lang w:val="fi-FI"/>
        </w:rPr>
        <w:t xml:space="preserve"> </w:t>
      </w:r>
    </w:p>
  </w:footnote>
  <w:footnote w:id="12">
    <w:p w14:paraId="4192B15C"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w:t>
      </w:r>
      <w:r w:rsidRPr="005231C1">
        <w:rPr>
          <w:rFonts w:asciiTheme="majorHAnsi" w:eastAsia="Book Antiqua" w:hAnsiTheme="majorHAnsi" w:cs="Book Antiqua"/>
          <w:sz w:val="20"/>
          <w:szCs w:val="20"/>
          <w:highlight w:val="white"/>
          <w:lang w:val="fi-FI"/>
        </w:rPr>
        <w:t>Uswatun Hasanah, Hukum Jaminan: Konsep dan Pengaturannya di Indonesia (Malang: Setara Press, 2021), 74.</w:t>
      </w:r>
    </w:p>
  </w:footnote>
  <w:footnote w:id="13">
    <w:p w14:paraId="33AAE2C6"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Luh Sunari Dewi Sri Muspadi, “Perlindungan Hukum Terhadap Penyewa Atas Objek Sewa Menyewa Tanah yang Masih Dibebani Hak Tanggungan” (Skripsi., Universitas Warmadewa, 2026).</w:t>
      </w:r>
    </w:p>
  </w:footnote>
  <w:footnote w:id="14">
    <w:p w14:paraId="3DCAA34A"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Dewa Gede Swamitra Mahottama, “Perlindungan Hukum Pemegang Hak Sewa Dalam Kepemilikan  Atas  Objek  Sewa  Tanah  Yang  Berada  Dalam Eksekusi   Hak   Tanggungan   Menurut   Hukum   Positif   Di Indonesia,” Jurnal Pacta Sunt Servanda 6,</w:t>
      </w:r>
      <w:r w:rsidRPr="005231C1">
        <w:rPr>
          <w:rFonts w:asciiTheme="majorHAnsi" w:eastAsia="Book Antiqua" w:hAnsiTheme="majorHAnsi" w:cs="Book Antiqua"/>
          <w:i/>
          <w:iCs/>
          <w:sz w:val="20"/>
          <w:szCs w:val="20"/>
          <w:lang w:val="fi-FI"/>
        </w:rPr>
        <w:t xml:space="preserve"> </w:t>
      </w:r>
      <w:r w:rsidRPr="005231C1">
        <w:rPr>
          <w:rFonts w:asciiTheme="majorHAnsi" w:eastAsia="Book Antiqua" w:hAnsiTheme="majorHAnsi" w:cs="Book Antiqua"/>
          <w:sz w:val="20"/>
          <w:szCs w:val="20"/>
          <w:lang w:val="fi-FI"/>
        </w:rPr>
        <w:t xml:space="preserve">no. 1 (2025): 2723-7435, </w:t>
      </w:r>
      <w:r w:rsidRPr="005231C1">
        <w:rPr>
          <w:rFonts w:asciiTheme="majorHAnsi" w:eastAsia="Book Antiqua" w:hAnsiTheme="majorHAnsi" w:cs="Book Antiqua"/>
          <w:sz w:val="20"/>
          <w:szCs w:val="20"/>
          <w:highlight w:val="white"/>
          <w:lang w:val="fi-FI"/>
        </w:rPr>
        <w:t xml:space="preserve">https://ejournal2.undiksha.ac.id/index.php/JPSS. </w:t>
      </w:r>
    </w:p>
  </w:footnote>
  <w:footnote w:id="15">
    <w:p w14:paraId="7157872D" w14:textId="77777777" w:rsidR="005231C1" w:rsidRPr="005231C1" w:rsidRDefault="005231C1" w:rsidP="004B0E39">
      <w:pPr>
        <w:pStyle w:val="FootnoteText"/>
        <w:jc w:val="both"/>
        <w:rPr>
          <w:rFonts w:asciiTheme="majorHAnsi" w:hAnsiTheme="majorHAnsi"/>
          <w:lang w:val="fi-FI"/>
        </w:rPr>
      </w:pPr>
      <w:r w:rsidRPr="005231C1">
        <w:rPr>
          <w:rStyle w:val="FootnoteReference"/>
          <w:rFonts w:asciiTheme="majorHAnsi" w:hAnsiTheme="majorHAnsi"/>
        </w:rPr>
        <w:footnoteRef/>
      </w:r>
      <w:r w:rsidRPr="005231C1">
        <w:rPr>
          <w:rFonts w:asciiTheme="majorHAnsi" w:hAnsiTheme="majorHAnsi"/>
          <w:lang w:val="fi-FI"/>
        </w:rPr>
        <w:t xml:space="preserve"> </w:t>
      </w:r>
      <w:r w:rsidRPr="005231C1">
        <w:rPr>
          <w:rFonts w:asciiTheme="majorHAnsi" w:eastAsia="Times New Roman" w:hAnsiTheme="majorHAnsi"/>
          <w:lang w:val="fi-FI"/>
        </w:rPr>
        <w:t xml:space="preserve">Peter Mahmud Marzuki, </w:t>
      </w:r>
      <w:r w:rsidRPr="005231C1">
        <w:rPr>
          <w:rFonts w:asciiTheme="majorHAnsi" w:eastAsia="Times New Roman" w:hAnsiTheme="majorHAnsi"/>
          <w:i/>
          <w:iCs/>
          <w:lang w:val="fi-FI"/>
        </w:rPr>
        <w:t>Penelitian Hukum</w:t>
      </w:r>
      <w:r w:rsidRPr="005231C1">
        <w:rPr>
          <w:rFonts w:asciiTheme="majorHAnsi" w:eastAsia="Times New Roman" w:hAnsiTheme="majorHAnsi"/>
          <w:lang w:val="fi-FI"/>
        </w:rPr>
        <w:t xml:space="preserve"> (Kencana, 2005).</w:t>
      </w:r>
    </w:p>
  </w:footnote>
  <w:footnote w:id="16">
    <w:p w14:paraId="5AF90029" w14:textId="77777777" w:rsidR="005231C1" w:rsidRPr="005231C1" w:rsidRDefault="005231C1" w:rsidP="004B0E39">
      <w:pPr>
        <w:spacing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Aries Harianto, Hukum Ketenagakerjaan: Makna Kesusilaan dalam Perjanjian Kerja, (Yogyakarta: Laksbang Pressindo, 2016), 198.</w:t>
      </w:r>
    </w:p>
  </w:footnote>
  <w:footnote w:id="17">
    <w:p w14:paraId="1D880FAB"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Salim H.S., Hukum Kontrak Teori; Teknik Penyusunan Kontrak (Jakarta : Sinar Grafika, 2006), 58.</w:t>
      </w:r>
    </w:p>
  </w:footnote>
  <w:footnote w:id="18">
    <w:p w14:paraId="07CDE6BF"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w:t>
      </w:r>
      <w:r w:rsidRPr="005231C1">
        <w:rPr>
          <w:rFonts w:asciiTheme="majorHAnsi" w:eastAsia="Book Antiqua" w:hAnsiTheme="majorHAnsi" w:cs="Book Antiqua"/>
          <w:sz w:val="20"/>
          <w:szCs w:val="20"/>
          <w:highlight w:val="white"/>
          <w:lang w:val="fi-FI"/>
        </w:rPr>
        <w:t>Mahlafi, R. F. F., “Tinjauan Yuridis Wanprestasi Dalam Perjanjian Sewa Menyewa Rumah (Studi Putusan Nomor 177/Pdt. G/2019/PN. Jkt. Utr),” Journal Sains Student Research 1, no. 1 (2023) : 3.</w:t>
      </w:r>
    </w:p>
  </w:footnote>
  <w:footnote w:id="19">
    <w:p w14:paraId="0119D5C7"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w:t>
      </w:r>
      <w:r w:rsidRPr="005231C1">
        <w:rPr>
          <w:rFonts w:asciiTheme="majorHAnsi" w:eastAsia="Book Antiqua" w:hAnsiTheme="majorHAnsi" w:cs="Book Antiqua"/>
          <w:sz w:val="20"/>
          <w:szCs w:val="20"/>
          <w:highlight w:val="white"/>
          <w:lang w:val="fi-FI"/>
        </w:rPr>
        <w:t>Syahidah, A. A., &amp; Handayani, S. W., “Tanggung Jawab Pemilik Tanah Terhadap Penyewa Atas Sengketa Hak Sewa Tanah yang Tidak Terdaftar di BPN,” Al-Zayn: Jurnal Ilmu Sosial &amp; Hukum 3, no. 6, (2025) : 6.</w:t>
      </w:r>
    </w:p>
  </w:footnote>
  <w:footnote w:id="20">
    <w:p w14:paraId="572AE319"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Subekti, Pokok Pokok Hukum Perdata (Jakarta: PT Internusa, 2003), 69.</w:t>
      </w:r>
    </w:p>
  </w:footnote>
  <w:footnote w:id="21">
    <w:p w14:paraId="23570B94" w14:textId="77777777" w:rsidR="005231C1" w:rsidRPr="005231C1" w:rsidRDefault="005231C1" w:rsidP="004B0E39">
      <w:pPr>
        <w:spacing w:after="0" w:line="240" w:lineRule="auto"/>
        <w:jc w:val="both"/>
        <w:rPr>
          <w:rFonts w:asciiTheme="majorHAnsi" w:hAnsiTheme="majorHAnsi"/>
          <w:sz w:val="20"/>
          <w:szCs w:val="20"/>
          <w:lang w:val="fi-FI"/>
        </w:rPr>
      </w:pPr>
      <w:r w:rsidRPr="005231C1">
        <w:rPr>
          <w:rFonts w:asciiTheme="majorHAnsi" w:hAnsiTheme="majorHAnsi"/>
          <w:sz w:val="20"/>
          <w:szCs w:val="20"/>
          <w:vertAlign w:val="superscript"/>
        </w:rPr>
        <w:footnoteRef/>
      </w:r>
      <w:r w:rsidRPr="005231C1">
        <w:rPr>
          <w:rFonts w:asciiTheme="majorHAnsi" w:hAnsiTheme="majorHAnsi"/>
          <w:sz w:val="20"/>
          <w:szCs w:val="20"/>
          <w:lang w:val="fi-FI"/>
        </w:rPr>
        <w:t xml:space="preserve"> </w:t>
      </w:r>
      <w:r w:rsidRPr="005231C1">
        <w:rPr>
          <w:rFonts w:asciiTheme="majorHAnsi" w:eastAsia="Book Antiqua" w:hAnsiTheme="majorHAnsi" w:cs="Book Antiqua"/>
          <w:i/>
          <w:iCs/>
          <w:sz w:val="20"/>
          <w:szCs w:val="20"/>
          <w:lang w:val="fi-FI"/>
        </w:rPr>
        <w:t>Ibid</w:t>
      </w:r>
      <w:r w:rsidRPr="005231C1">
        <w:rPr>
          <w:rFonts w:asciiTheme="majorHAnsi" w:hAnsiTheme="majorHAnsi"/>
          <w:sz w:val="20"/>
          <w:szCs w:val="20"/>
          <w:lang w:val="fi-FI"/>
        </w:rPr>
        <w:t>.</w:t>
      </w:r>
    </w:p>
  </w:footnote>
  <w:footnote w:id="22">
    <w:p w14:paraId="5D63F55F"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Badriyah Harun, Penyelesaian Kredit Bermasalah (Jakarta : Suka Buku, 2010), 68-70.</w:t>
      </w:r>
    </w:p>
  </w:footnote>
  <w:footnote w:id="23">
    <w:p w14:paraId="5EC917B9" w14:textId="77777777" w:rsidR="005231C1" w:rsidRPr="005231C1" w:rsidRDefault="005231C1" w:rsidP="004B0E39">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Sukardi, Tinjauan Yuridis Pengakhiran Sewa Menyewa Rumah Yang Dibuat Secara Lisan Di Kelurahan Sungai Beliung Kecamatan Pontianak Barat, Al-Maslahah Jurnal Ilmu Syariah, Vol 9 No 2 (2014), 6</w:t>
      </w:r>
    </w:p>
  </w:footnote>
  <w:footnote w:id="24">
    <w:p w14:paraId="63A008B8" w14:textId="77777777" w:rsidR="005231C1" w:rsidRPr="005231C1" w:rsidRDefault="005231C1" w:rsidP="004B0E39">
      <w:pPr>
        <w:pStyle w:val="FootnoteText"/>
        <w:jc w:val="both"/>
        <w:rPr>
          <w:rFonts w:asciiTheme="majorHAnsi" w:hAnsiTheme="majorHAnsi"/>
          <w:lang w:val="fi-FI"/>
        </w:rPr>
      </w:pPr>
      <w:r w:rsidRPr="005231C1">
        <w:rPr>
          <w:rStyle w:val="FootnoteReference"/>
          <w:rFonts w:asciiTheme="majorHAnsi" w:hAnsiTheme="majorHAnsi"/>
        </w:rPr>
        <w:footnoteRef/>
      </w:r>
      <w:r w:rsidRPr="005231C1">
        <w:rPr>
          <w:rFonts w:asciiTheme="majorHAnsi" w:hAnsiTheme="majorHAnsi" w:cs="Times New Roman"/>
          <w:lang w:val="fi-FI"/>
        </w:rPr>
        <w:t xml:space="preserve"> </w:t>
      </w:r>
      <w:r w:rsidRPr="005231C1">
        <w:rPr>
          <w:rFonts w:asciiTheme="majorHAnsi" w:hAnsiTheme="majorHAnsi" w:cs="Times New Roman"/>
        </w:rPr>
        <w:fldChar w:fldCharType="begin"/>
      </w:r>
      <w:r w:rsidRPr="005231C1">
        <w:rPr>
          <w:rFonts w:asciiTheme="majorHAnsi" w:hAnsiTheme="majorHAnsi" w:cs="Times New Roman"/>
          <w:lang w:val="fi-FI"/>
        </w:rPr>
        <w:instrText xml:space="preserve"> ADDIN ZOTERO_ITEM CSL_CITATION {"citationID":"ALIGURnX","properties":{"formattedCitation":"Soewito Widakdo, \\uc0\\u8220{}PEROLEHAN HAK ATAS TANAH PERMASALAHAN DAN PERKEMBANGANNYA,\\uc0\\u8221{} {\\i{}Perspektif} 2, no. 1 (1997): 75, https://doi.org/10.30742/perspektif.v2i1.133.","plainCitation":"Soewito Widakdo, “PEROLEHAN HAK ATAS TANAH PERMASALAHAN DAN PERKEMBANGANNYA,” Perspektif 2, no. 1 (1997): 75, https://doi.org/10.30742/perspektif.v2i1.133.","noteIndex":24},"citationItems":[{"id":93,"uris":["http://zotero.org/users/local/vwonMTFj/items/F4PEXL7V"],"itemData":{"id":93,"type":"article-journal","container-title":"Perspektif","DOI":"10.30742/perspektif.v2i1.133","ISSN":"2406-7385, 1410-3648","issue":"1","journalAbbreviation":"PERSP","language":"id","page":"75","source":"DOI.org (Crossref)","title":"PEROLEHAN HAK ATAS TANAH PERMASALAHAN DAN PERKEMBANGANNYA","volume":"2","author":[{"family":"Widakdo","given":"Soewito"}],"issued":{"date-parts":[["1997",4,30]]}}}],"schema":"https://github.com/citation-style-language/schema/raw/master/csl-citation.json"} </w:instrText>
      </w:r>
      <w:r w:rsidRPr="005231C1">
        <w:rPr>
          <w:rFonts w:asciiTheme="majorHAnsi" w:hAnsiTheme="majorHAnsi" w:cs="Times New Roman"/>
        </w:rPr>
        <w:fldChar w:fldCharType="separate"/>
      </w:r>
      <w:r w:rsidRPr="005231C1">
        <w:rPr>
          <w:rFonts w:asciiTheme="majorHAnsi" w:hAnsiTheme="majorHAnsi" w:cs="Times New Roman"/>
          <w:lang w:val="fi-FI"/>
        </w:rPr>
        <w:t xml:space="preserve">Soewito Widakdo, “PEROLEHAN HAK ATAS TANAH PERMASALAHAN DAN PERKEMBANGANNYA,” </w:t>
      </w:r>
      <w:r w:rsidRPr="005231C1">
        <w:rPr>
          <w:rFonts w:asciiTheme="majorHAnsi" w:hAnsiTheme="majorHAnsi" w:cs="Times New Roman"/>
          <w:i/>
          <w:iCs/>
          <w:lang w:val="fi-FI"/>
        </w:rPr>
        <w:t>Perspektif</w:t>
      </w:r>
      <w:r w:rsidRPr="005231C1">
        <w:rPr>
          <w:rFonts w:asciiTheme="majorHAnsi" w:hAnsiTheme="majorHAnsi" w:cs="Times New Roman"/>
          <w:lang w:val="fi-FI"/>
        </w:rPr>
        <w:t xml:space="preserve"> 2, no. 1 (1997): 75, https://doi.org/10.30742/perspektif.v2i1.133.</w:t>
      </w:r>
      <w:r w:rsidRPr="005231C1">
        <w:rPr>
          <w:rFonts w:asciiTheme="majorHAnsi" w:hAnsiTheme="majorHAnsi" w:cs="Times New Roman"/>
        </w:rPr>
        <w:fldChar w:fldCharType="end"/>
      </w:r>
    </w:p>
  </w:footnote>
  <w:footnote w:id="25">
    <w:p w14:paraId="0D7B65FF" w14:textId="77777777" w:rsidR="005231C1" w:rsidRPr="005231C1" w:rsidRDefault="005231C1" w:rsidP="005231C1">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Neni Sri Imaniyati, Hukum Perbankan (Bandung: Fakultas Hukum Unisba, 2008), 28.</w:t>
      </w:r>
    </w:p>
  </w:footnote>
  <w:footnote w:id="26">
    <w:p w14:paraId="5204915F" w14:textId="77777777" w:rsidR="005231C1" w:rsidRPr="005231C1" w:rsidRDefault="005231C1" w:rsidP="005231C1">
      <w:pPr>
        <w:spacing w:after="0"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Perwirasari, D. P., &amp; Ikrardini, Z., “Penerapan Prinsip Kehati-Hatian Dalam Penyaluran Kredit Usaha Rakyat Non Agunan Ditinjau Dari Sisi Hukum Perikatan,” Jurnal Dialektia Hukum 2, no. 2 (2020): 153.</w:t>
      </w:r>
    </w:p>
  </w:footnote>
  <w:footnote w:id="27">
    <w:p w14:paraId="1449CA06" w14:textId="77777777" w:rsidR="005231C1" w:rsidRPr="005231C1" w:rsidRDefault="005231C1" w:rsidP="005231C1">
      <w:pPr>
        <w:spacing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lang w:val="fi-FI"/>
        </w:rPr>
        <w:t xml:space="preserve"> Lampiran Surat Pernyataan Pengosongan yang diperoleh dari Bank X di Kota Jakarta</w:t>
      </w:r>
    </w:p>
  </w:footnote>
  <w:footnote w:id="28">
    <w:p w14:paraId="6DD7F9DB" w14:textId="77777777" w:rsidR="005231C1" w:rsidRPr="005231C1" w:rsidRDefault="005231C1" w:rsidP="005231C1">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Pasal</w:t>
      </w:r>
      <w:proofErr w:type="spellEnd"/>
      <w:r w:rsidRPr="005231C1">
        <w:rPr>
          <w:rFonts w:asciiTheme="majorHAnsi" w:eastAsia="Book Antiqua" w:hAnsiTheme="majorHAnsi" w:cs="Book Antiqua"/>
          <w:sz w:val="20"/>
          <w:szCs w:val="20"/>
        </w:rPr>
        <w:t xml:space="preserve"> 1 Angka 1 </w:t>
      </w:r>
      <w:proofErr w:type="spellStart"/>
      <w:r w:rsidRPr="005231C1">
        <w:rPr>
          <w:rFonts w:asciiTheme="majorHAnsi" w:eastAsia="Book Antiqua" w:hAnsiTheme="majorHAnsi" w:cs="Book Antiqua"/>
          <w:sz w:val="20"/>
          <w:szCs w:val="20"/>
        </w:rPr>
        <w:t>Undang-Undang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Nomor</w:t>
      </w:r>
      <w:proofErr w:type="spellEnd"/>
      <w:r w:rsidRPr="005231C1">
        <w:rPr>
          <w:rFonts w:asciiTheme="majorHAnsi" w:eastAsia="Book Antiqua" w:hAnsiTheme="majorHAnsi" w:cs="Book Antiqua"/>
          <w:sz w:val="20"/>
          <w:szCs w:val="20"/>
        </w:rPr>
        <w:t xml:space="preserve"> 10 </w:t>
      </w:r>
      <w:proofErr w:type="spellStart"/>
      <w:r w:rsidRPr="005231C1">
        <w:rPr>
          <w:rFonts w:asciiTheme="majorHAnsi" w:eastAsia="Book Antiqua" w:hAnsiTheme="majorHAnsi" w:cs="Book Antiqua"/>
          <w:sz w:val="20"/>
          <w:szCs w:val="20"/>
        </w:rPr>
        <w:t>Tahun</w:t>
      </w:r>
      <w:proofErr w:type="spellEnd"/>
      <w:r w:rsidRPr="005231C1">
        <w:rPr>
          <w:rFonts w:asciiTheme="majorHAnsi" w:eastAsia="Book Antiqua" w:hAnsiTheme="majorHAnsi" w:cs="Book Antiqua"/>
          <w:sz w:val="20"/>
          <w:szCs w:val="20"/>
        </w:rPr>
        <w:t xml:space="preserve"> 1998 </w:t>
      </w:r>
      <w:proofErr w:type="spellStart"/>
      <w:r w:rsidRPr="005231C1">
        <w:rPr>
          <w:rFonts w:asciiTheme="majorHAnsi" w:eastAsia="Book Antiqua" w:hAnsiTheme="majorHAnsi" w:cs="Book Antiqua"/>
          <w:sz w:val="20"/>
          <w:szCs w:val="20"/>
        </w:rPr>
        <w:t>tentang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Perubahan</w:t>
      </w:r>
      <w:proofErr w:type="spellEnd"/>
      <w:r w:rsidRPr="005231C1">
        <w:rPr>
          <w:rFonts w:asciiTheme="majorHAnsi" w:eastAsia="Book Antiqua" w:hAnsiTheme="majorHAnsi" w:cs="Book Antiqua"/>
          <w:sz w:val="20"/>
          <w:szCs w:val="20"/>
        </w:rPr>
        <w:t xml:space="preserve"> Atas </w:t>
      </w:r>
      <w:proofErr w:type="spellStart"/>
      <w:r w:rsidRPr="005231C1">
        <w:rPr>
          <w:rFonts w:asciiTheme="majorHAnsi" w:eastAsia="Book Antiqua" w:hAnsiTheme="majorHAnsi" w:cs="Book Antiqua"/>
          <w:sz w:val="20"/>
          <w:szCs w:val="20"/>
        </w:rPr>
        <w:t>Undang-Undang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Nomor</w:t>
      </w:r>
      <w:proofErr w:type="spellEnd"/>
      <w:r w:rsidRPr="005231C1">
        <w:rPr>
          <w:rFonts w:asciiTheme="majorHAnsi" w:eastAsia="Book Antiqua" w:hAnsiTheme="majorHAnsi" w:cs="Book Antiqua"/>
          <w:sz w:val="20"/>
          <w:szCs w:val="20"/>
        </w:rPr>
        <w:t xml:space="preserve"> 7 </w:t>
      </w:r>
      <w:proofErr w:type="spellStart"/>
      <w:r w:rsidRPr="005231C1">
        <w:rPr>
          <w:rFonts w:asciiTheme="majorHAnsi" w:eastAsia="Book Antiqua" w:hAnsiTheme="majorHAnsi" w:cs="Book Antiqua"/>
          <w:sz w:val="20"/>
          <w:szCs w:val="20"/>
        </w:rPr>
        <w:t>Tahun</w:t>
      </w:r>
      <w:proofErr w:type="spellEnd"/>
      <w:r w:rsidRPr="005231C1">
        <w:rPr>
          <w:rFonts w:asciiTheme="majorHAnsi" w:eastAsia="Book Antiqua" w:hAnsiTheme="majorHAnsi" w:cs="Book Antiqua"/>
          <w:sz w:val="20"/>
          <w:szCs w:val="20"/>
        </w:rPr>
        <w:t xml:space="preserve"> 1992 </w:t>
      </w:r>
      <w:proofErr w:type="spellStart"/>
      <w:r w:rsidRPr="005231C1">
        <w:rPr>
          <w:rFonts w:asciiTheme="majorHAnsi" w:eastAsia="Book Antiqua" w:hAnsiTheme="majorHAnsi" w:cs="Book Antiqua"/>
          <w:sz w:val="20"/>
          <w:szCs w:val="20"/>
        </w:rPr>
        <w:t>Tentang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Perbankan</w:t>
      </w:r>
      <w:proofErr w:type="spellEnd"/>
      <w:r w:rsidRPr="005231C1">
        <w:rPr>
          <w:rFonts w:asciiTheme="majorHAnsi" w:eastAsia="Book Antiqua" w:hAnsiTheme="majorHAnsi" w:cs="Book Antiqua"/>
          <w:sz w:val="20"/>
          <w:szCs w:val="20"/>
        </w:rPr>
        <w:t>.</w:t>
      </w:r>
    </w:p>
  </w:footnote>
  <w:footnote w:id="29">
    <w:p w14:paraId="119930CF" w14:textId="77777777" w:rsidR="005231C1" w:rsidRPr="005231C1" w:rsidRDefault="005231C1" w:rsidP="005231C1">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Muhammad Abdulkadir, </w:t>
      </w:r>
      <w:proofErr w:type="spellStart"/>
      <w:r w:rsidRPr="005231C1">
        <w:rPr>
          <w:rFonts w:asciiTheme="majorHAnsi" w:eastAsia="Book Antiqua" w:hAnsiTheme="majorHAnsi" w:cs="Book Antiqua"/>
          <w:sz w:val="20"/>
          <w:szCs w:val="20"/>
        </w:rPr>
        <w:t>Segi</w:t>
      </w:r>
      <w:proofErr w:type="spellEnd"/>
      <w:r w:rsidRPr="005231C1">
        <w:rPr>
          <w:rFonts w:asciiTheme="majorHAnsi" w:eastAsia="Book Antiqua" w:hAnsiTheme="majorHAnsi" w:cs="Book Antiqua"/>
          <w:sz w:val="20"/>
          <w:szCs w:val="20"/>
        </w:rPr>
        <w:t xml:space="preserve"> Hukum Lembaga </w:t>
      </w:r>
      <w:proofErr w:type="spellStart"/>
      <w:r w:rsidRPr="005231C1">
        <w:rPr>
          <w:rFonts w:asciiTheme="majorHAnsi" w:eastAsia="Book Antiqua" w:hAnsiTheme="majorHAnsi" w:cs="Book Antiqua"/>
          <w:sz w:val="20"/>
          <w:szCs w:val="20"/>
        </w:rPr>
        <w:t>Keuangan</w:t>
      </w:r>
      <w:proofErr w:type="spellEnd"/>
      <w:r w:rsidRPr="005231C1">
        <w:rPr>
          <w:rFonts w:asciiTheme="majorHAnsi" w:eastAsia="Book Antiqua" w:hAnsiTheme="majorHAnsi" w:cs="Book Antiqua"/>
          <w:sz w:val="20"/>
          <w:szCs w:val="20"/>
        </w:rPr>
        <w:t xml:space="preserve"> dan </w:t>
      </w:r>
      <w:proofErr w:type="spellStart"/>
      <w:r w:rsidRPr="005231C1">
        <w:rPr>
          <w:rFonts w:asciiTheme="majorHAnsi" w:eastAsia="Book Antiqua" w:hAnsiTheme="majorHAnsi" w:cs="Book Antiqua"/>
          <w:sz w:val="20"/>
          <w:szCs w:val="20"/>
        </w:rPr>
        <w:t>Pembiayaan</w:t>
      </w:r>
      <w:proofErr w:type="spellEnd"/>
      <w:r w:rsidRPr="005231C1">
        <w:rPr>
          <w:rFonts w:asciiTheme="majorHAnsi" w:eastAsia="Book Antiqua" w:hAnsiTheme="majorHAnsi" w:cs="Book Antiqua"/>
          <w:sz w:val="20"/>
          <w:szCs w:val="20"/>
        </w:rPr>
        <w:t xml:space="preserve"> (Bandung: Citra Aditya </w:t>
      </w:r>
      <w:proofErr w:type="spellStart"/>
      <w:r w:rsidRPr="005231C1">
        <w:rPr>
          <w:rFonts w:asciiTheme="majorHAnsi" w:eastAsia="Book Antiqua" w:hAnsiTheme="majorHAnsi" w:cs="Book Antiqua"/>
          <w:sz w:val="20"/>
          <w:szCs w:val="20"/>
        </w:rPr>
        <w:t>Bakti</w:t>
      </w:r>
      <w:proofErr w:type="spellEnd"/>
      <w:r w:rsidRPr="005231C1">
        <w:rPr>
          <w:rFonts w:asciiTheme="majorHAnsi" w:eastAsia="Book Antiqua" w:hAnsiTheme="majorHAnsi" w:cs="Book Antiqua"/>
          <w:sz w:val="20"/>
          <w:szCs w:val="20"/>
        </w:rPr>
        <w:t>, 2000), 62.</w:t>
      </w:r>
    </w:p>
  </w:footnote>
  <w:footnote w:id="30">
    <w:p w14:paraId="3CF23E8E" w14:textId="77777777" w:rsidR="005231C1" w:rsidRPr="005231C1" w:rsidRDefault="005231C1" w:rsidP="005231C1">
      <w:pPr>
        <w:spacing w:line="240" w:lineRule="auto"/>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Sri </w:t>
      </w:r>
      <w:proofErr w:type="spellStart"/>
      <w:r w:rsidRPr="005231C1">
        <w:rPr>
          <w:rFonts w:asciiTheme="majorHAnsi" w:eastAsia="Book Antiqua" w:hAnsiTheme="majorHAnsi" w:cs="Book Antiqua"/>
          <w:sz w:val="20"/>
          <w:szCs w:val="20"/>
        </w:rPr>
        <w:t>Soedewi</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Masjchoen</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Sofwan</w:t>
      </w:r>
      <w:proofErr w:type="spellEnd"/>
      <w:r w:rsidRPr="005231C1">
        <w:rPr>
          <w:rFonts w:asciiTheme="majorHAnsi" w:eastAsia="Book Antiqua" w:hAnsiTheme="majorHAnsi" w:cs="Book Antiqua"/>
          <w:sz w:val="20"/>
          <w:szCs w:val="20"/>
        </w:rPr>
        <w:t xml:space="preserve">, Hukum </w:t>
      </w:r>
      <w:proofErr w:type="spellStart"/>
      <w:r w:rsidRPr="005231C1">
        <w:rPr>
          <w:rFonts w:asciiTheme="majorHAnsi" w:eastAsia="Book Antiqua" w:hAnsiTheme="majorHAnsi" w:cs="Book Antiqua"/>
          <w:sz w:val="20"/>
          <w:szCs w:val="20"/>
        </w:rPr>
        <w:t>Perdata</w:t>
      </w:r>
      <w:proofErr w:type="spellEnd"/>
      <w:r w:rsidRPr="005231C1">
        <w:rPr>
          <w:rFonts w:asciiTheme="majorHAnsi" w:eastAsia="Book Antiqua" w:hAnsiTheme="majorHAnsi" w:cs="Book Antiqua"/>
          <w:sz w:val="20"/>
          <w:szCs w:val="20"/>
        </w:rPr>
        <w:t xml:space="preserve">: Hukum Benda (Yogyakarta: Liberty, 1981) 25. </w:t>
      </w:r>
    </w:p>
  </w:footnote>
  <w:footnote w:id="31">
    <w:p w14:paraId="3456A0C2" w14:textId="77777777" w:rsidR="005231C1" w:rsidRPr="005231C1" w:rsidRDefault="005231C1" w:rsidP="005231C1">
      <w:pPr>
        <w:spacing w:line="240" w:lineRule="auto"/>
        <w:jc w:val="both"/>
        <w:rPr>
          <w:rFonts w:asciiTheme="majorHAnsi" w:eastAsia="Book Antiqua" w:hAnsiTheme="majorHAnsi" w:cs="Book Antiqua"/>
          <w:sz w:val="20"/>
          <w:szCs w:val="20"/>
          <w:lang w:val="fi-FI"/>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highlight w:val="white"/>
        </w:rPr>
        <w:t>Hadisantoso</w:t>
      </w:r>
      <w:proofErr w:type="spellEnd"/>
      <w:r w:rsidRPr="005231C1">
        <w:rPr>
          <w:rFonts w:asciiTheme="majorHAnsi" w:eastAsia="Book Antiqua" w:hAnsiTheme="majorHAnsi" w:cs="Book Antiqua"/>
          <w:sz w:val="20"/>
          <w:szCs w:val="20"/>
          <w:highlight w:val="white"/>
        </w:rPr>
        <w:t xml:space="preserve">, A. B. </w:t>
      </w:r>
      <w:proofErr w:type="spellStart"/>
      <w:r w:rsidRPr="005231C1">
        <w:rPr>
          <w:rFonts w:asciiTheme="majorHAnsi" w:eastAsia="Book Antiqua" w:hAnsiTheme="majorHAnsi" w:cs="Book Antiqua"/>
          <w:sz w:val="20"/>
          <w:szCs w:val="20"/>
          <w:highlight w:val="white"/>
        </w:rPr>
        <w:t>Perlindungan</w:t>
      </w:r>
      <w:proofErr w:type="spellEnd"/>
      <w:r w:rsidRPr="005231C1">
        <w:rPr>
          <w:rFonts w:asciiTheme="majorHAnsi" w:eastAsia="Book Antiqua" w:hAnsiTheme="majorHAnsi" w:cs="Book Antiqua"/>
          <w:sz w:val="20"/>
          <w:szCs w:val="20"/>
          <w:highlight w:val="white"/>
        </w:rPr>
        <w:t xml:space="preserve"> Hukum </w:t>
      </w:r>
      <w:proofErr w:type="spellStart"/>
      <w:r w:rsidRPr="005231C1">
        <w:rPr>
          <w:rFonts w:asciiTheme="majorHAnsi" w:eastAsia="Book Antiqua" w:hAnsiTheme="majorHAnsi" w:cs="Book Antiqua"/>
          <w:sz w:val="20"/>
          <w:szCs w:val="20"/>
          <w:highlight w:val="white"/>
        </w:rPr>
        <w:t>Kreditor</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Pemegang</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Hak</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Tanggungan</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Terhadap</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Obyek</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Hak</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Tanggungan</w:t>
      </w:r>
      <w:proofErr w:type="spellEnd"/>
      <w:r w:rsidRPr="005231C1">
        <w:rPr>
          <w:rFonts w:asciiTheme="majorHAnsi" w:eastAsia="Book Antiqua" w:hAnsiTheme="majorHAnsi" w:cs="Book Antiqua"/>
          <w:sz w:val="20"/>
          <w:szCs w:val="20"/>
          <w:highlight w:val="white"/>
        </w:rPr>
        <w:t xml:space="preserve"> Yang </w:t>
      </w:r>
      <w:proofErr w:type="spellStart"/>
      <w:r w:rsidRPr="005231C1">
        <w:rPr>
          <w:rFonts w:asciiTheme="majorHAnsi" w:eastAsia="Book Antiqua" w:hAnsiTheme="majorHAnsi" w:cs="Book Antiqua"/>
          <w:sz w:val="20"/>
          <w:szCs w:val="20"/>
          <w:highlight w:val="white"/>
        </w:rPr>
        <w:t>Diletakkan</w:t>
      </w:r>
      <w:proofErr w:type="spellEnd"/>
      <w:r w:rsidRPr="005231C1">
        <w:rPr>
          <w:rFonts w:asciiTheme="majorHAnsi" w:eastAsia="Book Antiqua" w:hAnsiTheme="majorHAnsi" w:cs="Book Antiqua"/>
          <w:sz w:val="20"/>
          <w:szCs w:val="20"/>
          <w:highlight w:val="white"/>
        </w:rPr>
        <w:t xml:space="preserve"> Sita </w:t>
      </w:r>
      <w:proofErr w:type="spellStart"/>
      <w:r w:rsidRPr="005231C1">
        <w:rPr>
          <w:rFonts w:asciiTheme="majorHAnsi" w:eastAsia="Book Antiqua" w:hAnsiTheme="majorHAnsi" w:cs="Book Antiqua"/>
          <w:sz w:val="20"/>
          <w:szCs w:val="20"/>
          <w:highlight w:val="white"/>
        </w:rPr>
        <w:t>Jaminan</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Analisis</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Putusan</w:t>
      </w:r>
      <w:proofErr w:type="spellEnd"/>
      <w:r w:rsidRPr="005231C1">
        <w:rPr>
          <w:rFonts w:asciiTheme="majorHAnsi" w:eastAsia="Book Antiqua" w:hAnsiTheme="majorHAnsi" w:cs="Book Antiqua"/>
          <w:sz w:val="20"/>
          <w:szCs w:val="20"/>
          <w:highlight w:val="white"/>
        </w:rPr>
        <w:t xml:space="preserve"> </w:t>
      </w:r>
      <w:proofErr w:type="spellStart"/>
      <w:r w:rsidRPr="005231C1">
        <w:rPr>
          <w:rFonts w:asciiTheme="majorHAnsi" w:eastAsia="Book Antiqua" w:hAnsiTheme="majorHAnsi" w:cs="Book Antiqua"/>
          <w:sz w:val="20"/>
          <w:szCs w:val="20"/>
          <w:highlight w:val="white"/>
        </w:rPr>
        <w:t>Pengadilan</w:t>
      </w:r>
      <w:proofErr w:type="spellEnd"/>
      <w:r w:rsidRPr="005231C1">
        <w:rPr>
          <w:rFonts w:asciiTheme="majorHAnsi" w:eastAsia="Book Antiqua" w:hAnsiTheme="majorHAnsi" w:cs="Book Antiqua"/>
          <w:sz w:val="20"/>
          <w:szCs w:val="20"/>
          <w:highlight w:val="white"/>
        </w:rPr>
        <w:t xml:space="preserve"> Negeri Jakarta Timur </w:t>
      </w:r>
      <w:proofErr w:type="spellStart"/>
      <w:r w:rsidRPr="005231C1">
        <w:rPr>
          <w:rFonts w:asciiTheme="majorHAnsi" w:eastAsia="Book Antiqua" w:hAnsiTheme="majorHAnsi" w:cs="Book Antiqua"/>
          <w:sz w:val="20"/>
          <w:szCs w:val="20"/>
          <w:highlight w:val="white"/>
        </w:rPr>
        <w:t>Nomor</w:t>
      </w:r>
      <w:proofErr w:type="spellEnd"/>
      <w:r w:rsidRPr="005231C1">
        <w:rPr>
          <w:rFonts w:asciiTheme="majorHAnsi" w:eastAsia="Book Antiqua" w:hAnsiTheme="majorHAnsi" w:cs="Book Antiqua"/>
          <w:sz w:val="20"/>
          <w:szCs w:val="20"/>
          <w:highlight w:val="white"/>
        </w:rPr>
        <w:t xml:space="preserve"> 321/Pdt.G.2012/PN. </w:t>
      </w:r>
      <w:r w:rsidRPr="005231C1">
        <w:rPr>
          <w:rFonts w:asciiTheme="majorHAnsi" w:eastAsia="Book Antiqua" w:hAnsiTheme="majorHAnsi" w:cs="Book Antiqua"/>
          <w:sz w:val="20"/>
          <w:szCs w:val="20"/>
          <w:highlight w:val="white"/>
          <w:lang w:val="fi-FI"/>
        </w:rPr>
        <w:t>Jaktim dan Nomor 211/Pdt.G/2014/PN. JakTim). Sapienta Et Virtus, 3 (2), 106.</w:t>
      </w:r>
    </w:p>
  </w:footnote>
  <w:footnote w:id="32">
    <w:p w14:paraId="7A61FDC7" w14:textId="77777777" w:rsidR="005231C1" w:rsidRPr="005231C1" w:rsidRDefault="005231C1" w:rsidP="00E31FC8">
      <w:pPr>
        <w:spacing w:after="0" w:line="240" w:lineRule="auto"/>
        <w:jc w:val="both"/>
        <w:rPr>
          <w:rFonts w:asciiTheme="majorHAnsi" w:hAnsiTheme="majorHAnsi"/>
          <w:sz w:val="20"/>
          <w:szCs w:val="20"/>
          <w:lang w:val="fi-FI"/>
        </w:rPr>
      </w:pPr>
      <w:r w:rsidRPr="005231C1">
        <w:rPr>
          <w:rFonts w:asciiTheme="majorHAnsi" w:hAnsiTheme="majorHAnsi"/>
          <w:sz w:val="20"/>
          <w:szCs w:val="20"/>
          <w:vertAlign w:val="superscript"/>
        </w:rPr>
        <w:footnoteRef/>
      </w:r>
      <w:r w:rsidRPr="005231C1">
        <w:rPr>
          <w:rFonts w:asciiTheme="majorHAnsi" w:hAnsiTheme="majorHAnsi"/>
          <w:sz w:val="20"/>
          <w:szCs w:val="20"/>
          <w:lang w:val="fi-FI"/>
        </w:rPr>
        <w:t xml:space="preserve"> </w:t>
      </w:r>
      <w:r w:rsidRPr="005231C1">
        <w:rPr>
          <w:rFonts w:asciiTheme="majorHAnsi" w:eastAsia="Book Antiqua" w:hAnsiTheme="majorHAnsi" w:cs="Book Antiqua"/>
          <w:sz w:val="20"/>
          <w:szCs w:val="20"/>
          <w:lang w:val="fi-FI"/>
        </w:rPr>
        <w:t xml:space="preserve"> Lampiran Surat Pernyataan Pengosongan yang diperoleh dari Bank X di Kota Jakarta</w:t>
      </w:r>
    </w:p>
  </w:footnote>
  <w:footnote w:id="33">
    <w:p w14:paraId="1C51AA30" w14:textId="77777777" w:rsidR="005231C1" w:rsidRPr="005231C1" w:rsidRDefault="005231C1" w:rsidP="00E31FC8">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Pasal</w:t>
      </w:r>
      <w:proofErr w:type="spellEnd"/>
      <w:r w:rsidRPr="005231C1">
        <w:rPr>
          <w:rFonts w:asciiTheme="majorHAnsi" w:eastAsia="Book Antiqua" w:hAnsiTheme="majorHAnsi" w:cs="Book Antiqua"/>
          <w:sz w:val="20"/>
          <w:szCs w:val="20"/>
        </w:rPr>
        <w:t xml:space="preserve"> 511 Kitab </w:t>
      </w:r>
      <w:proofErr w:type="spellStart"/>
      <w:r w:rsidRPr="005231C1">
        <w:rPr>
          <w:rFonts w:asciiTheme="majorHAnsi" w:eastAsia="Book Antiqua" w:hAnsiTheme="majorHAnsi" w:cs="Book Antiqua"/>
          <w:sz w:val="20"/>
          <w:szCs w:val="20"/>
        </w:rPr>
        <w:t>Undang-Undang</w:t>
      </w:r>
      <w:proofErr w:type="spellEnd"/>
      <w:r w:rsidRPr="005231C1">
        <w:rPr>
          <w:rFonts w:asciiTheme="majorHAnsi" w:eastAsia="Book Antiqua" w:hAnsiTheme="majorHAnsi" w:cs="Book Antiqua"/>
          <w:sz w:val="20"/>
          <w:szCs w:val="20"/>
        </w:rPr>
        <w:t xml:space="preserve"> Hukum </w:t>
      </w:r>
      <w:proofErr w:type="spellStart"/>
      <w:r w:rsidRPr="005231C1">
        <w:rPr>
          <w:rFonts w:asciiTheme="majorHAnsi" w:eastAsia="Book Antiqua" w:hAnsiTheme="majorHAnsi" w:cs="Book Antiqua"/>
          <w:sz w:val="20"/>
          <w:szCs w:val="20"/>
        </w:rPr>
        <w:t>Perdata</w:t>
      </w:r>
      <w:proofErr w:type="spellEnd"/>
      <w:r w:rsidRPr="005231C1">
        <w:rPr>
          <w:rFonts w:asciiTheme="majorHAnsi" w:eastAsia="Book Antiqua" w:hAnsiTheme="majorHAnsi" w:cs="Book Antiqua"/>
          <w:sz w:val="20"/>
          <w:szCs w:val="20"/>
        </w:rPr>
        <w:t xml:space="preserve">. </w:t>
      </w:r>
    </w:p>
  </w:footnote>
  <w:footnote w:id="34">
    <w:p w14:paraId="03FAC6B0" w14:textId="77777777" w:rsidR="005231C1" w:rsidRPr="005231C1" w:rsidRDefault="005231C1" w:rsidP="00E31FC8">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Mariam </w:t>
      </w:r>
      <w:proofErr w:type="spellStart"/>
      <w:r w:rsidRPr="005231C1">
        <w:rPr>
          <w:rFonts w:asciiTheme="majorHAnsi" w:eastAsia="Book Antiqua" w:hAnsiTheme="majorHAnsi" w:cs="Book Antiqua"/>
          <w:sz w:val="20"/>
          <w:szCs w:val="20"/>
        </w:rPr>
        <w:t>Darus</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Badrulzaman</w:t>
      </w:r>
      <w:proofErr w:type="spellEnd"/>
      <w:r w:rsidRPr="005231C1">
        <w:rPr>
          <w:rFonts w:asciiTheme="majorHAnsi" w:eastAsia="Book Antiqua" w:hAnsiTheme="majorHAnsi" w:cs="Book Antiqua"/>
          <w:sz w:val="20"/>
          <w:szCs w:val="20"/>
        </w:rPr>
        <w:t xml:space="preserve">, Bab-Bab </w:t>
      </w:r>
      <w:proofErr w:type="spellStart"/>
      <w:r w:rsidRPr="005231C1">
        <w:rPr>
          <w:rFonts w:asciiTheme="majorHAnsi" w:eastAsia="Book Antiqua" w:hAnsiTheme="majorHAnsi" w:cs="Book Antiqua"/>
          <w:sz w:val="20"/>
          <w:szCs w:val="20"/>
        </w:rPr>
        <w:t>Tentang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i/>
          <w:iCs/>
          <w:sz w:val="20"/>
          <w:szCs w:val="20"/>
        </w:rPr>
        <w:t>Crediet</w:t>
      </w:r>
      <w:proofErr w:type="spellEnd"/>
      <w:r w:rsidRPr="005231C1">
        <w:rPr>
          <w:rFonts w:asciiTheme="majorHAnsi" w:eastAsia="Book Antiqua" w:hAnsiTheme="majorHAnsi" w:cs="Book Antiqua"/>
          <w:i/>
          <w:iCs/>
          <w:sz w:val="20"/>
          <w:szCs w:val="20"/>
        </w:rPr>
        <w:t xml:space="preserve"> </w:t>
      </w:r>
      <w:proofErr w:type="spellStart"/>
      <w:r w:rsidRPr="005231C1">
        <w:rPr>
          <w:rFonts w:asciiTheme="majorHAnsi" w:eastAsia="Book Antiqua" w:hAnsiTheme="majorHAnsi" w:cs="Book Antiqua"/>
          <w:i/>
          <w:iCs/>
          <w:sz w:val="20"/>
          <w:szCs w:val="20"/>
        </w:rPr>
        <w:t>Verband</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Gadai</w:t>
      </w:r>
      <w:proofErr w:type="spellEnd"/>
      <w:r w:rsidRPr="005231C1">
        <w:rPr>
          <w:rFonts w:asciiTheme="majorHAnsi" w:eastAsia="Book Antiqua" w:hAnsiTheme="majorHAnsi" w:cs="Book Antiqua"/>
          <w:sz w:val="20"/>
          <w:szCs w:val="20"/>
        </w:rPr>
        <w:t xml:space="preserve"> dan </w:t>
      </w:r>
      <w:proofErr w:type="spellStart"/>
      <w:r w:rsidRPr="005231C1">
        <w:rPr>
          <w:rFonts w:asciiTheme="majorHAnsi" w:eastAsia="Book Antiqua" w:hAnsiTheme="majorHAnsi" w:cs="Book Antiqua"/>
          <w:sz w:val="20"/>
          <w:szCs w:val="20"/>
        </w:rPr>
        <w:t>Fidusia</w:t>
      </w:r>
      <w:proofErr w:type="spellEnd"/>
      <w:r w:rsidRPr="005231C1">
        <w:rPr>
          <w:rFonts w:asciiTheme="majorHAnsi" w:eastAsia="Book Antiqua" w:hAnsiTheme="majorHAnsi" w:cs="Book Antiqua"/>
          <w:sz w:val="20"/>
          <w:szCs w:val="20"/>
        </w:rPr>
        <w:t xml:space="preserve"> (Bandung: Alumni, 1987), 66.</w:t>
      </w:r>
    </w:p>
  </w:footnote>
  <w:footnote w:id="35">
    <w:p w14:paraId="46A4F9D8" w14:textId="77777777" w:rsidR="005231C1" w:rsidRPr="005231C1" w:rsidRDefault="005231C1" w:rsidP="00E31FC8">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HFA </w:t>
      </w:r>
      <w:proofErr w:type="spellStart"/>
      <w:r w:rsidRPr="005231C1">
        <w:rPr>
          <w:rFonts w:asciiTheme="majorHAnsi" w:eastAsia="Book Antiqua" w:hAnsiTheme="majorHAnsi" w:cs="Book Antiqua"/>
          <w:sz w:val="20"/>
          <w:szCs w:val="20"/>
        </w:rPr>
        <w:t>Vollmar</w:t>
      </w:r>
      <w:proofErr w:type="spellEnd"/>
      <w:r w:rsidRPr="005231C1">
        <w:rPr>
          <w:rFonts w:asciiTheme="majorHAnsi" w:eastAsia="Book Antiqua" w:hAnsiTheme="majorHAnsi" w:cs="Book Antiqua"/>
          <w:sz w:val="20"/>
          <w:szCs w:val="20"/>
        </w:rPr>
        <w:t xml:space="preserve">, Hukum Benda </w:t>
      </w:r>
      <w:proofErr w:type="spellStart"/>
      <w:r w:rsidRPr="005231C1">
        <w:rPr>
          <w:rFonts w:asciiTheme="majorHAnsi" w:eastAsia="Book Antiqua" w:hAnsiTheme="majorHAnsi" w:cs="Book Antiqua"/>
          <w:sz w:val="20"/>
          <w:szCs w:val="20"/>
        </w:rPr>
        <w:t>Menurut</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KUHPerdata</w:t>
      </w:r>
      <w:proofErr w:type="spellEnd"/>
      <w:r w:rsidRPr="005231C1">
        <w:rPr>
          <w:rFonts w:asciiTheme="majorHAnsi" w:eastAsia="Book Antiqua" w:hAnsiTheme="majorHAnsi" w:cs="Book Antiqua"/>
          <w:sz w:val="20"/>
          <w:szCs w:val="20"/>
        </w:rPr>
        <w:t xml:space="preserve"> (Bandung: </w:t>
      </w:r>
      <w:proofErr w:type="spellStart"/>
      <w:r w:rsidRPr="005231C1">
        <w:rPr>
          <w:rFonts w:asciiTheme="majorHAnsi" w:eastAsia="Book Antiqua" w:hAnsiTheme="majorHAnsi" w:cs="Book Antiqua"/>
          <w:sz w:val="20"/>
          <w:szCs w:val="20"/>
        </w:rPr>
        <w:t>Tarsito</w:t>
      </w:r>
      <w:proofErr w:type="spellEnd"/>
      <w:r w:rsidRPr="005231C1">
        <w:rPr>
          <w:rFonts w:asciiTheme="majorHAnsi" w:eastAsia="Book Antiqua" w:hAnsiTheme="majorHAnsi" w:cs="Book Antiqua"/>
          <w:sz w:val="20"/>
          <w:szCs w:val="20"/>
        </w:rPr>
        <w:t>, 2012), 77.</w:t>
      </w:r>
    </w:p>
  </w:footnote>
  <w:footnote w:id="36">
    <w:p w14:paraId="4211BE3E" w14:textId="77777777" w:rsidR="005231C1" w:rsidRPr="005231C1" w:rsidRDefault="005231C1" w:rsidP="00E31FC8">
      <w:pPr>
        <w:spacing w:after="0"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R. Setiawan. </w:t>
      </w:r>
      <w:proofErr w:type="spellStart"/>
      <w:r w:rsidRPr="005231C1">
        <w:rPr>
          <w:rFonts w:asciiTheme="majorHAnsi" w:eastAsia="Book Antiqua" w:hAnsiTheme="majorHAnsi" w:cs="Book Antiqua"/>
          <w:sz w:val="20"/>
          <w:szCs w:val="20"/>
        </w:rPr>
        <w:t>Pokok-Pokok</w:t>
      </w:r>
      <w:proofErr w:type="spellEnd"/>
      <w:r w:rsidRPr="005231C1">
        <w:rPr>
          <w:rFonts w:asciiTheme="majorHAnsi" w:eastAsia="Book Antiqua" w:hAnsiTheme="majorHAnsi" w:cs="Book Antiqua"/>
          <w:sz w:val="20"/>
          <w:szCs w:val="20"/>
        </w:rPr>
        <w:t xml:space="preserve"> Hukum </w:t>
      </w:r>
      <w:proofErr w:type="spellStart"/>
      <w:r w:rsidRPr="005231C1">
        <w:rPr>
          <w:rFonts w:asciiTheme="majorHAnsi" w:eastAsia="Book Antiqua" w:hAnsiTheme="majorHAnsi" w:cs="Book Antiqua"/>
          <w:sz w:val="20"/>
          <w:szCs w:val="20"/>
        </w:rPr>
        <w:t>Perikatan</w:t>
      </w:r>
      <w:proofErr w:type="spellEnd"/>
      <w:r w:rsidRPr="005231C1">
        <w:rPr>
          <w:rFonts w:asciiTheme="majorHAnsi" w:eastAsia="Book Antiqua" w:hAnsiTheme="majorHAnsi" w:cs="Book Antiqua"/>
          <w:sz w:val="20"/>
          <w:szCs w:val="20"/>
        </w:rPr>
        <w:t xml:space="preserve"> (Bandung: </w:t>
      </w:r>
      <w:proofErr w:type="spellStart"/>
      <w:r w:rsidRPr="005231C1">
        <w:rPr>
          <w:rFonts w:asciiTheme="majorHAnsi" w:eastAsia="Book Antiqua" w:hAnsiTheme="majorHAnsi" w:cs="Book Antiqua"/>
          <w:sz w:val="20"/>
          <w:szCs w:val="20"/>
        </w:rPr>
        <w:t>Percetakan</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Binacipta</w:t>
      </w:r>
      <w:proofErr w:type="spellEnd"/>
      <w:r w:rsidRPr="005231C1">
        <w:rPr>
          <w:rFonts w:asciiTheme="majorHAnsi" w:eastAsia="Book Antiqua" w:hAnsiTheme="majorHAnsi" w:cs="Book Antiqua"/>
          <w:sz w:val="20"/>
          <w:szCs w:val="20"/>
        </w:rPr>
        <w:t>, 1994) 43.</w:t>
      </w:r>
    </w:p>
  </w:footnote>
  <w:footnote w:id="37">
    <w:p w14:paraId="3DBC2425" w14:textId="77777777" w:rsidR="005231C1" w:rsidRPr="005231C1" w:rsidRDefault="005231C1" w:rsidP="00E31FC8">
      <w:pPr>
        <w:spacing w:line="240" w:lineRule="auto"/>
        <w:jc w:val="both"/>
        <w:rPr>
          <w:rFonts w:asciiTheme="majorHAnsi" w:eastAsia="Book Antiqua" w:hAnsiTheme="majorHAnsi" w:cs="Book Antiqua"/>
          <w:sz w:val="20"/>
          <w:szCs w:val="20"/>
        </w:rPr>
      </w:pPr>
      <w:r w:rsidRPr="005231C1">
        <w:rPr>
          <w:rFonts w:asciiTheme="majorHAnsi" w:hAnsiTheme="majorHAnsi"/>
          <w:sz w:val="20"/>
          <w:szCs w:val="20"/>
          <w:vertAlign w:val="superscript"/>
        </w:rPr>
        <w:footnoteRef/>
      </w:r>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Rachmad</w:t>
      </w:r>
      <w:proofErr w:type="spellEnd"/>
      <w:r w:rsidRPr="005231C1">
        <w:rPr>
          <w:rFonts w:asciiTheme="majorHAnsi" w:eastAsia="Book Antiqua" w:hAnsiTheme="majorHAnsi" w:cs="Book Antiqua"/>
          <w:sz w:val="20"/>
          <w:szCs w:val="20"/>
        </w:rPr>
        <w:t xml:space="preserve"> Setiawan dan J. </w:t>
      </w:r>
      <w:proofErr w:type="spellStart"/>
      <w:r w:rsidRPr="005231C1">
        <w:rPr>
          <w:rFonts w:asciiTheme="majorHAnsi" w:eastAsia="Book Antiqua" w:hAnsiTheme="majorHAnsi" w:cs="Book Antiqua"/>
          <w:sz w:val="20"/>
          <w:szCs w:val="20"/>
        </w:rPr>
        <w:t>Satrio</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sz w:val="20"/>
          <w:szCs w:val="20"/>
        </w:rPr>
        <w:t>Penjelasan</w:t>
      </w:r>
      <w:proofErr w:type="spellEnd"/>
      <w:r w:rsidRPr="005231C1">
        <w:rPr>
          <w:rFonts w:asciiTheme="majorHAnsi" w:eastAsia="Book Antiqua" w:hAnsiTheme="majorHAnsi" w:cs="Book Antiqua"/>
          <w:sz w:val="20"/>
          <w:szCs w:val="20"/>
        </w:rPr>
        <w:t xml:space="preserve"> Hukum </w:t>
      </w:r>
      <w:proofErr w:type="spellStart"/>
      <w:r w:rsidRPr="005231C1">
        <w:rPr>
          <w:rFonts w:asciiTheme="majorHAnsi" w:eastAsia="Book Antiqua" w:hAnsiTheme="majorHAnsi" w:cs="Book Antiqua"/>
          <w:sz w:val="20"/>
          <w:szCs w:val="20"/>
        </w:rPr>
        <w:t>Tentang</w:t>
      </w:r>
      <w:proofErr w:type="spellEnd"/>
      <w:r w:rsidRPr="005231C1">
        <w:rPr>
          <w:rFonts w:asciiTheme="majorHAnsi" w:eastAsia="Book Antiqua" w:hAnsiTheme="majorHAnsi" w:cs="Book Antiqua"/>
          <w:sz w:val="20"/>
          <w:szCs w:val="20"/>
        </w:rPr>
        <w:t xml:space="preserve"> </w:t>
      </w:r>
      <w:proofErr w:type="spellStart"/>
      <w:r w:rsidRPr="005231C1">
        <w:rPr>
          <w:rFonts w:asciiTheme="majorHAnsi" w:eastAsia="Book Antiqua" w:hAnsiTheme="majorHAnsi" w:cs="Book Antiqua"/>
          <w:i/>
          <w:iCs/>
          <w:sz w:val="20"/>
          <w:szCs w:val="20"/>
        </w:rPr>
        <w:t>Cessie</w:t>
      </w:r>
      <w:proofErr w:type="spellEnd"/>
      <w:r w:rsidRPr="005231C1">
        <w:rPr>
          <w:rFonts w:asciiTheme="majorHAnsi" w:eastAsia="Book Antiqua" w:hAnsiTheme="majorHAnsi" w:cs="Book Antiqua"/>
          <w:sz w:val="20"/>
          <w:szCs w:val="20"/>
        </w:rPr>
        <w:t xml:space="preserve"> (Jakarta: Nasional Lembaga Legal Reform, 2010),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dugi" w:hAnsi="Gadugi"/>
      </w:rPr>
      <w:id w:val="41645642"/>
      <w:docPartObj>
        <w:docPartGallery w:val="Page Numbers (Top of Page)"/>
        <w:docPartUnique/>
      </w:docPartObj>
    </w:sdtPr>
    <w:sdtEndPr>
      <w:rPr>
        <w:noProof/>
      </w:rPr>
    </w:sdtEndPr>
    <w:sdtContent>
      <w:p w14:paraId="0E0DBDDA" w14:textId="49E2E121" w:rsidR="00236472" w:rsidRPr="00E05696" w:rsidRDefault="00236472" w:rsidP="00236472">
        <w:pPr>
          <w:pStyle w:val="Header"/>
          <w:rPr>
            <w:rFonts w:ascii="Gadugi" w:hAnsi="Gadugi"/>
            <w:lang w:val="id-ID"/>
          </w:rPr>
        </w:pPr>
        <w:r w:rsidRPr="00E05696">
          <w:rPr>
            <w:rFonts w:ascii="Gadugi" w:hAnsi="Gadugi"/>
            <w:b/>
            <w:bCs/>
          </w:rPr>
          <w:fldChar w:fldCharType="begin"/>
        </w:r>
        <w:r w:rsidRPr="00E05696">
          <w:rPr>
            <w:rFonts w:ascii="Gadugi" w:hAnsi="Gadugi"/>
            <w:b/>
            <w:bCs/>
          </w:rPr>
          <w:instrText xml:space="preserve"> PAGE   \* MERGEFORMAT </w:instrText>
        </w:r>
        <w:r w:rsidRPr="00E05696">
          <w:rPr>
            <w:rFonts w:ascii="Gadugi" w:hAnsi="Gadugi"/>
            <w:b/>
            <w:bCs/>
          </w:rPr>
          <w:fldChar w:fldCharType="separate"/>
        </w:r>
        <w:r>
          <w:rPr>
            <w:rFonts w:ascii="Gadugi" w:hAnsi="Gadugi"/>
            <w:b/>
            <w:bCs/>
          </w:rPr>
          <w:t>18</w:t>
        </w:r>
        <w:r w:rsidRPr="00E05696">
          <w:rPr>
            <w:rFonts w:ascii="Gadugi" w:hAnsi="Gadugi"/>
            <w:b/>
            <w:bCs/>
            <w:noProof/>
          </w:rPr>
          <w:fldChar w:fldCharType="end"/>
        </w:r>
        <w:r w:rsidRPr="00E05696">
          <w:rPr>
            <w:rFonts w:ascii="Gadugi" w:hAnsi="Gadugi"/>
            <w:b/>
            <w:bCs/>
            <w:noProof/>
          </w:rPr>
          <w:t xml:space="preserve"> </w:t>
        </w:r>
        <w:r w:rsidRPr="00E05696">
          <w:rPr>
            <w:rFonts w:ascii="Gadugi" w:hAnsi="Gadugi"/>
            <w:noProof/>
          </w:rPr>
          <w:t xml:space="preserve">          </w:t>
        </w:r>
        <w:r>
          <w:rPr>
            <w:rFonts w:ascii="Gadugi" w:hAnsi="Gadugi"/>
            <w:b/>
          </w:rPr>
          <w:t xml:space="preserve">IPMHI </w:t>
        </w:r>
        <w:r w:rsidRPr="00236472">
          <w:rPr>
            <w:rFonts w:ascii="Gadugi" w:hAnsi="Gadugi"/>
            <w:b/>
            <w:color w:val="A6A6A6" w:themeColor="background1" w:themeShade="A6"/>
          </w:rPr>
          <w:t>LAW JOURNAL</w:t>
        </w:r>
        <w:r w:rsidRPr="00236472">
          <w:rPr>
            <w:rFonts w:ascii="Gadugi" w:hAnsi="Gadugi"/>
            <w:color w:val="A6A6A6" w:themeColor="background1" w:themeShade="A6"/>
          </w:rPr>
          <w:t xml:space="preserve"> </w:t>
        </w:r>
        <w:r w:rsidRPr="00E05696">
          <w:rPr>
            <w:rFonts w:ascii="Gadugi" w:hAnsi="Gadugi"/>
          </w:rPr>
          <w:t xml:space="preserve">VOLUME </w:t>
        </w:r>
        <w:r w:rsidR="005231C1">
          <w:rPr>
            <w:rFonts w:ascii="Gadugi" w:hAnsi="Gadugi"/>
            <w:lang w:val="en-US"/>
          </w:rPr>
          <w:t>6</w:t>
        </w:r>
        <w:r w:rsidRPr="00E05696">
          <w:rPr>
            <w:rFonts w:ascii="Gadugi" w:hAnsi="Gadugi"/>
          </w:rPr>
          <w:t>(</w:t>
        </w:r>
        <w:r w:rsidRPr="00E05696">
          <w:rPr>
            <w:rFonts w:ascii="Gadugi" w:hAnsi="Gadugi"/>
            <w:lang w:val="id-ID"/>
          </w:rPr>
          <w:t>1</w:t>
        </w:r>
        <w:r w:rsidRPr="00E05696">
          <w:rPr>
            <w:rFonts w:ascii="Gadugi" w:hAnsi="Gadugi"/>
          </w:rPr>
          <w:t xml:space="preserve">) </w:t>
        </w:r>
        <w:r w:rsidRPr="00E05696">
          <w:rPr>
            <w:rFonts w:ascii="Gadugi" w:hAnsi="Gadugi"/>
            <w:lang w:val="id-ID"/>
          </w:rPr>
          <w:t>202</w:t>
        </w:r>
        <w:r w:rsidR="005231C1">
          <w:rPr>
            <w:rFonts w:ascii="Gadugi" w:hAnsi="Gadugi"/>
            <w:lang w:val="id-ID"/>
          </w:rPr>
          <w:t>6</w:t>
        </w:r>
      </w:p>
      <w:p w14:paraId="403919E1" w14:textId="77777777" w:rsidR="00236472" w:rsidRPr="00474FB7" w:rsidRDefault="00F77027" w:rsidP="00236472">
        <w:pPr>
          <w:pStyle w:val="Header"/>
          <w:rPr>
            <w:rFonts w:ascii="Gadugi" w:hAnsi="Gadugi"/>
          </w:rPr>
        </w:pPr>
      </w:p>
    </w:sdtContent>
  </w:sdt>
  <w:p w14:paraId="0522ED3C" w14:textId="77777777" w:rsidR="00236472" w:rsidRDefault="00236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184D" w14:textId="61882982" w:rsidR="00236472" w:rsidRPr="00E05696" w:rsidRDefault="00F77027" w:rsidP="00236472">
    <w:pPr>
      <w:pStyle w:val="Header"/>
      <w:jc w:val="right"/>
      <w:rPr>
        <w:rFonts w:ascii="Gadugi" w:hAnsi="Gadugi"/>
      </w:rPr>
    </w:pPr>
    <w:sdt>
      <w:sdtPr>
        <w:rPr>
          <w:rFonts w:ascii="Gadugi" w:hAnsi="Gadugi"/>
        </w:rPr>
        <w:id w:val="-1266914645"/>
        <w:docPartObj>
          <w:docPartGallery w:val="Page Numbers (Top of Page)"/>
          <w:docPartUnique/>
        </w:docPartObj>
      </w:sdtPr>
      <w:sdtEndPr>
        <w:rPr>
          <w:noProof/>
        </w:rPr>
      </w:sdtEndPr>
      <w:sdtContent>
        <w:r w:rsidR="00236472" w:rsidRPr="00E05696">
          <w:rPr>
            <w:rFonts w:ascii="Gadugi" w:hAnsi="Gadugi"/>
          </w:rPr>
          <w:t xml:space="preserve"> </w:t>
        </w:r>
        <w:r w:rsidR="00236472">
          <w:rPr>
            <w:rFonts w:ascii="Gadugi" w:hAnsi="Gadugi"/>
            <w:b/>
          </w:rPr>
          <w:t xml:space="preserve">IPMHI </w:t>
        </w:r>
        <w:r w:rsidR="00236472" w:rsidRPr="00236472">
          <w:rPr>
            <w:rFonts w:ascii="Gadugi" w:hAnsi="Gadugi"/>
            <w:b/>
            <w:color w:val="A6A6A6" w:themeColor="background1" w:themeShade="A6"/>
          </w:rPr>
          <w:t>LAW JOURNAL</w:t>
        </w:r>
        <w:r w:rsidR="00236472" w:rsidRPr="00236472">
          <w:rPr>
            <w:rFonts w:ascii="Gadugi" w:hAnsi="Gadugi"/>
            <w:color w:val="A6A6A6" w:themeColor="background1" w:themeShade="A6"/>
          </w:rPr>
          <w:t xml:space="preserve"> </w:t>
        </w:r>
        <w:r w:rsidR="00236472" w:rsidRPr="00E05696">
          <w:rPr>
            <w:rFonts w:ascii="Gadugi" w:hAnsi="Gadugi"/>
          </w:rPr>
          <w:t xml:space="preserve">VOLUME </w:t>
        </w:r>
        <w:r w:rsidR="005231C1">
          <w:rPr>
            <w:rFonts w:ascii="Gadugi" w:hAnsi="Gadugi"/>
            <w:lang w:val="en-US"/>
          </w:rPr>
          <w:t>6</w:t>
        </w:r>
        <w:r w:rsidR="00236472" w:rsidRPr="00E05696">
          <w:rPr>
            <w:rFonts w:ascii="Gadugi" w:hAnsi="Gadugi"/>
          </w:rPr>
          <w:t>(</w:t>
        </w:r>
        <w:r w:rsidR="00236472" w:rsidRPr="00E05696">
          <w:rPr>
            <w:rFonts w:ascii="Gadugi" w:hAnsi="Gadugi"/>
            <w:lang w:val="id-ID"/>
          </w:rPr>
          <w:t>1</w:t>
        </w:r>
        <w:r w:rsidR="00236472" w:rsidRPr="00E05696">
          <w:rPr>
            <w:rFonts w:ascii="Gadugi" w:hAnsi="Gadugi"/>
          </w:rPr>
          <w:t xml:space="preserve">) </w:t>
        </w:r>
        <w:r w:rsidR="00236472" w:rsidRPr="00E05696">
          <w:rPr>
            <w:rFonts w:ascii="Gadugi" w:hAnsi="Gadugi"/>
            <w:lang w:val="id-ID"/>
          </w:rPr>
          <w:t>202</w:t>
        </w:r>
        <w:r w:rsidR="00F76E5E">
          <w:rPr>
            <w:rFonts w:ascii="Gadugi" w:hAnsi="Gadugi"/>
            <w:lang w:val="en-US"/>
          </w:rPr>
          <w:t>6</w:t>
        </w:r>
        <w:r w:rsidR="00236472" w:rsidRPr="00E05696">
          <w:rPr>
            <w:rFonts w:ascii="Gadugi" w:hAnsi="Gadugi"/>
          </w:rPr>
          <w:t xml:space="preserve">          </w:t>
        </w:r>
        <w:r w:rsidR="00236472" w:rsidRPr="00E05696">
          <w:rPr>
            <w:rFonts w:ascii="Gadugi" w:hAnsi="Gadugi"/>
            <w:b/>
          </w:rPr>
          <w:fldChar w:fldCharType="begin"/>
        </w:r>
        <w:r w:rsidR="00236472" w:rsidRPr="00E05696">
          <w:rPr>
            <w:rFonts w:ascii="Gadugi" w:hAnsi="Gadugi"/>
            <w:b/>
          </w:rPr>
          <w:instrText xml:space="preserve"> PAGE   \* MERGEFORMAT </w:instrText>
        </w:r>
        <w:r w:rsidR="00236472" w:rsidRPr="00E05696">
          <w:rPr>
            <w:rFonts w:ascii="Gadugi" w:hAnsi="Gadugi"/>
            <w:b/>
          </w:rPr>
          <w:fldChar w:fldCharType="separate"/>
        </w:r>
        <w:r w:rsidR="00236472">
          <w:rPr>
            <w:rFonts w:ascii="Gadugi" w:hAnsi="Gadugi"/>
            <w:b/>
          </w:rPr>
          <w:t>17</w:t>
        </w:r>
        <w:r w:rsidR="00236472" w:rsidRPr="00E05696">
          <w:rPr>
            <w:rFonts w:ascii="Gadugi" w:hAnsi="Gadugi"/>
            <w:b/>
            <w:noProof/>
          </w:rPr>
          <w:fldChar w:fldCharType="end"/>
        </w:r>
      </w:sdtContent>
    </w:sdt>
  </w:p>
  <w:p w14:paraId="5C2145EC" w14:textId="77777777" w:rsidR="00236472" w:rsidRPr="00474FB7" w:rsidRDefault="00236472" w:rsidP="00236472">
    <w:pPr>
      <w:pStyle w:val="Header"/>
      <w:rPr>
        <w:rFonts w:ascii="Gadugi" w:hAnsi="Gadugi"/>
      </w:rPr>
    </w:pPr>
  </w:p>
  <w:p w14:paraId="4E89D244" w14:textId="77777777" w:rsidR="00236472" w:rsidRDefault="00236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5949080"/>
    <w:lvl w:ilvl="0" w:tplc="138E9318">
      <w:start w:val="1"/>
      <w:numFmt w:val="bullet"/>
      <w:lvlText w:val="–"/>
      <w:lvlJc w:val="left"/>
      <w:pPr>
        <w:ind w:left="1146" w:hanging="360"/>
      </w:pPr>
      <w:rPr>
        <w:rFonts w:ascii="Times New Roman" w:hAnsi="Times New Roman" w:cs="Times New Roman"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 w15:restartNumberingAfterBreak="0">
    <w:nsid w:val="00000003"/>
    <w:multiLevelType w:val="hybridMultilevel"/>
    <w:tmpl w:val="1654E65A"/>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15:restartNumberingAfterBreak="0">
    <w:nsid w:val="00000006"/>
    <w:multiLevelType w:val="hybridMultilevel"/>
    <w:tmpl w:val="C5C804C6"/>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15:restartNumberingAfterBreak="0">
    <w:nsid w:val="00000007"/>
    <w:multiLevelType w:val="hybridMultilevel"/>
    <w:tmpl w:val="20AA669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0000008"/>
    <w:multiLevelType w:val="hybridMultilevel"/>
    <w:tmpl w:val="AC082640"/>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 w15:restartNumberingAfterBreak="0">
    <w:nsid w:val="0000000A"/>
    <w:multiLevelType w:val="hybridMultilevel"/>
    <w:tmpl w:val="A288E47E"/>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15:restartNumberingAfterBreak="0">
    <w:nsid w:val="0000000D"/>
    <w:multiLevelType w:val="hybridMultilevel"/>
    <w:tmpl w:val="F340A4CA"/>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 w15:restartNumberingAfterBreak="0">
    <w:nsid w:val="0B155C45"/>
    <w:multiLevelType w:val="multilevel"/>
    <w:tmpl w:val="11ECD40C"/>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15:restartNumberingAfterBreak="0">
    <w:nsid w:val="17640930"/>
    <w:multiLevelType w:val="hybridMultilevel"/>
    <w:tmpl w:val="194256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458A4"/>
    <w:multiLevelType w:val="multilevel"/>
    <w:tmpl w:val="C81A246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15:restartNumberingAfterBreak="0">
    <w:nsid w:val="24E93F7F"/>
    <w:multiLevelType w:val="multilevel"/>
    <w:tmpl w:val="53622D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2C2043B"/>
    <w:multiLevelType w:val="multilevel"/>
    <w:tmpl w:val="F08E3F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74C1459"/>
    <w:multiLevelType w:val="hybridMultilevel"/>
    <w:tmpl w:val="AA10CC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DE7192"/>
    <w:multiLevelType w:val="multilevel"/>
    <w:tmpl w:val="8CEA681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4" w15:restartNumberingAfterBreak="0">
    <w:nsid w:val="3BDA6C33"/>
    <w:multiLevelType w:val="multilevel"/>
    <w:tmpl w:val="710668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3ECF4EAE"/>
    <w:multiLevelType w:val="hybridMultilevel"/>
    <w:tmpl w:val="66263B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6AA2DE8"/>
    <w:multiLevelType w:val="multilevel"/>
    <w:tmpl w:val="ABFEC27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57244DE2"/>
    <w:multiLevelType w:val="multilevel"/>
    <w:tmpl w:val="188036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11F2AD8"/>
    <w:multiLevelType w:val="multilevel"/>
    <w:tmpl w:val="DBD07868"/>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678A6323"/>
    <w:multiLevelType w:val="hybridMultilevel"/>
    <w:tmpl w:val="E63405A2"/>
    <w:lvl w:ilvl="0" w:tplc="74405410">
      <w:start w:val="1"/>
      <w:numFmt w:val="upperLetter"/>
      <w:lvlText w:val="%1."/>
      <w:lvlJc w:val="left"/>
      <w:pPr>
        <w:ind w:left="1210" w:hanging="360"/>
      </w:pPr>
      <w:rPr>
        <w:rFonts w:cs="Arial" w:hint="default"/>
        <w:b/>
        <w:bCs/>
        <w:color w:val="C00000"/>
        <w:sz w:val="28"/>
        <w:szCs w:val="2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5800B25"/>
    <w:multiLevelType w:val="hybridMultilevel"/>
    <w:tmpl w:val="0A9C4BF8"/>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15:restartNumberingAfterBreak="0">
    <w:nsid w:val="7C3F5975"/>
    <w:multiLevelType w:val="multilevel"/>
    <w:tmpl w:val="4FA6024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9"/>
  </w:num>
  <w:num w:numId="2">
    <w:abstractNumId w:val="4"/>
  </w:num>
  <w:num w:numId="3">
    <w:abstractNumId w:val="5"/>
  </w:num>
  <w:num w:numId="4">
    <w:abstractNumId w:val="3"/>
  </w:num>
  <w:num w:numId="5">
    <w:abstractNumId w:val="0"/>
  </w:num>
  <w:num w:numId="6">
    <w:abstractNumId w:val="1"/>
  </w:num>
  <w:num w:numId="7">
    <w:abstractNumId w:val="20"/>
  </w:num>
  <w:num w:numId="8">
    <w:abstractNumId w:val="2"/>
  </w:num>
  <w:num w:numId="9">
    <w:abstractNumId w:val="6"/>
  </w:num>
  <w:num w:numId="10">
    <w:abstractNumId w:val="15"/>
  </w:num>
  <w:num w:numId="11">
    <w:abstractNumId w:val="21"/>
  </w:num>
  <w:num w:numId="12">
    <w:abstractNumId w:val="16"/>
  </w:num>
  <w:num w:numId="13">
    <w:abstractNumId w:val="13"/>
  </w:num>
  <w:num w:numId="14">
    <w:abstractNumId w:val="18"/>
  </w:num>
  <w:num w:numId="15">
    <w:abstractNumId w:val="7"/>
  </w:num>
  <w:num w:numId="16">
    <w:abstractNumId w:val="17"/>
  </w:num>
  <w:num w:numId="17">
    <w:abstractNumId w:val="11"/>
  </w:num>
  <w:num w:numId="18">
    <w:abstractNumId w:val="10"/>
  </w:num>
  <w:num w:numId="19">
    <w:abstractNumId w:val="9"/>
  </w:num>
  <w:num w:numId="20">
    <w:abstractNumId w:val="14"/>
  </w:num>
  <w:num w:numId="21">
    <w:abstractNumId w:val="12"/>
  </w:num>
  <w:num w:numId="2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wtjAzM7SwNLM0MjFR0lEKTi0uzszPAykwMqoFALE/UG4tAAAA"/>
  </w:docVars>
  <w:rsids>
    <w:rsidRoot w:val="00D65224"/>
    <w:rsid w:val="00002B04"/>
    <w:rsid w:val="00015108"/>
    <w:rsid w:val="000201AB"/>
    <w:rsid w:val="00023F45"/>
    <w:rsid w:val="0004293B"/>
    <w:rsid w:val="000439F9"/>
    <w:rsid w:val="00056092"/>
    <w:rsid w:val="00072626"/>
    <w:rsid w:val="00072768"/>
    <w:rsid w:val="00073FF5"/>
    <w:rsid w:val="000816C5"/>
    <w:rsid w:val="00083A1B"/>
    <w:rsid w:val="0009573E"/>
    <w:rsid w:val="000976D2"/>
    <w:rsid w:val="000A776A"/>
    <w:rsid w:val="000A790A"/>
    <w:rsid w:val="000B781D"/>
    <w:rsid w:val="000C1479"/>
    <w:rsid w:val="000C2146"/>
    <w:rsid w:val="000C485E"/>
    <w:rsid w:val="000F5238"/>
    <w:rsid w:val="00102ED6"/>
    <w:rsid w:val="0010774A"/>
    <w:rsid w:val="00111757"/>
    <w:rsid w:val="00123348"/>
    <w:rsid w:val="00131014"/>
    <w:rsid w:val="00134166"/>
    <w:rsid w:val="0014650A"/>
    <w:rsid w:val="001504EB"/>
    <w:rsid w:val="00154A55"/>
    <w:rsid w:val="00157AF3"/>
    <w:rsid w:val="001659D0"/>
    <w:rsid w:val="00175FBD"/>
    <w:rsid w:val="00180033"/>
    <w:rsid w:val="00182825"/>
    <w:rsid w:val="00185CE2"/>
    <w:rsid w:val="00194C6C"/>
    <w:rsid w:val="00195632"/>
    <w:rsid w:val="00197BEF"/>
    <w:rsid w:val="001A24FD"/>
    <w:rsid w:val="001B2567"/>
    <w:rsid w:val="001D0ED1"/>
    <w:rsid w:val="001D25EB"/>
    <w:rsid w:val="001E0940"/>
    <w:rsid w:val="001F4CDF"/>
    <w:rsid w:val="002038F6"/>
    <w:rsid w:val="00210A9E"/>
    <w:rsid w:val="00211B09"/>
    <w:rsid w:val="00213C67"/>
    <w:rsid w:val="002174DB"/>
    <w:rsid w:val="00217D33"/>
    <w:rsid w:val="0022167A"/>
    <w:rsid w:val="00225FD9"/>
    <w:rsid w:val="002264B1"/>
    <w:rsid w:val="00233043"/>
    <w:rsid w:val="00236472"/>
    <w:rsid w:val="002406E6"/>
    <w:rsid w:val="00242F37"/>
    <w:rsid w:val="00243D43"/>
    <w:rsid w:val="0024768E"/>
    <w:rsid w:val="00257121"/>
    <w:rsid w:val="00283DB4"/>
    <w:rsid w:val="00284D54"/>
    <w:rsid w:val="00285F65"/>
    <w:rsid w:val="0028730B"/>
    <w:rsid w:val="0029137C"/>
    <w:rsid w:val="00291DFA"/>
    <w:rsid w:val="00294F10"/>
    <w:rsid w:val="002A3CA4"/>
    <w:rsid w:val="002A41B7"/>
    <w:rsid w:val="002A6B11"/>
    <w:rsid w:val="002B7124"/>
    <w:rsid w:val="002B7413"/>
    <w:rsid w:val="002C1770"/>
    <w:rsid w:val="002C25F9"/>
    <w:rsid w:val="002D17B4"/>
    <w:rsid w:val="002D1E5C"/>
    <w:rsid w:val="002D3B11"/>
    <w:rsid w:val="002D5A98"/>
    <w:rsid w:val="002D5F0C"/>
    <w:rsid w:val="002E4F57"/>
    <w:rsid w:val="002E5667"/>
    <w:rsid w:val="002F08A1"/>
    <w:rsid w:val="003018CC"/>
    <w:rsid w:val="00321566"/>
    <w:rsid w:val="003301B2"/>
    <w:rsid w:val="00331044"/>
    <w:rsid w:val="00331947"/>
    <w:rsid w:val="00331EAC"/>
    <w:rsid w:val="003370B1"/>
    <w:rsid w:val="00354D16"/>
    <w:rsid w:val="00360C6A"/>
    <w:rsid w:val="00364958"/>
    <w:rsid w:val="00370806"/>
    <w:rsid w:val="0037393F"/>
    <w:rsid w:val="003760F1"/>
    <w:rsid w:val="00381D58"/>
    <w:rsid w:val="003827A1"/>
    <w:rsid w:val="00384A6A"/>
    <w:rsid w:val="00395B64"/>
    <w:rsid w:val="003A7388"/>
    <w:rsid w:val="003B0920"/>
    <w:rsid w:val="003C7DA2"/>
    <w:rsid w:val="003D147D"/>
    <w:rsid w:val="003D5AF4"/>
    <w:rsid w:val="003D6F7E"/>
    <w:rsid w:val="003E24AD"/>
    <w:rsid w:val="003E44BB"/>
    <w:rsid w:val="003E53C2"/>
    <w:rsid w:val="003F6E84"/>
    <w:rsid w:val="0040504C"/>
    <w:rsid w:val="0040678E"/>
    <w:rsid w:val="00407FCF"/>
    <w:rsid w:val="00417108"/>
    <w:rsid w:val="00417888"/>
    <w:rsid w:val="00427197"/>
    <w:rsid w:val="00434795"/>
    <w:rsid w:val="00435EF8"/>
    <w:rsid w:val="0043645C"/>
    <w:rsid w:val="00456F92"/>
    <w:rsid w:val="00457A58"/>
    <w:rsid w:val="00465D0E"/>
    <w:rsid w:val="0049417C"/>
    <w:rsid w:val="00497D41"/>
    <w:rsid w:val="004A5747"/>
    <w:rsid w:val="004B0E39"/>
    <w:rsid w:val="004B1867"/>
    <w:rsid w:val="004B561C"/>
    <w:rsid w:val="004C1EAF"/>
    <w:rsid w:val="004D0F70"/>
    <w:rsid w:val="004E7C5F"/>
    <w:rsid w:val="004F4A3A"/>
    <w:rsid w:val="005058C1"/>
    <w:rsid w:val="0050733F"/>
    <w:rsid w:val="00510E6A"/>
    <w:rsid w:val="005123B5"/>
    <w:rsid w:val="00513F17"/>
    <w:rsid w:val="005231C1"/>
    <w:rsid w:val="00531DB7"/>
    <w:rsid w:val="00535116"/>
    <w:rsid w:val="00543AC9"/>
    <w:rsid w:val="00545FC6"/>
    <w:rsid w:val="0055277E"/>
    <w:rsid w:val="0055549F"/>
    <w:rsid w:val="00555964"/>
    <w:rsid w:val="00556587"/>
    <w:rsid w:val="00557F0E"/>
    <w:rsid w:val="005607C2"/>
    <w:rsid w:val="00561AD2"/>
    <w:rsid w:val="005859A9"/>
    <w:rsid w:val="005A081A"/>
    <w:rsid w:val="005A409F"/>
    <w:rsid w:val="005A7305"/>
    <w:rsid w:val="005A7ED7"/>
    <w:rsid w:val="005C5BB3"/>
    <w:rsid w:val="005D2A9D"/>
    <w:rsid w:val="005E0D1E"/>
    <w:rsid w:val="005E1796"/>
    <w:rsid w:val="005E21DC"/>
    <w:rsid w:val="005E4610"/>
    <w:rsid w:val="005F0D88"/>
    <w:rsid w:val="005F29BB"/>
    <w:rsid w:val="005F39B5"/>
    <w:rsid w:val="006021D8"/>
    <w:rsid w:val="0060227A"/>
    <w:rsid w:val="00614BA5"/>
    <w:rsid w:val="00614C5B"/>
    <w:rsid w:val="006211B4"/>
    <w:rsid w:val="00621670"/>
    <w:rsid w:val="00621C6D"/>
    <w:rsid w:val="00624910"/>
    <w:rsid w:val="006265D4"/>
    <w:rsid w:val="006275EC"/>
    <w:rsid w:val="006301D9"/>
    <w:rsid w:val="006311F7"/>
    <w:rsid w:val="006348C6"/>
    <w:rsid w:val="00642033"/>
    <w:rsid w:val="00650905"/>
    <w:rsid w:val="0065275E"/>
    <w:rsid w:val="00656F04"/>
    <w:rsid w:val="006578D2"/>
    <w:rsid w:val="0066398B"/>
    <w:rsid w:val="006648C2"/>
    <w:rsid w:val="00672537"/>
    <w:rsid w:val="00673439"/>
    <w:rsid w:val="006856AC"/>
    <w:rsid w:val="006A05EB"/>
    <w:rsid w:val="006A61CB"/>
    <w:rsid w:val="006B0087"/>
    <w:rsid w:val="006B2ED7"/>
    <w:rsid w:val="006B552F"/>
    <w:rsid w:val="006C283E"/>
    <w:rsid w:val="006D5E72"/>
    <w:rsid w:val="006E029A"/>
    <w:rsid w:val="006E22AE"/>
    <w:rsid w:val="00705881"/>
    <w:rsid w:val="00715B6A"/>
    <w:rsid w:val="00736A92"/>
    <w:rsid w:val="0075274F"/>
    <w:rsid w:val="0076463A"/>
    <w:rsid w:val="00767375"/>
    <w:rsid w:val="0078183D"/>
    <w:rsid w:val="00782839"/>
    <w:rsid w:val="00784B4D"/>
    <w:rsid w:val="007854A4"/>
    <w:rsid w:val="0079401F"/>
    <w:rsid w:val="007A71A5"/>
    <w:rsid w:val="007B7D89"/>
    <w:rsid w:val="007C12FE"/>
    <w:rsid w:val="007C1830"/>
    <w:rsid w:val="007C3025"/>
    <w:rsid w:val="007C38D2"/>
    <w:rsid w:val="007D016B"/>
    <w:rsid w:val="007E2002"/>
    <w:rsid w:val="007F43CB"/>
    <w:rsid w:val="007F579B"/>
    <w:rsid w:val="007F668C"/>
    <w:rsid w:val="007F736B"/>
    <w:rsid w:val="008018E9"/>
    <w:rsid w:val="00801E1B"/>
    <w:rsid w:val="0081091B"/>
    <w:rsid w:val="00813453"/>
    <w:rsid w:val="00813C7E"/>
    <w:rsid w:val="008150AF"/>
    <w:rsid w:val="00820657"/>
    <w:rsid w:val="008244D4"/>
    <w:rsid w:val="0082723D"/>
    <w:rsid w:val="0083500E"/>
    <w:rsid w:val="00851874"/>
    <w:rsid w:val="00857B42"/>
    <w:rsid w:val="0086287D"/>
    <w:rsid w:val="00873081"/>
    <w:rsid w:val="008730B6"/>
    <w:rsid w:val="008733C8"/>
    <w:rsid w:val="00874903"/>
    <w:rsid w:val="00874CEE"/>
    <w:rsid w:val="00877B37"/>
    <w:rsid w:val="00894049"/>
    <w:rsid w:val="00894861"/>
    <w:rsid w:val="00895CAF"/>
    <w:rsid w:val="008B3A68"/>
    <w:rsid w:val="008C12A2"/>
    <w:rsid w:val="008D0CDC"/>
    <w:rsid w:val="008D2E01"/>
    <w:rsid w:val="008D7913"/>
    <w:rsid w:val="008E27FF"/>
    <w:rsid w:val="008F0809"/>
    <w:rsid w:val="008F18DE"/>
    <w:rsid w:val="00903B51"/>
    <w:rsid w:val="00905589"/>
    <w:rsid w:val="00913728"/>
    <w:rsid w:val="00927495"/>
    <w:rsid w:val="009314AE"/>
    <w:rsid w:val="00934C07"/>
    <w:rsid w:val="00934D3E"/>
    <w:rsid w:val="00950BEE"/>
    <w:rsid w:val="00955725"/>
    <w:rsid w:val="0095728D"/>
    <w:rsid w:val="009932C6"/>
    <w:rsid w:val="00994335"/>
    <w:rsid w:val="009965CF"/>
    <w:rsid w:val="009A09F3"/>
    <w:rsid w:val="009A62FB"/>
    <w:rsid w:val="009C5DEF"/>
    <w:rsid w:val="009C6A93"/>
    <w:rsid w:val="009D4A7E"/>
    <w:rsid w:val="009F4231"/>
    <w:rsid w:val="00A0133E"/>
    <w:rsid w:val="00A07C2C"/>
    <w:rsid w:val="00A10FDE"/>
    <w:rsid w:val="00A26278"/>
    <w:rsid w:val="00A52D2C"/>
    <w:rsid w:val="00A56B92"/>
    <w:rsid w:val="00A57BFE"/>
    <w:rsid w:val="00A601C6"/>
    <w:rsid w:val="00A72DA9"/>
    <w:rsid w:val="00A77338"/>
    <w:rsid w:val="00A82D7F"/>
    <w:rsid w:val="00A86DF8"/>
    <w:rsid w:val="00A926F2"/>
    <w:rsid w:val="00A96A84"/>
    <w:rsid w:val="00AA144C"/>
    <w:rsid w:val="00AA1F4B"/>
    <w:rsid w:val="00AA3100"/>
    <w:rsid w:val="00AA3161"/>
    <w:rsid w:val="00AA3D8C"/>
    <w:rsid w:val="00AB4889"/>
    <w:rsid w:val="00AC02EF"/>
    <w:rsid w:val="00AC1405"/>
    <w:rsid w:val="00AC36FC"/>
    <w:rsid w:val="00AD04E8"/>
    <w:rsid w:val="00AD12EA"/>
    <w:rsid w:val="00AD1DD0"/>
    <w:rsid w:val="00AD3846"/>
    <w:rsid w:val="00AD5F56"/>
    <w:rsid w:val="00AD741A"/>
    <w:rsid w:val="00AF05BF"/>
    <w:rsid w:val="00AF19C2"/>
    <w:rsid w:val="00AF47C9"/>
    <w:rsid w:val="00B008EC"/>
    <w:rsid w:val="00B15DAE"/>
    <w:rsid w:val="00B35A25"/>
    <w:rsid w:val="00B37CDF"/>
    <w:rsid w:val="00B45A40"/>
    <w:rsid w:val="00B7408F"/>
    <w:rsid w:val="00B774F5"/>
    <w:rsid w:val="00B93367"/>
    <w:rsid w:val="00BB572D"/>
    <w:rsid w:val="00BB789D"/>
    <w:rsid w:val="00BD1EB0"/>
    <w:rsid w:val="00BD28F0"/>
    <w:rsid w:val="00BD494E"/>
    <w:rsid w:val="00BF297A"/>
    <w:rsid w:val="00C00E53"/>
    <w:rsid w:val="00C026A5"/>
    <w:rsid w:val="00C30083"/>
    <w:rsid w:val="00C315B9"/>
    <w:rsid w:val="00C34C38"/>
    <w:rsid w:val="00C4614E"/>
    <w:rsid w:val="00C46CFA"/>
    <w:rsid w:val="00C52AAC"/>
    <w:rsid w:val="00C558F1"/>
    <w:rsid w:val="00C60CA1"/>
    <w:rsid w:val="00C62562"/>
    <w:rsid w:val="00C64AA7"/>
    <w:rsid w:val="00C65EEC"/>
    <w:rsid w:val="00C96580"/>
    <w:rsid w:val="00CA0700"/>
    <w:rsid w:val="00CA6BBA"/>
    <w:rsid w:val="00CD31C7"/>
    <w:rsid w:val="00CE35A6"/>
    <w:rsid w:val="00CF52CF"/>
    <w:rsid w:val="00D06CA8"/>
    <w:rsid w:val="00D07932"/>
    <w:rsid w:val="00D173D9"/>
    <w:rsid w:val="00D30193"/>
    <w:rsid w:val="00D32DF8"/>
    <w:rsid w:val="00D3745C"/>
    <w:rsid w:val="00D404AF"/>
    <w:rsid w:val="00D462B6"/>
    <w:rsid w:val="00D46728"/>
    <w:rsid w:val="00D65224"/>
    <w:rsid w:val="00D6635B"/>
    <w:rsid w:val="00D7742C"/>
    <w:rsid w:val="00D81170"/>
    <w:rsid w:val="00D845B6"/>
    <w:rsid w:val="00D86EF3"/>
    <w:rsid w:val="00D941B0"/>
    <w:rsid w:val="00DA7B2F"/>
    <w:rsid w:val="00DB2565"/>
    <w:rsid w:val="00DB4DC8"/>
    <w:rsid w:val="00DB6CDE"/>
    <w:rsid w:val="00DC1096"/>
    <w:rsid w:val="00DD5746"/>
    <w:rsid w:val="00DE281F"/>
    <w:rsid w:val="00DF3656"/>
    <w:rsid w:val="00DF5F43"/>
    <w:rsid w:val="00DF69DF"/>
    <w:rsid w:val="00E12BF7"/>
    <w:rsid w:val="00E13A5A"/>
    <w:rsid w:val="00E14ACC"/>
    <w:rsid w:val="00E3148C"/>
    <w:rsid w:val="00E31FC8"/>
    <w:rsid w:val="00E429F2"/>
    <w:rsid w:val="00E61535"/>
    <w:rsid w:val="00E632A4"/>
    <w:rsid w:val="00E70713"/>
    <w:rsid w:val="00E7206B"/>
    <w:rsid w:val="00E74598"/>
    <w:rsid w:val="00E74D17"/>
    <w:rsid w:val="00E82137"/>
    <w:rsid w:val="00E84895"/>
    <w:rsid w:val="00E853ED"/>
    <w:rsid w:val="00E922AF"/>
    <w:rsid w:val="00E92B8E"/>
    <w:rsid w:val="00E958B9"/>
    <w:rsid w:val="00E97FD3"/>
    <w:rsid w:val="00EB2545"/>
    <w:rsid w:val="00EB3B47"/>
    <w:rsid w:val="00EC6E0E"/>
    <w:rsid w:val="00EC76B9"/>
    <w:rsid w:val="00ED2C20"/>
    <w:rsid w:val="00ED72A4"/>
    <w:rsid w:val="00EE2E1C"/>
    <w:rsid w:val="00EE3485"/>
    <w:rsid w:val="00EE46C3"/>
    <w:rsid w:val="00EE67F2"/>
    <w:rsid w:val="00EE797D"/>
    <w:rsid w:val="00F07847"/>
    <w:rsid w:val="00F26E85"/>
    <w:rsid w:val="00F312D2"/>
    <w:rsid w:val="00F318AB"/>
    <w:rsid w:val="00F37351"/>
    <w:rsid w:val="00F44C5C"/>
    <w:rsid w:val="00F5192C"/>
    <w:rsid w:val="00F54F23"/>
    <w:rsid w:val="00F659C1"/>
    <w:rsid w:val="00F673F3"/>
    <w:rsid w:val="00F70449"/>
    <w:rsid w:val="00F7633C"/>
    <w:rsid w:val="00F76374"/>
    <w:rsid w:val="00F76E5E"/>
    <w:rsid w:val="00F77027"/>
    <w:rsid w:val="00F861FE"/>
    <w:rsid w:val="00F86E09"/>
    <w:rsid w:val="00F909D3"/>
    <w:rsid w:val="00F90DB0"/>
    <w:rsid w:val="00F97B8E"/>
    <w:rsid w:val="00F97CA7"/>
    <w:rsid w:val="00FA03BE"/>
    <w:rsid w:val="00FA2896"/>
    <w:rsid w:val="00FA7BEB"/>
    <w:rsid w:val="00FB4D3D"/>
    <w:rsid w:val="00FC44CF"/>
    <w:rsid w:val="00FC50E0"/>
    <w:rsid w:val="00FD78A6"/>
    <w:rsid w:val="00FE2E24"/>
    <w:rsid w:val="00FE6146"/>
    <w:rsid w:val="00FF67DB"/>
    <w:rsid w:val="00FF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79DB2"/>
  <w15:docId w15:val="{DEC8CB11-05D9-448E-B468-CDB96279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224"/>
    <w:pPr>
      <w:spacing w:after="160" w:line="259" w:lineRule="auto"/>
    </w:pPr>
    <w:rPr>
      <w:lang w:val="en-ID"/>
    </w:rPr>
  </w:style>
  <w:style w:type="paragraph" w:styleId="Heading1">
    <w:name w:val="heading 1"/>
    <w:next w:val="Normal"/>
    <w:link w:val="Heading1Char"/>
    <w:uiPriority w:val="9"/>
    <w:qFormat/>
    <w:rsid w:val="003760F1"/>
    <w:pPr>
      <w:keepNext/>
      <w:keepLines/>
      <w:pBdr>
        <w:top w:val="nil"/>
        <w:left w:val="nil"/>
        <w:bottom w:val="nil"/>
        <w:right w:val="nil"/>
        <w:between w:val="nil"/>
        <w:bar w:val="nil"/>
      </w:pBdr>
      <w:spacing w:before="240" w:after="120" w:line="360" w:lineRule="auto"/>
      <w:outlineLvl w:val="0"/>
    </w:pPr>
    <w:rPr>
      <w:rFonts w:ascii="Times New Roman Bold" w:eastAsia="Times New Roman Bold" w:hAnsi="Times New Roman Bold" w:cs="Times New Roman Bold"/>
      <w:color w:val="000000"/>
      <w:sz w:val="28"/>
      <w:szCs w:val="28"/>
      <w:u w:color="000000"/>
      <w:bdr w:val="nil"/>
      <w:lang w:eastAsia="fi-FI"/>
    </w:rPr>
  </w:style>
  <w:style w:type="paragraph" w:styleId="Heading2">
    <w:name w:val="heading 2"/>
    <w:basedOn w:val="Normal"/>
    <w:next w:val="Normal"/>
    <w:link w:val="Heading2Char"/>
    <w:uiPriority w:val="9"/>
    <w:unhideWhenUsed/>
    <w:qFormat/>
    <w:rsid w:val="00331EA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86E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60F1"/>
    <w:rPr>
      <w:rFonts w:ascii="Times New Roman Bold" w:eastAsia="Times New Roman Bold" w:hAnsi="Times New Roman Bold" w:cs="Times New Roman Bold"/>
      <w:color w:val="000000"/>
      <w:sz w:val="28"/>
      <w:szCs w:val="28"/>
      <w:u w:color="000000"/>
      <w:bdr w:val="nil"/>
      <w:lang w:eastAsia="fi-FI"/>
    </w:rPr>
  </w:style>
  <w:style w:type="character" w:customStyle="1" w:styleId="Heading2Char">
    <w:name w:val="Heading 2 Char"/>
    <w:basedOn w:val="DefaultParagraphFont"/>
    <w:link w:val="Heading2"/>
    <w:rsid w:val="00331EAC"/>
    <w:rPr>
      <w:rFonts w:asciiTheme="majorHAnsi" w:eastAsiaTheme="majorEastAsia" w:hAnsiTheme="majorHAnsi" w:cstheme="majorBidi"/>
      <w:color w:val="365F91" w:themeColor="accent1" w:themeShade="BF"/>
      <w:sz w:val="26"/>
      <w:szCs w:val="26"/>
      <w:lang w:val="en-ID"/>
    </w:rPr>
  </w:style>
  <w:style w:type="character" w:customStyle="1" w:styleId="Heading3Char">
    <w:name w:val="Heading 3 Char"/>
    <w:basedOn w:val="DefaultParagraphFont"/>
    <w:link w:val="Heading3"/>
    <w:rsid w:val="00D86EF3"/>
    <w:rPr>
      <w:rFonts w:asciiTheme="majorHAnsi" w:eastAsiaTheme="majorEastAsia" w:hAnsiTheme="majorHAnsi" w:cstheme="majorBidi"/>
      <w:b/>
      <w:bCs/>
      <w:color w:val="4F81BD" w:themeColor="accent1"/>
      <w:lang w:val="en-ID"/>
    </w:rPr>
  </w:style>
  <w:style w:type="paragraph" w:styleId="ListParagraph">
    <w:name w:val="List Paragraph"/>
    <w:aliases w:val="Daftar Acuan,List Paragraph1"/>
    <w:basedOn w:val="Normal"/>
    <w:link w:val="ListParagraphChar"/>
    <w:uiPriority w:val="34"/>
    <w:qFormat/>
    <w:rsid w:val="00D65224"/>
    <w:pPr>
      <w:ind w:left="720"/>
      <w:contextualSpacing/>
    </w:pPr>
  </w:style>
  <w:style w:type="character" w:customStyle="1" w:styleId="ListParagraphChar">
    <w:name w:val="List Paragraph Char"/>
    <w:aliases w:val="Daftar Acuan Char,List Paragraph1 Char"/>
    <w:link w:val="ListParagraph"/>
    <w:uiPriority w:val="34"/>
    <w:qFormat/>
    <w:locked/>
    <w:rsid w:val="008D0CDC"/>
    <w:rPr>
      <w:lang w:val="en-ID"/>
    </w:rPr>
  </w:style>
  <w:style w:type="paragraph" w:styleId="EndnoteText">
    <w:name w:val="endnote text"/>
    <w:basedOn w:val="Normal"/>
    <w:link w:val="EndnoteTextChar"/>
    <w:uiPriority w:val="99"/>
    <w:semiHidden/>
    <w:unhideWhenUsed/>
    <w:rsid w:val="00D652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5224"/>
    <w:rPr>
      <w:sz w:val="20"/>
      <w:szCs w:val="20"/>
      <w:lang w:val="en-ID"/>
    </w:rPr>
  </w:style>
  <w:style w:type="character" w:styleId="EndnoteReference">
    <w:name w:val="endnote reference"/>
    <w:basedOn w:val="DefaultParagraphFont"/>
    <w:uiPriority w:val="99"/>
    <w:semiHidden/>
    <w:unhideWhenUsed/>
    <w:rsid w:val="00D65224"/>
    <w:rPr>
      <w:vertAlign w:val="superscript"/>
    </w:rPr>
  </w:style>
  <w:style w:type="paragraph" w:styleId="FootnoteText">
    <w:name w:val="footnote text"/>
    <w:aliases w:val="Char,Footnote Text Char1 Char,Footnote Text Char Char1 Char,Footnote Text Char1 Char Char Char,Footnote Text Char Char1 Char Char Char,Footnote Text Char Char2 Char,Footnote Text Char1 Char1,Footnote Text Char Char1 Char1"/>
    <w:basedOn w:val="Normal"/>
    <w:link w:val="FootnoteTextChar"/>
    <w:uiPriority w:val="99"/>
    <w:unhideWhenUsed/>
    <w:qFormat/>
    <w:rsid w:val="00D65224"/>
    <w:pPr>
      <w:spacing w:after="0" w:line="240" w:lineRule="auto"/>
    </w:pPr>
    <w:rPr>
      <w:sz w:val="20"/>
      <w:szCs w:val="20"/>
    </w:rPr>
  </w:style>
  <w:style w:type="character" w:customStyle="1" w:styleId="FootnoteTextChar">
    <w:name w:val="Footnote Text Char"/>
    <w:aliases w:val="Char Char,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qFormat/>
    <w:rsid w:val="00D65224"/>
    <w:rPr>
      <w:sz w:val="20"/>
      <w:szCs w:val="20"/>
      <w:lang w:val="en-ID"/>
    </w:rPr>
  </w:style>
  <w:style w:type="character" w:styleId="FootnoteReference">
    <w:name w:val="footnote reference"/>
    <w:basedOn w:val="DefaultParagraphFont"/>
    <w:uiPriority w:val="99"/>
    <w:unhideWhenUsed/>
    <w:rsid w:val="00D65224"/>
    <w:rPr>
      <w:vertAlign w:val="superscript"/>
    </w:rPr>
  </w:style>
  <w:style w:type="character" w:styleId="Hyperlink">
    <w:name w:val="Hyperlink"/>
    <w:basedOn w:val="DefaultParagraphFont"/>
    <w:uiPriority w:val="99"/>
    <w:unhideWhenUsed/>
    <w:rsid w:val="00D65224"/>
    <w:rPr>
      <w:color w:val="0000FF"/>
      <w:u w:val="single"/>
    </w:rPr>
  </w:style>
  <w:style w:type="character" w:customStyle="1" w:styleId="a">
    <w:name w:val="a"/>
    <w:basedOn w:val="DefaultParagraphFont"/>
    <w:rsid w:val="00D65224"/>
  </w:style>
  <w:style w:type="paragraph" w:customStyle="1" w:styleId="trackparagraph">
    <w:name w:val="track_paragraph"/>
    <w:basedOn w:val="Normal"/>
    <w:rsid w:val="00D65224"/>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Emphasis">
    <w:name w:val="Emphasis"/>
    <w:basedOn w:val="DefaultParagraphFont"/>
    <w:uiPriority w:val="20"/>
    <w:qFormat/>
    <w:rsid w:val="00D65224"/>
    <w:rPr>
      <w:i/>
      <w:iCs/>
    </w:rPr>
  </w:style>
  <w:style w:type="paragraph" w:styleId="Header">
    <w:name w:val="header"/>
    <w:basedOn w:val="Normal"/>
    <w:link w:val="HeaderChar"/>
    <w:uiPriority w:val="99"/>
    <w:unhideWhenUsed/>
    <w:rsid w:val="00D65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224"/>
    <w:rPr>
      <w:lang w:val="en-ID"/>
    </w:rPr>
  </w:style>
  <w:style w:type="paragraph" w:styleId="Footer">
    <w:name w:val="footer"/>
    <w:basedOn w:val="Normal"/>
    <w:link w:val="FooterChar"/>
    <w:uiPriority w:val="99"/>
    <w:unhideWhenUsed/>
    <w:rsid w:val="00D65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224"/>
    <w:rPr>
      <w:lang w:val="en-ID"/>
    </w:rPr>
  </w:style>
  <w:style w:type="character" w:customStyle="1" w:styleId="UnresolvedMention1">
    <w:name w:val="Unresolved Mention1"/>
    <w:basedOn w:val="DefaultParagraphFont"/>
    <w:uiPriority w:val="99"/>
    <w:semiHidden/>
    <w:unhideWhenUsed/>
    <w:rsid w:val="00D65224"/>
    <w:rPr>
      <w:color w:val="605E5C"/>
      <w:shd w:val="clear" w:color="auto" w:fill="E1DFDD"/>
    </w:rPr>
  </w:style>
  <w:style w:type="paragraph" w:styleId="BalloonText">
    <w:name w:val="Balloon Text"/>
    <w:basedOn w:val="Normal"/>
    <w:link w:val="BalloonTextChar"/>
    <w:semiHidden/>
    <w:unhideWhenUsed/>
    <w:rsid w:val="00D65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65224"/>
    <w:rPr>
      <w:rFonts w:ascii="Tahoma" w:hAnsi="Tahoma" w:cs="Tahoma"/>
      <w:sz w:val="16"/>
      <w:szCs w:val="16"/>
      <w:lang w:val="en-ID"/>
    </w:rPr>
  </w:style>
  <w:style w:type="table" w:styleId="TableGrid">
    <w:name w:val="Table Grid"/>
    <w:basedOn w:val="TableNormal"/>
    <w:uiPriority w:val="39"/>
    <w:rsid w:val="00D65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0227A"/>
  </w:style>
  <w:style w:type="character" w:customStyle="1" w:styleId="hps">
    <w:name w:val="hps"/>
    <w:rsid w:val="0060227A"/>
  </w:style>
  <w:style w:type="paragraph" w:styleId="NormalWeb">
    <w:name w:val="Normal (Web)"/>
    <w:basedOn w:val="Normal"/>
    <w:uiPriority w:val="99"/>
    <w:unhideWhenUsed/>
    <w:qFormat/>
    <w:rsid w:val="00874903"/>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UnresolvedMention">
    <w:name w:val="Unresolved Mention"/>
    <w:basedOn w:val="DefaultParagraphFont"/>
    <w:uiPriority w:val="99"/>
    <w:semiHidden/>
    <w:unhideWhenUsed/>
    <w:rsid w:val="00D81170"/>
    <w:rPr>
      <w:color w:val="605E5C"/>
      <w:shd w:val="clear" w:color="auto" w:fill="E1DFDD"/>
    </w:rPr>
  </w:style>
  <w:style w:type="character" w:customStyle="1" w:styleId="authorortitle">
    <w:name w:val="authorortitle"/>
    <w:basedOn w:val="DefaultParagraphFont"/>
    <w:rsid w:val="00AF47C9"/>
  </w:style>
  <w:style w:type="character" w:styleId="Strong">
    <w:name w:val="Strong"/>
    <w:basedOn w:val="DefaultParagraphFont"/>
    <w:uiPriority w:val="22"/>
    <w:qFormat/>
    <w:rsid w:val="000B781D"/>
    <w:rPr>
      <w:b/>
      <w:bCs/>
    </w:rPr>
  </w:style>
  <w:style w:type="paragraph" w:styleId="BodyText">
    <w:name w:val="Body Text"/>
    <w:basedOn w:val="Normal"/>
    <w:link w:val="BodyTextChar"/>
    <w:uiPriority w:val="1"/>
    <w:semiHidden/>
    <w:unhideWhenUsed/>
    <w:qFormat/>
    <w:rsid w:val="005607C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5607C2"/>
    <w:rPr>
      <w:rFonts w:ascii="Times New Roman" w:eastAsia="Times New Roman" w:hAnsi="Times New Roman" w:cs="Times New Roman"/>
      <w:sz w:val="24"/>
      <w:szCs w:val="24"/>
      <w:lang w:val="en-ID"/>
    </w:rPr>
  </w:style>
  <w:style w:type="character" w:customStyle="1" w:styleId="reference-accessdate">
    <w:name w:val="reference-accessdate"/>
    <w:basedOn w:val="DefaultParagraphFont"/>
    <w:rsid w:val="00B45A40"/>
  </w:style>
  <w:style w:type="character" w:customStyle="1" w:styleId="nowrap">
    <w:name w:val="nowrap"/>
    <w:basedOn w:val="DefaultParagraphFont"/>
    <w:rsid w:val="00B45A40"/>
  </w:style>
  <w:style w:type="paragraph" w:customStyle="1" w:styleId="b-qt">
    <w:name w:val="b-qt"/>
    <w:basedOn w:val="Normal"/>
    <w:rsid w:val="00927495"/>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bqfqa">
    <w:name w:val="bq_fq_a"/>
    <w:basedOn w:val="Normal"/>
    <w:rsid w:val="00927495"/>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NoSpacing">
    <w:name w:val="No Spacing"/>
    <w:uiPriority w:val="5"/>
    <w:qFormat/>
    <w:rsid w:val="00A96A84"/>
    <w:pPr>
      <w:spacing w:after="0" w:line="240" w:lineRule="auto"/>
    </w:pPr>
    <w:rPr>
      <w:rFonts w:ascii="Calibri" w:eastAsia="Calibri" w:hAnsi="Calibri" w:cs="Times New Roman"/>
    </w:rPr>
  </w:style>
  <w:style w:type="paragraph" w:styleId="Title">
    <w:name w:val="Title"/>
    <w:basedOn w:val="Normal"/>
    <w:next w:val="Normal"/>
    <w:link w:val="TitleChar"/>
    <w:uiPriority w:val="10"/>
    <w:qFormat/>
    <w:rsid w:val="00A96A84"/>
    <w:pPr>
      <w:spacing w:after="0" w:line="240" w:lineRule="auto"/>
    </w:pPr>
    <w:rPr>
      <w:rFonts w:ascii="Calibri Light" w:eastAsia="Calibri Light" w:hAnsi="Calibri Light" w:cs="Times New Roman"/>
      <w:spacing w:val="-10"/>
      <w:sz w:val="56"/>
      <w:szCs w:val="56"/>
      <w:lang w:val="en-US"/>
    </w:rPr>
  </w:style>
  <w:style w:type="character" w:customStyle="1" w:styleId="TitleChar">
    <w:name w:val="Title Char"/>
    <w:basedOn w:val="DefaultParagraphFont"/>
    <w:link w:val="Title"/>
    <w:uiPriority w:val="10"/>
    <w:rsid w:val="00A96A84"/>
    <w:rPr>
      <w:rFonts w:ascii="Calibri Light" w:eastAsia="Calibri Light" w:hAnsi="Calibri Light" w:cs="Times New Roman"/>
      <w:spacing w:val="-10"/>
      <w:sz w:val="56"/>
      <w:szCs w:val="56"/>
    </w:rPr>
  </w:style>
  <w:style w:type="character" w:customStyle="1" w:styleId="CommentTextChar">
    <w:name w:val="Comment Text Char"/>
    <w:basedOn w:val="DefaultParagraphFont"/>
    <w:link w:val="CommentText"/>
    <w:semiHidden/>
    <w:rsid w:val="00A96A84"/>
    <w:rPr>
      <w:rFonts w:ascii="Calibri" w:eastAsia="Calibri" w:hAnsi="Calibri" w:cs="Times New Roman"/>
      <w:sz w:val="20"/>
      <w:szCs w:val="20"/>
    </w:rPr>
  </w:style>
  <w:style w:type="paragraph" w:styleId="CommentText">
    <w:name w:val="annotation text"/>
    <w:basedOn w:val="Normal"/>
    <w:link w:val="CommentTextChar"/>
    <w:semiHidden/>
    <w:unhideWhenUsed/>
    <w:rsid w:val="00A96A84"/>
    <w:pPr>
      <w:spacing w:after="0" w:line="240" w:lineRule="auto"/>
    </w:pPr>
    <w:rPr>
      <w:rFonts w:ascii="Calibri" w:eastAsia="Calibri" w:hAnsi="Calibri" w:cs="Times New Roman"/>
      <w:sz w:val="20"/>
      <w:szCs w:val="20"/>
      <w:lang w:val="en-US"/>
    </w:rPr>
  </w:style>
  <w:style w:type="character" w:customStyle="1" w:styleId="CommentSubjectChar">
    <w:name w:val="Comment Subject Char"/>
    <w:basedOn w:val="CommentTextChar"/>
    <w:link w:val="CommentSubject"/>
    <w:semiHidden/>
    <w:rsid w:val="00A96A84"/>
    <w:rPr>
      <w:rFonts w:ascii="Calibri" w:eastAsia="Calibri" w:hAnsi="Calibri" w:cs="Times New Roman"/>
      <w:b/>
      <w:sz w:val="20"/>
      <w:szCs w:val="20"/>
    </w:rPr>
  </w:style>
  <w:style w:type="paragraph" w:styleId="CommentSubject">
    <w:name w:val="annotation subject"/>
    <w:basedOn w:val="CommentText"/>
    <w:next w:val="CommentText"/>
    <w:link w:val="CommentSubjectChar"/>
    <w:semiHidden/>
    <w:unhideWhenUsed/>
    <w:rsid w:val="00A96A84"/>
    <w:rPr>
      <w:b/>
    </w:rPr>
  </w:style>
  <w:style w:type="paragraph" w:customStyle="1" w:styleId="Default">
    <w:name w:val="Default"/>
    <w:unhideWhenUsed/>
    <w:rsid w:val="00FB4D3D"/>
    <w:pPr>
      <w:autoSpaceDE w:val="0"/>
      <w:autoSpaceDN w:val="0"/>
      <w:adjustRightInd w:val="0"/>
      <w:spacing w:after="0" w:line="240" w:lineRule="auto"/>
    </w:pPr>
    <w:rPr>
      <w:rFonts w:ascii="Times New Roman" w:eastAsia="SimSun" w:hAnsi="Times New Roman" w:cs="Times New Roman"/>
      <w:color w:val="000000"/>
      <w:sz w:val="24"/>
      <w:szCs w:val="24"/>
      <w:lang w:val="id-ID"/>
    </w:rPr>
  </w:style>
  <w:style w:type="paragraph" w:styleId="HTMLPreformatted">
    <w:name w:val="HTML Preformatted"/>
    <w:basedOn w:val="Normal"/>
    <w:link w:val="HTMLPreformattedChar"/>
    <w:uiPriority w:val="99"/>
    <w:unhideWhenUsed/>
    <w:rsid w:val="0022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225FD9"/>
    <w:rPr>
      <w:rFonts w:ascii="Courier New" w:eastAsia="Times New Roman" w:hAnsi="Courier New" w:cs="Courier New"/>
      <w:sz w:val="20"/>
      <w:szCs w:val="20"/>
    </w:rPr>
  </w:style>
  <w:style w:type="character" w:customStyle="1" w:styleId="y2iqfc">
    <w:name w:val="y2iqfc"/>
    <w:basedOn w:val="DefaultParagraphFont"/>
    <w:rsid w:val="00225FD9"/>
  </w:style>
  <w:style w:type="paragraph" w:customStyle="1" w:styleId="JEM21HEADINGPENDAHULUANdll">
    <w:name w:val="JEM_2.1 HEADING (PENDAHULUAN dll)"/>
    <w:basedOn w:val="Normal"/>
    <w:qFormat/>
    <w:rsid w:val="00B35A25"/>
    <w:pPr>
      <w:spacing w:before="120" w:after="120" w:line="240" w:lineRule="auto"/>
      <w:jc w:val="both"/>
    </w:pPr>
    <w:rPr>
      <w:rFonts w:ascii="Times New Roman" w:eastAsia="Calibri" w:hAnsi="Times New Roman" w:cs="SimSun"/>
      <w:b/>
      <w:sz w:val="28"/>
      <w:szCs w:val="24"/>
      <w:lang w:val="en-US"/>
    </w:rPr>
  </w:style>
  <w:style w:type="paragraph" w:customStyle="1" w:styleId="JEM23SUBHEADING">
    <w:name w:val="JEM_2.3 SUBHEADING"/>
    <w:basedOn w:val="Normal"/>
    <w:next w:val="JEM21HEADINGPENDAHULUANdll"/>
    <w:qFormat/>
    <w:rsid w:val="00B35A25"/>
    <w:pPr>
      <w:spacing w:after="0" w:line="240" w:lineRule="auto"/>
      <w:jc w:val="both"/>
    </w:pPr>
    <w:rPr>
      <w:rFonts w:ascii="Times New Roman" w:eastAsia="Times New Roman" w:hAnsi="Times New Roman" w:cs="SimSun"/>
      <w:b/>
      <w:sz w:val="24"/>
      <w:szCs w:val="24"/>
      <w:lang w:val="en-GB"/>
    </w:rPr>
  </w:style>
  <w:style w:type="paragraph" w:customStyle="1" w:styleId="JEM22aBODYARTIKEL">
    <w:name w:val="JEM_2.2a BODY ARTIKEL"/>
    <w:basedOn w:val="Normal"/>
    <w:qFormat/>
    <w:rsid w:val="00B35A25"/>
    <w:pPr>
      <w:spacing w:after="0" w:line="240" w:lineRule="auto"/>
      <w:jc w:val="both"/>
    </w:pPr>
    <w:rPr>
      <w:rFonts w:ascii="Times New Roman" w:eastAsia="Times New Roman" w:hAnsi="Times New Roman" w:cs="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7036">
      <w:bodyDiv w:val="1"/>
      <w:marLeft w:val="0"/>
      <w:marRight w:val="0"/>
      <w:marTop w:val="0"/>
      <w:marBottom w:val="0"/>
      <w:divBdr>
        <w:top w:val="none" w:sz="0" w:space="0" w:color="auto"/>
        <w:left w:val="none" w:sz="0" w:space="0" w:color="auto"/>
        <w:bottom w:val="none" w:sz="0" w:space="0" w:color="auto"/>
        <w:right w:val="none" w:sz="0" w:space="0" w:color="auto"/>
      </w:divBdr>
    </w:div>
    <w:div w:id="59836651">
      <w:bodyDiv w:val="1"/>
      <w:marLeft w:val="0"/>
      <w:marRight w:val="0"/>
      <w:marTop w:val="0"/>
      <w:marBottom w:val="0"/>
      <w:divBdr>
        <w:top w:val="none" w:sz="0" w:space="0" w:color="auto"/>
        <w:left w:val="none" w:sz="0" w:space="0" w:color="auto"/>
        <w:bottom w:val="none" w:sz="0" w:space="0" w:color="auto"/>
        <w:right w:val="none" w:sz="0" w:space="0" w:color="auto"/>
      </w:divBdr>
    </w:div>
    <w:div w:id="126316587">
      <w:bodyDiv w:val="1"/>
      <w:marLeft w:val="0"/>
      <w:marRight w:val="0"/>
      <w:marTop w:val="0"/>
      <w:marBottom w:val="0"/>
      <w:divBdr>
        <w:top w:val="none" w:sz="0" w:space="0" w:color="auto"/>
        <w:left w:val="none" w:sz="0" w:space="0" w:color="auto"/>
        <w:bottom w:val="none" w:sz="0" w:space="0" w:color="auto"/>
        <w:right w:val="none" w:sz="0" w:space="0" w:color="auto"/>
      </w:divBdr>
    </w:div>
    <w:div w:id="201481556">
      <w:bodyDiv w:val="1"/>
      <w:marLeft w:val="0"/>
      <w:marRight w:val="0"/>
      <w:marTop w:val="0"/>
      <w:marBottom w:val="0"/>
      <w:divBdr>
        <w:top w:val="none" w:sz="0" w:space="0" w:color="auto"/>
        <w:left w:val="none" w:sz="0" w:space="0" w:color="auto"/>
        <w:bottom w:val="none" w:sz="0" w:space="0" w:color="auto"/>
        <w:right w:val="none" w:sz="0" w:space="0" w:color="auto"/>
      </w:divBdr>
    </w:div>
    <w:div w:id="214851585">
      <w:bodyDiv w:val="1"/>
      <w:marLeft w:val="0"/>
      <w:marRight w:val="0"/>
      <w:marTop w:val="0"/>
      <w:marBottom w:val="0"/>
      <w:divBdr>
        <w:top w:val="none" w:sz="0" w:space="0" w:color="auto"/>
        <w:left w:val="none" w:sz="0" w:space="0" w:color="auto"/>
        <w:bottom w:val="none" w:sz="0" w:space="0" w:color="auto"/>
        <w:right w:val="none" w:sz="0" w:space="0" w:color="auto"/>
      </w:divBdr>
    </w:div>
    <w:div w:id="218172730">
      <w:bodyDiv w:val="1"/>
      <w:marLeft w:val="0"/>
      <w:marRight w:val="0"/>
      <w:marTop w:val="0"/>
      <w:marBottom w:val="0"/>
      <w:divBdr>
        <w:top w:val="none" w:sz="0" w:space="0" w:color="auto"/>
        <w:left w:val="none" w:sz="0" w:space="0" w:color="auto"/>
        <w:bottom w:val="none" w:sz="0" w:space="0" w:color="auto"/>
        <w:right w:val="none" w:sz="0" w:space="0" w:color="auto"/>
      </w:divBdr>
    </w:div>
    <w:div w:id="239952289">
      <w:bodyDiv w:val="1"/>
      <w:marLeft w:val="0"/>
      <w:marRight w:val="0"/>
      <w:marTop w:val="0"/>
      <w:marBottom w:val="0"/>
      <w:divBdr>
        <w:top w:val="none" w:sz="0" w:space="0" w:color="auto"/>
        <w:left w:val="none" w:sz="0" w:space="0" w:color="auto"/>
        <w:bottom w:val="none" w:sz="0" w:space="0" w:color="auto"/>
        <w:right w:val="none" w:sz="0" w:space="0" w:color="auto"/>
      </w:divBdr>
    </w:div>
    <w:div w:id="249320205">
      <w:bodyDiv w:val="1"/>
      <w:marLeft w:val="0"/>
      <w:marRight w:val="0"/>
      <w:marTop w:val="0"/>
      <w:marBottom w:val="0"/>
      <w:divBdr>
        <w:top w:val="none" w:sz="0" w:space="0" w:color="auto"/>
        <w:left w:val="none" w:sz="0" w:space="0" w:color="auto"/>
        <w:bottom w:val="none" w:sz="0" w:space="0" w:color="auto"/>
        <w:right w:val="none" w:sz="0" w:space="0" w:color="auto"/>
      </w:divBdr>
    </w:div>
    <w:div w:id="274676040">
      <w:bodyDiv w:val="1"/>
      <w:marLeft w:val="0"/>
      <w:marRight w:val="0"/>
      <w:marTop w:val="0"/>
      <w:marBottom w:val="0"/>
      <w:divBdr>
        <w:top w:val="none" w:sz="0" w:space="0" w:color="auto"/>
        <w:left w:val="none" w:sz="0" w:space="0" w:color="auto"/>
        <w:bottom w:val="none" w:sz="0" w:space="0" w:color="auto"/>
        <w:right w:val="none" w:sz="0" w:space="0" w:color="auto"/>
      </w:divBdr>
    </w:div>
    <w:div w:id="300230678">
      <w:bodyDiv w:val="1"/>
      <w:marLeft w:val="0"/>
      <w:marRight w:val="0"/>
      <w:marTop w:val="0"/>
      <w:marBottom w:val="0"/>
      <w:divBdr>
        <w:top w:val="none" w:sz="0" w:space="0" w:color="auto"/>
        <w:left w:val="none" w:sz="0" w:space="0" w:color="auto"/>
        <w:bottom w:val="none" w:sz="0" w:space="0" w:color="auto"/>
        <w:right w:val="none" w:sz="0" w:space="0" w:color="auto"/>
      </w:divBdr>
    </w:div>
    <w:div w:id="315915899">
      <w:bodyDiv w:val="1"/>
      <w:marLeft w:val="0"/>
      <w:marRight w:val="0"/>
      <w:marTop w:val="0"/>
      <w:marBottom w:val="0"/>
      <w:divBdr>
        <w:top w:val="none" w:sz="0" w:space="0" w:color="auto"/>
        <w:left w:val="none" w:sz="0" w:space="0" w:color="auto"/>
        <w:bottom w:val="none" w:sz="0" w:space="0" w:color="auto"/>
        <w:right w:val="none" w:sz="0" w:space="0" w:color="auto"/>
      </w:divBdr>
    </w:div>
    <w:div w:id="318655782">
      <w:bodyDiv w:val="1"/>
      <w:marLeft w:val="0"/>
      <w:marRight w:val="0"/>
      <w:marTop w:val="0"/>
      <w:marBottom w:val="0"/>
      <w:divBdr>
        <w:top w:val="none" w:sz="0" w:space="0" w:color="auto"/>
        <w:left w:val="none" w:sz="0" w:space="0" w:color="auto"/>
        <w:bottom w:val="none" w:sz="0" w:space="0" w:color="auto"/>
        <w:right w:val="none" w:sz="0" w:space="0" w:color="auto"/>
      </w:divBdr>
    </w:div>
    <w:div w:id="325323443">
      <w:bodyDiv w:val="1"/>
      <w:marLeft w:val="0"/>
      <w:marRight w:val="0"/>
      <w:marTop w:val="0"/>
      <w:marBottom w:val="0"/>
      <w:divBdr>
        <w:top w:val="none" w:sz="0" w:space="0" w:color="auto"/>
        <w:left w:val="none" w:sz="0" w:space="0" w:color="auto"/>
        <w:bottom w:val="none" w:sz="0" w:space="0" w:color="auto"/>
        <w:right w:val="none" w:sz="0" w:space="0" w:color="auto"/>
      </w:divBdr>
    </w:div>
    <w:div w:id="328291480">
      <w:bodyDiv w:val="1"/>
      <w:marLeft w:val="0"/>
      <w:marRight w:val="0"/>
      <w:marTop w:val="0"/>
      <w:marBottom w:val="0"/>
      <w:divBdr>
        <w:top w:val="none" w:sz="0" w:space="0" w:color="auto"/>
        <w:left w:val="none" w:sz="0" w:space="0" w:color="auto"/>
        <w:bottom w:val="none" w:sz="0" w:space="0" w:color="auto"/>
        <w:right w:val="none" w:sz="0" w:space="0" w:color="auto"/>
      </w:divBdr>
    </w:div>
    <w:div w:id="348141510">
      <w:bodyDiv w:val="1"/>
      <w:marLeft w:val="0"/>
      <w:marRight w:val="0"/>
      <w:marTop w:val="0"/>
      <w:marBottom w:val="0"/>
      <w:divBdr>
        <w:top w:val="none" w:sz="0" w:space="0" w:color="auto"/>
        <w:left w:val="none" w:sz="0" w:space="0" w:color="auto"/>
        <w:bottom w:val="none" w:sz="0" w:space="0" w:color="auto"/>
        <w:right w:val="none" w:sz="0" w:space="0" w:color="auto"/>
      </w:divBdr>
    </w:div>
    <w:div w:id="370306872">
      <w:bodyDiv w:val="1"/>
      <w:marLeft w:val="0"/>
      <w:marRight w:val="0"/>
      <w:marTop w:val="0"/>
      <w:marBottom w:val="0"/>
      <w:divBdr>
        <w:top w:val="none" w:sz="0" w:space="0" w:color="auto"/>
        <w:left w:val="none" w:sz="0" w:space="0" w:color="auto"/>
        <w:bottom w:val="none" w:sz="0" w:space="0" w:color="auto"/>
        <w:right w:val="none" w:sz="0" w:space="0" w:color="auto"/>
      </w:divBdr>
    </w:div>
    <w:div w:id="397480634">
      <w:bodyDiv w:val="1"/>
      <w:marLeft w:val="0"/>
      <w:marRight w:val="0"/>
      <w:marTop w:val="0"/>
      <w:marBottom w:val="0"/>
      <w:divBdr>
        <w:top w:val="none" w:sz="0" w:space="0" w:color="auto"/>
        <w:left w:val="none" w:sz="0" w:space="0" w:color="auto"/>
        <w:bottom w:val="none" w:sz="0" w:space="0" w:color="auto"/>
        <w:right w:val="none" w:sz="0" w:space="0" w:color="auto"/>
      </w:divBdr>
    </w:div>
    <w:div w:id="432894334">
      <w:bodyDiv w:val="1"/>
      <w:marLeft w:val="0"/>
      <w:marRight w:val="0"/>
      <w:marTop w:val="0"/>
      <w:marBottom w:val="0"/>
      <w:divBdr>
        <w:top w:val="none" w:sz="0" w:space="0" w:color="auto"/>
        <w:left w:val="none" w:sz="0" w:space="0" w:color="auto"/>
        <w:bottom w:val="none" w:sz="0" w:space="0" w:color="auto"/>
        <w:right w:val="none" w:sz="0" w:space="0" w:color="auto"/>
      </w:divBdr>
    </w:div>
    <w:div w:id="434788806">
      <w:bodyDiv w:val="1"/>
      <w:marLeft w:val="0"/>
      <w:marRight w:val="0"/>
      <w:marTop w:val="0"/>
      <w:marBottom w:val="0"/>
      <w:divBdr>
        <w:top w:val="none" w:sz="0" w:space="0" w:color="auto"/>
        <w:left w:val="none" w:sz="0" w:space="0" w:color="auto"/>
        <w:bottom w:val="none" w:sz="0" w:space="0" w:color="auto"/>
        <w:right w:val="none" w:sz="0" w:space="0" w:color="auto"/>
      </w:divBdr>
    </w:div>
    <w:div w:id="435835792">
      <w:bodyDiv w:val="1"/>
      <w:marLeft w:val="0"/>
      <w:marRight w:val="0"/>
      <w:marTop w:val="0"/>
      <w:marBottom w:val="0"/>
      <w:divBdr>
        <w:top w:val="none" w:sz="0" w:space="0" w:color="auto"/>
        <w:left w:val="none" w:sz="0" w:space="0" w:color="auto"/>
        <w:bottom w:val="none" w:sz="0" w:space="0" w:color="auto"/>
        <w:right w:val="none" w:sz="0" w:space="0" w:color="auto"/>
      </w:divBdr>
    </w:div>
    <w:div w:id="438718104">
      <w:bodyDiv w:val="1"/>
      <w:marLeft w:val="0"/>
      <w:marRight w:val="0"/>
      <w:marTop w:val="0"/>
      <w:marBottom w:val="0"/>
      <w:divBdr>
        <w:top w:val="none" w:sz="0" w:space="0" w:color="auto"/>
        <w:left w:val="none" w:sz="0" w:space="0" w:color="auto"/>
        <w:bottom w:val="none" w:sz="0" w:space="0" w:color="auto"/>
        <w:right w:val="none" w:sz="0" w:space="0" w:color="auto"/>
      </w:divBdr>
    </w:div>
    <w:div w:id="453907133">
      <w:bodyDiv w:val="1"/>
      <w:marLeft w:val="0"/>
      <w:marRight w:val="0"/>
      <w:marTop w:val="0"/>
      <w:marBottom w:val="0"/>
      <w:divBdr>
        <w:top w:val="none" w:sz="0" w:space="0" w:color="auto"/>
        <w:left w:val="none" w:sz="0" w:space="0" w:color="auto"/>
        <w:bottom w:val="none" w:sz="0" w:space="0" w:color="auto"/>
        <w:right w:val="none" w:sz="0" w:space="0" w:color="auto"/>
      </w:divBdr>
    </w:div>
    <w:div w:id="454636402">
      <w:bodyDiv w:val="1"/>
      <w:marLeft w:val="0"/>
      <w:marRight w:val="0"/>
      <w:marTop w:val="0"/>
      <w:marBottom w:val="0"/>
      <w:divBdr>
        <w:top w:val="none" w:sz="0" w:space="0" w:color="auto"/>
        <w:left w:val="none" w:sz="0" w:space="0" w:color="auto"/>
        <w:bottom w:val="none" w:sz="0" w:space="0" w:color="auto"/>
        <w:right w:val="none" w:sz="0" w:space="0" w:color="auto"/>
      </w:divBdr>
    </w:div>
    <w:div w:id="455880578">
      <w:bodyDiv w:val="1"/>
      <w:marLeft w:val="0"/>
      <w:marRight w:val="0"/>
      <w:marTop w:val="0"/>
      <w:marBottom w:val="0"/>
      <w:divBdr>
        <w:top w:val="none" w:sz="0" w:space="0" w:color="auto"/>
        <w:left w:val="none" w:sz="0" w:space="0" w:color="auto"/>
        <w:bottom w:val="none" w:sz="0" w:space="0" w:color="auto"/>
        <w:right w:val="none" w:sz="0" w:space="0" w:color="auto"/>
      </w:divBdr>
    </w:div>
    <w:div w:id="479426153">
      <w:bodyDiv w:val="1"/>
      <w:marLeft w:val="0"/>
      <w:marRight w:val="0"/>
      <w:marTop w:val="0"/>
      <w:marBottom w:val="0"/>
      <w:divBdr>
        <w:top w:val="none" w:sz="0" w:space="0" w:color="auto"/>
        <w:left w:val="none" w:sz="0" w:space="0" w:color="auto"/>
        <w:bottom w:val="none" w:sz="0" w:space="0" w:color="auto"/>
        <w:right w:val="none" w:sz="0" w:space="0" w:color="auto"/>
      </w:divBdr>
    </w:div>
    <w:div w:id="507329978">
      <w:bodyDiv w:val="1"/>
      <w:marLeft w:val="0"/>
      <w:marRight w:val="0"/>
      <w:marTop w:val="0"/>
      <w:marBottom w:val="0"/>
      <w:divBdr>
        <w:top w:val="none" w:sz="0" w:space="0" w:color="auto"/>
        <w:left w:val="none" w:sz="0" w:space="0" w:color="auto"/>
        <w:bottom w:val="none" w:sz="0" w:space="0" w:color="auto"/>
        <w:right w:val="none" w:sz="0" w:space="0" w:color="auto"/>
      </w:divBdr>
    </w:div>
    <w:div w:id="606470589">
      <w:bodyDiv w:val="1"/>
      <w:marLeft w:val="0"/>
      <w:marRight w:val="0"/>
      <w:marTop w:val="0"/>
      <w:marBottom w:val="0"/>
      <w:divBdr>
        <w:top w:val="none" w:sz="0" w:space="0" w:color="auto"/>
        <w:left w:val="none" w:sz="0" w:space="0" w:color="auto"/>
        <w:bottom w:val="none" w:sz="0" w:space="0" w:color="auto"/>
        <w:right w:val="none" w:sz="0" w:space="0" w:color="auto"/>
      </w:divBdr>
    </w:div>
    <w:div w:id="612321926">
      <w:bodyDiv w:val="1"/>
      <w:marLeft w:val="0"/>
      <w:marRight w:val="0"/>
      <w:marTop w:val="0"/>
      <w:marBottom w:val="0"/>
      <w:divBdr>
        <w:top w:val="none" w:sz="0" w:space="0" w:color="auto"/>
        <w:left w:val="none" w:sz="0" w:space="0" w:color="auto"/>
        <w:bottom w:val="none" w:sz="0" w:space="0" w:color="auto"/>
        <w:right w:val="none" w:sz="0" w:space="0" w:color="auto"/>
      </w:divBdr>
    </w:div>
    <w:div w:id="644507260">
      <w:bodyDiv w:val="1"/>
      <w:marLeft w:val="0"/>
      <w:marRight w:val="0"/>
      <w:marTop w:val="0"/>
      <w:marBottom w:val="0"/>
      <w:divBdr>
        <w:top w:val="none" w:sz="0" w:space="0" w:color="auto"/>
        <w:left w:val="none" w:sz="0" w:space="0" w:color="auto"/>
        <w:bottom w:val="none" w:sz="0" w:space="0" w:color="auto"/>
        <w:right w:val="none" w:sz="0" w:space="0" w:color="auto"/>
      </w:divBdr>
    </w:div>
    <w:div w:id="661737429">
      <w:bodyDiv w:val="1"/>
      <w:marLeft w:val="0"/>
      <w:marRight w:val="0"/>
      <w:marTop w:val="0"/>
      <w:marBottom w:val="0"/>
      <w:divBdr>
        <w:top w:val="none" w:sz="0" w:space="0" w:color="auto"/>
        <w:left w:val="none" w:sz="0" w:space="0" w:color="auto"/>
        <w:bottom w:val="none" w:sz="0" w:space="0" w:color="auto"/>
        <w:right w:val="none" w:sz="0" w:space="0" w:color="auto"/>
      </w:divBdr>
    </w:div>
    <w:div w:id="677775576">
      <w:bodyDiv w:val="1"/>
      <w:marLeft w:val="0"/>
      <w:marRight w:val="0"/>
      <w:marTop w:val="0"/>
      <w:marBottom w:val="0"/>
      <w:divBdr>
        <w:top w:val="none" w:sz="0" w:space="0" w:color="auto"/>
        <w:left w:val="none" w:sz="0" w:space="0" w:color="auto"/>
        <w:bottom w:val="none" w:sz="0" w:space="0" w:color="auto"/>
        <w:right w:val="none" w:sz="0" w:space="0" w:color="auto"/>
      </w:divBdr>
    </w:div>
    <w:div w:id="682586356">
      <w:bodyDiv w:val="1"/>
      <w:marLeft w:val="0"/>
      <w:marRight w:val="0"/>
      <w:marTop w:val="0"/>
      <w:marBottom w:val="0"/>
      <w:divBdr>
        <w:top w:val="none" w:sz="0" w:space="0" w:color="auto"/>
        <w:left w:val="none" w:sz="0" w:space="0" w:color="auto"/>
        <w:bottom w:val="none" w:sz="0" w:space="0" w:color="auto"/>
        <w:right w:val="none" w:sz="0" w:space="0" w:color="auto"/>
      </w:divBdr>
    </w:div>
    <w:div w:id="708067838">
      <w:bodyDiv w:val="1"/>
      <w:marLeft w:val="0"/>
      <w:marRight w:val="0"/>
      <w:marTop w:val="0"/>
      <w:marBottom w:val="0"/>
      <w:divBdr>
        <w:top w:val="none" w:sz="0" w:space="0" w:color="auto"/>
        <w:left w:val="none" w:sz="0" w:space="0" w:color="auto"/>
        <w:bottom w:val="none" w:sz="0" w:space="0" w:color="auto"/>
        <w:right w:val="none" w:sz="0" w:space="0" w:color="auto"/>
      </w:divBdr>
    </w:div>
    <w:div w:id="709301606">
      <w:bodyDiv w:val="1"/>
      <w:marLeft w:val="0"/>
      <w:marRight w:val="0"/>
      <w:marTop w:val="0"/>
      <w:marBottom w:val="0"/>
      <w:divBdr>
        <w:top w:val="none" w:sz="0" w:space="0" w:color="auto"/>
        <w:left w:val="none" w:sz="0" w:space="0" w:color="auto"/>
        <w:bottom w:val="none" w:sz="0" w:space="0" w:color="auto"/>
        <w:right w:val="none" w:sz="0" w:space="0" w:color="auto"/>
      </w:divBdr>
    </w:div>
    <w:div w:id="756679208">
      <w:bodyDiv w:val="1"/>
      <w:marLeft w:val="0"/>
      <w:marRight w:val="0"/>
      <w:marTop w:val="0"/>
      <w:marBottom w:val="0"/>
      <w:divBdr>
        <w:top w:val="none" w:sz="0" w:space="0" w:color="auto"/>
        <w:left w:val="none" w:sz="0" w:space="0" w:color="auto"/>
        <w:bottom w:val="none" w:sz="0" w:space="0" w:color="auto"/>
        <w:right w:val="none" w:sz="0" w:space="0" w:color="auto"/>
      </w:divBdr>
      <w:divsChild>
        <w:div w:id="896621420">
          <w:marLeft w:val="0"/>
          <w:marRight w:val="0"/>
          <w:marTop w:val="0"/>
          <w:marBottom w:val="315"/>
          <w:divBdr>
            <w:top w:val="single" w:sz="6" w:space="0" w:color="ECF0F1"/>
            <w:left w:val="single" w:sz="6" w:space="0" w:color="ECF0F1"/>
            <w:bottom w:val="single" w:sz="6" w:space="0" w:color="ECF0F1"/>
            <w:right w:val="single" w:sz="6" w:space="0" w:color="ECF0F1"/>
          </w:divBdr>
          <w:divsChild>
            <w:div w:id="1334454129">
              <w:marLeft w:val="0"/>
              <w:marRight w:val="0"/>
              <w:marTop w:val="0"/>
              <w:marBottom w:val="0"/>
              <w:divBdr>
                <w:top w:val="none" w:sz="0" w:space="0" w:color="auto"/>
                <w:left w:val="none" w:sz="0" w:space="0" w:color="auto"/>
                <w:bottom w:val="none" w:sz="0" w:space="0" w:color="auto"/>
                <w:right w:val="none" w:sz="0" w:space="0" w:color="auto"/>
              </w:divBdr>
              <w:divsChild>
                <w:div w:id="1242718674">
                  <w:marLeft w:val="0"/>
                  <w:marRight w:val="0"/>
                  <w:marTop w:val="0"/>
                  <w:marBottom w:val="225"/>
                  <w:divBdr>
                    <w:top w:val="none" w:sz="0" w:space="0" w:color="auto"/>
                    <w:left w:val="none" w:sz="0" w:space="0" w:color="auto"/>
                    <w:bottom w:val="none" w:sz="0" w:space="0" w:color="auto"/>
                    <w:right w:val="none" w:sz="0" w:space="0" w:color="auto"/>
                  </w:divBdr>
                  <w:divsChild>
                    <w:div w:id="1503665756">
                      <w:marLeft w:val="0"/>
                      <w:marRight w:val="0"/>
                      <w:marTop w:val="0"/>
                      <w:marBottom w:val="0"/>
                      <w:divBdr>
                        <w:top w:val="none" w:sz="0" w:space="0" w:color="auto"/>
                        <w:left w:val="none" w:sz="0" w:space="0" w:color="auto"/>
                        <w:bottom w:val="none" w:sz="0" w:space="0" w:color="auto"/>
                        <w:right w:val="none" w:sz="0" w:space="0" w:color="auto"/>
                      </w:divBdr>
                      <w:divsChild>
                        <w:div w:id="3659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37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752647">
      <w:bodyDiv w:val="1"/>
      <w:marLeft w:val="0"/>
      <w:marRight w:val="0"/>
      <w:marTop w:val="0"/>
      <w:marBottom w:val="0"/>
      <w:divBdr>
        <w:top w:val="none" w:sz="0" w:space="0" w:color="auto"/>
        <w:left w:val="none" w:sz="0" w:space="0" w:color="auto"/>
        <w:bottom w:val="none" w:sz="0" w:space="0" w:color="auto"/>
        <w:right w:val="none" w:sz="0" w:space="0" w:color="auto"/>
      </w:divBdr>
      <w:divsChild>
        <w:div w:id="876770431">
          <w:marLeft w:val="0"/>
          <w:marRight w:val="0"/>
          <w:marTop w:val="0"/>
          <w:marBottom w:val="0"/>
          <w:divBdr>
            <w:top w:val="none" w:sz="0" w:space="0" w:color="auto"/>
            <w:left w:val="none" w:sz="0" w:space="0" w:color="auto"/>
            <w:bottom w:val="none" w:sz="0" w:space="0" w:color="auto"/>
            <w:right w:val="none" w:sz="0" w:space="0" w:color="auto"/>
          </w:divBdr>
        </w:div>
        <w:div w:id="1322926668">
          <w:marLeft w:val="0"/>
          <w:marRight w:val="0"/>
          <w:marTop w:val="0"/>
          <w:marBottom w:val="0"/>
          <w:divBdr>
            <w:top w:val="none" w:sz="0" w:space="0" w:color="auto"/>
            <w:left w:val="none" w:sz="0" w:space="0" w:color="auto"/>
            <w:bottom w:val="none" w:sz="0" w:space="0" w:color="auto"/>
            <w:right w:val="none" w:sz="0" w:space="0" w:color="auto"/>
          </w:divBdr>
        </w:div>
        <w:div w:id="2023242574">
          <w:marLeft w:val="0"/>
          <w:marRight w:val="0"/>
          <w:marTop w:val="0"/>
          <w:marBottom w:val="0"/>
          <w:divBdr>
            <w:top w:val="none" w:sz="0" w:space="0" w:color="auto"/>
            <w:left w:val="none" w:sz="0" w:space="0" w:color="auto"/>
            <w:bottom w:val="none" w:sz="0" w:space="0" w:color="auto"/>
            <w:right w:val="none" w:sz="0" w:space="0" w:color="auto"/>
          </w:divBdr>
        </w:div>
      </w:divsChild>
    </w:div>
    <w:div w:id="762998311">
      <w:bodyDiv w:val="1"/>
      <w:marLeft w:val="0"/>
      <w:marRight w:val="0"/>
      <w:marTop w:val="0"/>
      <w:marBottom w:val="0"/>
      <w:divBdr>
        <w:top w:val="none" w:sz="0" w:space="0" w:color="auto"/>
        <w:left w:val="none" w:sz="0" w:space="0" w:color="auto"/>
        <w:bottom w:val="none" w:sz="0" w:space="0" w:color="auto"/>
        <w:right w:val="none" w:sz="0" w:space="0" w:color="auto"/>
      </w:divBdr>
    </w:div>
    <w:div w:id="778260925">
      <w:bodyDiv w:val="1"/>
      <w:marLeft w:val="0"/>
      <w:marRight w:val="0"/>
      <w:marTop w:val="0"/>
      <w:marBottom w:val="0"/>
      <w:divBdr>
        <w:top w:val="none" w:sz="0" w:space="0" w:color="auto"/>
        <w:left w:val="none" w:sz="0" w:space="0" w:color="auto"/>
        <w:bottom w:val="none" w:sz="0" w:space="0" w:color="auto"/>
        <w:right w:val="none" w:sz="0" w:space="0" w:color="auto"/>
      </w:divBdr>
    </w:div>
    <w:div w:id="802649221">
      <w:bodyDiv w:val="1"/>
      <w:marLeft w:val="0"/>
      <w:marRight w:val="0"/>
      <w:marTop w:val="0"/>
      <w:marBottom w:val="0"/>
      <w:divBdr>
        <w:top w:val="none" w:sz="0" w:space="0" w:color="auto"/>
        <w:left w:val="none" w:sz="0" w:space="0" w:color="auto"/>
        <w:bottom w:val="none" w:sz="0" w:space="0" w:color="auto"/>
        <w:right w:val="none" w:sz="0" w:space="0" w:color="auto"/>
      </w:divBdr>
    </w:div>
    <w:div w:id="845099187">
      <w:bodyDiv w:val="1"/>
      <w:marLeft w:val="0"/>
      <w:marRight w:val="0"/>
      <w:marTop w:val="0"/>
      <w:marBottom w:val="0"/>
      <w:divBdr>
        <w:top w:val="none" w:sz="0" w:space="0" w:color="auto"/>
        <w:left w:val="none" w:sz="0" w:space="0" w:color="auto"/>
        <w:bottom w:val="none" w:sz="0" w:space="0" w:color="auto"/>
        <w:right w:val="none" w:sz="0" w:space="0" w:color="auto"/>
      </w:divBdr>
    </w:div>
    <w:div w:id="852763252">
      <w:bodyDiv w:val="1"/>
      <w:marLeft w:val="0"/>
      <w:marRight w:val="0"/>
      <w:marTop w:val="0"/>
      <w:marBottom w:val="0"/>
      <w:divBdr>
        <w:top w:val="none" w:sz="0" w:space="0" w:color="auto"/>
        <w:left w:val="none" w:sz="0" w:space="0" w:color="auto"/>
        <w:bottom w:val="none" w:sz="0" w:space="0" w:color="auto"/>
        <w:right w:val="none" w:sz="0" w:space="0" w:color="auto"/>
      </w:divBdr>
    </w:div>
    <w:div w:id="903951352">
      <w:bodyDiv w:val="1"/>
      <w:marLeft w:val="0"/>
      <w:marRight w:val="0"/>
      <w:marTop w:val="0"/>
      <w:marBottom w:val="0"/>
      <w:divBdr>
        <w:top w:val="none" w:sz="0" w:space="0" w:color="auto"/>
        <w:left w:val="none" w:sz="0" w:space="0" w:color="auto"/>
        <w:bottom w:val="none" w:sz="0" w:space="0" w:color="auto"/>
        <w:right w:val="none" w:sz="0" w:space="0" w:color="auto"/>
      </w:divBdr>
    </w:div>
    <w:div w:id="929460601">
      <w:bodyDiv w:val="1"/>
      <w:marLeft w:val="0"/>
      <w:marRight w:val="0"/>
      <w:marTop w:val="0"/>
      <w:marBottom w:val="0"/>
      <w:divBdr>
        <w:top w:val="none" w:sz="0" w:space="0" w:color="auto"/>
        <w:left w:val="none" w:sz="0" w:space="0" w:color="auto"/>
        <w:bottom w:val="none" w:sz="0" w:space="0" w:color="auto"/>
        <w:right w:val="none" w:sz="0" w:space="0" w:color="auto"/>
      </w:divBdr>
    </w:div>
    <w:div w:id="950162862">
      <w:bodyDiv w:val="1"/>
      <w:marLeft w:val="0"/>
      <w:marRight w:val="0"/>
      <w:marTop w:val="0"/>
      <w:marBottom w:val="0"/>
      <w:divBdr>
        <w:top w:val="none" w:sz="0" w:space="0" w:color="auto"/>
        <w:left w:val="none" w:sz="0" w:space="0" w:color="auto"/>
        <w:bottom w:val="none" w:sz="0" w:space="0" w:color="auto"/>
        <w:right w:val="none" w:sz="0" w:space="0" w:color="auto"/>
      </w:divBdr>
    </w:div>
    <w:div w:id="954096508">
      <w:bodyDiv w:val="1"/>
      <w:marLeft w:val="0"/>
      <w:marRight w:val="0"/>
      <w:marTop w:val="0"/>
      <w:marBottom w:val="0"/>
      <w:divBdr>
        <w:top w:val="none" w:sz="0" w:space="0" w:color="auto"/>
        <w:left w:val="none" w:sz="0" w:space="0" w:color="auto"/>
        <w:bottom w:val="none" w:sz="0" w:space="0" w:color="auto"/>
        <w:right w:val="none" w:sz="0" w:space="0" w:color="auto"/>
      </w:divBdr>
    </w:div>
    <w:div w:id="974524234">
      <w:bodyDiv w:val="1"/>
      <w:marLeft w:val="0"/>
      <w:marRight w:val="0"/>
      <w:marTop w:val="0"/>
      <w:marBottom w:val="0"/>
      <w:divBdr>
        <w:top w:val="none" w:sz="0" w:space="0" w:color="auto"/>
        <w:left w:val="none" w:sz="0" w:space="0" w:color="auto"/>
        <w:bottom w:val="none" w:sz="0" w:space="0" w:color="auto"/>
        <w:right w:val="none" w:sz="0" w:space="0" w:color="auto"/>
      </w:divBdr>
    </w:div>
    <w:div w:id="979115445">
      <w:bodyDiv w:val="1"/>
      <w:marLeft w:val="0"/>
      <w:marRight w:val="0"/>
      <w:marTop w:val="0"/>
      <w:marBottom w:val="0"/>
      <w:divBdr>
        <w:top w:val="none" w:sz="0" w:space="0" w:color="auto"/>
        <w:left w:val="none" w:sz="0" w:space="0" w:color="auto"/>
        <w:bottom w:val="none" w:sz="0" w:space="0" w:color="auto"/>
        <w:right w:val="none" w:sz="0" w:space="0" w:color="auto"/>
      </w:divBdr>
    </w:div>
    <w:div w:id="987124971">
      <w:bodyDiv w:val="1"/>
      <w:marLeft w:val="0"/>
      <w:marRight w:val="0"/>
      <w:marTop w:val="0"/>
      <w:marBottom w:val="0"/>
      <w:divBdr>
        <w:top w:val="none" w:sz="0" w:space="0" w:color="auto"/>
        <w:left w:val="none" w:sz="0" w:space="0" w:color="auto"/>
        <w:bottom w:val="none" w:sz="0" w:space="0" w:color="auto"/>
        <w:right w:val="none" w:sz="0" w:space="0" w:color="auto"/>
      </w:divBdr>
    </w:div>
    <w:div w:id="1030372738">
      <w:bodyDiv w:val="1"/>
      <w:marLeft w:val="0"/>
      <w:marRight w:val="0"/>
      <w:marTop w:val="0"/>
      <w:marBottom w:val="0"/>
      <w:divBdr>
        <w:top w:val="none" w:sz="0" w:space="0" w:color="auto"/>
        <w:left w:val="none" w:sz="0" w:space="0" w:color="auto"/>
        <w:bottom w:val="none" w:sz="0" w:space="0" w:color="auto"/>
        <w:right w:val="none" w:sz="0" w:space="0" w:color="auto"/>
      </w:divBdr>
    </w:div>
    <w:div w:id="1033266846">
      <w:bodyDiv w:val="1"/>
      <w:marLeft w:val="0"/>
      <w:marRight w:val="0"/>
      <w:marTop w:val="0"/>
      <w:marBottom w:val="0"/>
      <w:divBdr>
        <w:top w:val="none" w:sz="0" w:space="0" w:color="auto"/>
        <w:left w:val="none" w:sz="0" w:space="0" w:color="auto"/>
        <w:bottom w:val="none" w:sz="0" w:space="0" w:color="auto"/>
        <w:right w:val="none" w:sz="0" w:space="0" w:color="auto"/>
      </w:divBdr>
    </w:div>
    <w:div w:id="1063600982">
      <w:bodyDiv w:val="1"/>
      <w:marLeft w:val="0"/>
      <w:marRight w:val="0"/>
      <w:marTop w:val="0"/>
      <w:marBottom w:val="0"/>
      <w:divBdr>
        <w:top w:val="none" w:sz="0" w:space="0" w:color="auto"/>
        <w:left w:val="none" w:sz="0" w:space="0" w:color="auto"/>
        <w:bottom w:val="none" w:sz="0" w:space="0" w:color="auto"/>
        <w:right w:val="none" w:sz="0" w:space="0" w:color="auto"/>
      </w:divBdr>
    </w:div>
    <w:div w:id="1085304103">
      <w:bodyDiv w:val="1"/>
      <w:marLeft w:val="0"/>
      <w:marRight w:val="0"/>
      <w:marTop w:val="0"/>
      <w:marBottom w:val="0"/>
      <w:divBdr>
        <w:top w:val="none" w:sz="0" w:space="0" w:color="auto"/>
        <w:left w:val="none" w:sz="0" w:space="0" w:color="auto"/>
        <w:bottom w:val="none" w:sz="0" w:space="0" w:color="auto"/>
        <w:right w:val="none" w:sz="0" w:space="0" w:color="auto"/>
      </w:divBdr>
    </w:div>
    <w:div w:id="1130396706">
      <w:bodyDiv w:val="1"/>
      <w:marLeft w:val="0"/>
      <w:marRight w:val="0"/>
      <w:marTop w:val="0"/>
      <w:marBottom w:val="0"/>
      <w:divBdr>
        <w:top w:val="none" w:sz="0" w:space="0" w:color="auto"/>
        <w:left w:val="none" w:sz="0" w:space="0" w:color="auto"/>
        <w:bottom w:val="none" w:sz="0" w:space="0" w:color="auto"/>
        <w:right w:val="none" w:sz="0" w:space="0" w:color="auto"/>
      </w:divBdr>
    </w:div>
    <w:div w:id="1189832914">
      <w:bodyDiv w:val="1"/>
      <w:marLeft w:val="0"/>
      <w:marRight w:val="0"/>
      <w:marTop w:val="0"/>
      <w:marBottom w:val="0"/>
      <w:divBdr>
        <w:top w:val="none" w:sz="0" w:space="0" w:color="auto"/>
        <w:left w:val="none" w:sz="0" w:space="0" w:color="auto"/>
        <w:bottom w:val="none" w:sz="0" w:space="0" w:color="auto"/>
        <w:right w:val="none" w:sz="0" w:space="0" w:color="auto"/>
      </w:divBdr>
    </w:div>
    <w:div w:id="1244415234">
      <w:bodyDiv w:val="1"/>
      <w:marLeft w:val="0"/>
      <w:marRight w:val="0"/>
      <w:marTop w:val="0"/>
      <w:marBottom w:val="0"/>
      <w:divBdr>
        <w:top w:val="none" w:sz="0" w:space="0" w:color="auto"/>
        <w:left w:val="none" w:sz="0" w:space="0" w:color="auto"/>
        <w:bottom w:val="none" w:sz="0" w:space="0" w:color="auto"/>
        <w:right w:val="none" w:sz="0" w:space="0" w:color="auto"/>
      </w:divBdr>
    </w:div>
    <w:div w:id="1270551269">
      <w:bodyDiv w:val="1"/>
      <w:marLeft w:val="0"/>
      <w:marRight w:val="0"/>
      <w:marTop w:val="0"/>
      <w:marBottom w:val="0"/>
      <w:divBdr>
        <w:top w:val="none" w:sz="0" w:space="0" w:color="auto"/>
        <w:left w:val="none" w:sz="0" w:space="0" w:color="auto"/>
        <w:bottom w:val="none" w:sz="0" w:space="0" w:color="auto"/>
        <w:right w:val="none" w:sz="0" w:space="0" w:color="auto"/>
      </w:divBdr>
    </w:div>
    <w:div w:id="1305428069">
      <w:bodyDiv w:val="1"/>
      <w:marLeft w:val="0"/>
      <w:marRight w:val="0"/>
      <w:marTop w:val="0"/>
      <w:marBottom w:val="0"/>
      <w:divBdr>
        <w:top w:val="none" w:sz="0" w:space="0" w:color="auto"/>
        <w:left w:val="none" w:sz="0" w:space="0" w:color="auto"/>
        <w:bottom w:val="none" w:sz="0" w:space="0" w:color="auto"/>
        <w:right w:val="none" w:sz="0" w:space="0" w:color="auto"/>
      </w:divBdr>
    </w:div>
    <w:div w:id="1318850083">
      <w:bodyDiv w:val="1"/>
      <w:marLeft w:val="0"/>
      <w:marRight w:val="0"/>
      <w:marTop w:val="0"/>
      <w:marBottom w:val="0"/>
      <w:divBdr>
        <w:top w:val="none" w:sz="0" w:space="0" w:color="auto"/>
        <w:left w:val="none" w:sz="0" w:space="0" w:color="auto"/>
        <w:bottom w:val="none" w:sz="0" w:space="0" w:color="auto"/>
        <w:right w:val="none" w:sz="0" w:space="0" w:color="auto"/>
      </w:divBdr>
    </w:div>
    <w:div w:id="1333992443">
      <w:bodyDiv w:val="1"/>
      <w:marLeft w:val="0"/>
      <w:marRight w:val="0"/>
      <w:marTop w:val="0"/>
      <w:marBottom w:val="0"/>
      <w:divBdr>
        <w:top w:val="none" w:sz="0" w:space="0" w:color="auto"/>
        <w:left w:val="none" w:sz="0" w:space="0" w:color="auto"/>
        <w:bottom w:val="none" w:sz="0" w:space="0" w:color="auto"/>
        <w:right w:val="none" w:sz="0" w:space="0" w:color="auto"/>
      </w:divBdr>
    </w:div>
    <w:div w:id="1366367275">
      <w:bodyDiv w:val="1"/>
      <w:marLeft w:val="0"/>
      <w:marRight w:val="0"/>
      <w:marTop w:val="0"/>
      <w:marBottom w:val="0"/>
      <w:divBdr>
        <w:top w:val="none" w:sz="0" w:space="0" w:color="auto"/>
        <w:left w:val="none" w:sz="0" w:space="0" w:color="auto"/>
        <w:bottom w:val="none" w:sz="0" w:space="0" w:color="auto"/>
        <w:right w:val="none" w:sz="0" w:space="0" w:color="auto"/>
      </w:divBdr>
    </w:div>
    <w:div w:id="1371765401">
      <w:bodyDiv w:val="1"/>
      <w:marLeft w:val="0"/>
      <w:marRight w:val="0"/>
      <w:marTop w:val="0"/>
      <w:marBottom w:val="0"/>
      <w:divBdr>
        <w:top w:val="none" w:sz="0" w:space="0" w:color="auto"/>
        <w:left w:val="none" w:sz="0" w:space="0" w:color="auto"/>
        <w:bottom w:val="none" w:sz="0" w:space="0" w:color="auto"/>
        <w:right w:val="none" w:sz="0" w:space="0" w:color="auto"/>
      </w:divBdr>
    </w:div>
    <w:div w:id="1403747901">
      <w:bodyDiv w:val="1"/>
      <w:marLeft w:val="0"/>
      <w:marRight w:val="0"/>
      <w:marTop w:val="0"/>
      <w:marBottom w:val="0"/>
      <w:divBdr>
        <w:top w:val="none" w:sz="0" w:space="0" w:color="auto"/>
        <w:left w:val="none" w:sz="0" w:space="0" w:color="auto"/>
        <w:bottom w:val="none" w:sz="0" w:space="0" w:color="auto"/>
        <w:right w:val="none" w:sz="0" w:space="0" w:color="auto"/>
      </w:divBdr>
    </w:div>
    <w:div w:id="1471827767">
      <w:bodyDiv w:val="1"/>
      <w:marLeft w:val="0"/>
      <w:marRight w:val="0"/>
      <w:marTop w:val="0"/>
      <w:marBottom w:val="0"/>
      <w:divBdr>
        <w:top w:val="none" w:sz="0" w:space="0" w:color="auto"/>
        <w:left w:val="none" w:sz="0" w:space="0" w:color="auto"/>
        <w:bottom w:val="none" w:sz="0" w:space="0" w:color="auto"/>
        <w:right w:val="none" w:sz="0" w:space="0" w:color="auto"/>
      </w:divBdr>
    </w:div>
    <w:div w:id="1514343691">
      <w:bodyDiv w:val="1"/>
      <w:marLeft w:val="0"/>
      <w:marRight w:val="0"/>
      <w:marTop w:val="0"/>
      <w:marBottom w:val="0"/>
      <w:divBdr>
        <w:top w:val="none" w:sz="0" w:space="0" w:color="auto"/>
        <w:left w:val="none" w:sz="0" w:space="0" w:color="auto"/>
        <w:bottom w:val="none" w:sz="0" w:space="0" w:color="auto"/>
        <w:right w:val="none" w:sz="0" w:space="0" w:color="auto"/>
      </w:divBdr>
    </w:div>
    <w:div w:id="1515143325">
      <w:bodyDiv w:val="1"/>
      <w:marLeft w:val="0"/>
      <w:marRight w:val="0"/>
      <w:marTop w:val="0"/>
      <w:marBottom w:val="0"/>
      <w:divBdr>
        <w:top w:val="none" w:sz="0" w:space="0" w:color="auto"/>
        <w:left w:val="none" w:sz="0" w:space="0" w:color="auto"/>
        <w:bottom w:val="none" w:sz="0" w:space="0" w:color="auto"/>
        <w:right w:val="none" w:sz="0" w:space="0" w:color="auto"/>
      </w:divBdr>
    </w:div>
    <w:div w:id="1517035138">
      <w:bodyDiv w:val="1"/>
      <w:marLeft w:val="0"/>
      <w:marRight w:val="0"/>
      <w:marTop w:val="0"/>
      <w:marBottom w:val="0"/>
      <w:divBdr>
        <w:top w:val="none" w:sz="0" w:space="0" w:color="auto"/>
        <w:left w:val="none" w:sz="0" w:space="0" w:color="auto"/>
        <w:bottom w:val="none" w:sz="0" w:space="0" w:color="auto"/>
        <w:right w:val="none" w:sz="0" w:space="0" w:color="auto"/>
      </w:divBdr>
    </w:div>
    <w:div w:id="1587180140">
      <w:bodyDiv w:val="1"/>
      <w:marLeft w:val="0"/>
      <w:marRight w:val="0"/>
      <w:marTop w:val="0"/>
      <w:marBottom w:val="0"/>
      <w:divBdr>
        <w:top w:val="none" w:sz="0" w:space="0" w:color="auto"/>
        <w:left w:val="none" w:sz="0" w:space="0" w:color="auto"/>
        <w:bottom w:val="none" w:sz="0" w:space="0" w:color="auto"/>
        <w:right w:val="none" w:sz="0" w:space="0" w:color="auto"/>
      </w:divBdr>
    </w:div>
    <w:div w:id="1598366460">
      <w:bodyDiv w:val="1"/>
      <w:marLeft w:val="0"/>
      <w:marRight w:val="0"/>
      <w:marTop w:val="0"/>
      <w:marBottom w:val="0"/>
      <w:divBdr>
        <w:top w:val="none" w:sz="0" w:space="0" w:color="auto"/>
        <w:left w:val="none" w:sz="0" w:space="0" w:color="auto"/>
        <w:bottom w:val="none" w:sz="0" w:space="0" w:color="auto"/>
        <w:right w:val="none" w:sz="0" w:space="0" w:color="auto"/>
      </w:divBdr>
    </w:div>
    <w:div w:id="1622875817">
      <w:bodyDiv w:val="1"/>
      <w:marLeft w:val="0"/>
      <w:marRight w:val="0"/>
      <w:marTop w:val="0"/>
      <w:marBottom w:val="0"/>
      <w:divBdr>
        <w:top w:val="none" w:sz="0" w:space="0" w:color="auto"/>
        <w:left w:val="none" w:sz="0" w:space="0" w:color="auto"/>
        <w:bottom w:val="none" w:sz="0" w:space="0" w:color="auto"/>
        <w:right w:val="none" w:sz="0" w:space="0" w:color="auto"/>
      </w:divBdr>
    </w:div>
    <w:div w:id="1643929189">
      <w:bodyDiv w:val="1"/>
      <w:marLeft w:val="0"/>
      <w:marRight w:val="0"/>
      <w:marTop w:val="0"/>
      <w:marBottom w:val="0"/>
      <w:divBdr>
        <w:top w:val="none" w:sz="0" w:space="0" w:color="auto"/>
        <w:left w:val="none" w:sz="0" w:space="0" w:color="auto"/>
        <w:bottom w:val="none" w:sz="0" w:space="0" w:color="auto"/>
        <w:right w:val="none" w:sz="0" w:space="0" w:color="auto"/>
      </w:divBdr>
      <w:divsChild>
        <w:div w:id="600576796">
          <w:marLeft w:val="0"/>
          <w:marRight w:val="0"/>
          <w:marTop w:val="0"/>
          <w:marBottom w:val="315"/>
          <w:divBdr>
            <w:top w:val="single" w:sz="6" w:space="0" w:color="ECF0F1"/>
            <w:left w:val="single" w:sz="6" w:space="0" w:color="ECF0F1"/>
            <w:bottom w:val="single" w:sz="6" w:space="0" w:color="ECF0F1"/>
            <w:right w:val="single" w:sz="6" w:space="0" w:color="ECF0F1"/>
          </w:divBdr>
          <w:divsChild>
            <w:div w:id="15350405">
              <w:marLeft w:val="0"/>
              <w:marRight w:val="0"/>
              <w:marTop w:val="0"/>
              <w:marBottom w:val="0"/>
              <w:divBdr>
                <w:top w:val="none" w:sz="0" w:space="0" w:color="auto"/>
                <w:left w:val="none" w:sz="0" w:space="0" w:color="auto"/>
                <w:bottom w:val="none" w:sz="0" w:space="0" w:color="auto"/>
                <w:right w:val="none" w:sz="0" w:space="0" w:color="auto"/>
              </w:divBdr>
              <w:divsChild>
                <w:div w:id="2081516160">
                  <w:marLeft w:val="0"/>
                  <w:marRight w:val="0"/>
                  <w:marTop w:val="0"/>
                  <w:marBottom w:val="225"/>
                  <w:divBdr>
                    <w:top w:val="none" w:sz="0" w:space="0" w:color="auto"/>
                    <w:left w:val="none" w:sz="0" w:space="0" w:color="auto"/>
                    <w:bottom w:val="none" w:sz="0" w:space="0" w:color="auto"/>
                    <w:right w:val="none" w:sz="0" w:space="0" w:color="auto"/>
                  </w:divBdr>
                  <w:divsChild>
                    <w:div w:id="2137945383">
                      <w:marLeft w:val="0"/>
                      <w:marRight w:val="0"/>
                      <w:marTop w:val="0"/>
                      <w:marBottom w:val="0"/>
                      <w:divBdr>
                        <w:top w:val="none" w:sz="0" w:space="0" w:color="auto"/>
                        <w:left w:val="none" w:sz="0" w:space="0" w:color="auto"/>
                        <w:bottom w:val="none" w:sz="0" w:space="0" w:color="auto"/>
                        <w:right w:val="none" w:sz="0" w:space="0" w:color="auto"/>
                      </w:divBdr>
                      <w:divsChild>
                        <w:div w:id="5754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42251">
      <w:bodyDiv w:val="1"/>
      <w:marLeft w:val="0"/>
      <w:marRight w:val="0"/>
      <w:marTop w:val="0"/>
      <w:marBottom w:val="0"/>
      <w:divBdr>
        <w:top w:val="none" w:sz="0" w:space="0" w:color="auto"/>
        <w:left w:val="none" w:sz="0" w:space="0" w:color="auto"/>
        <w:bottom w:val="none" w:sz="0" w:space="0" w:color="auto"/>
        <w:right w:val="none" w:sz="0" w:space="0" w:color="auto"/>
      </w:divBdr>
      <w:divsChild>
        <w:div w:id="1801460573">
          <w:marLeft w:val="0"/>
          <w:marRight w:val="0"/>
          <w:marTop w:val="0"/>
          <w:marBottom w:val="315"/>
          <w:divBdr>
            <w:top w:val="single" w:sz="6" w:space="0" w:color="ECF0F1"/>
            <w:left w:val="single" w:sz="6" w:space="0" w:color="ECF0F1"/>
            <w:bottom w:val="single" w:sz="6" w:space="0" w:color="ECF0F1"/>
            <w:right w:val="single" w:sz="6" w:space="0" w:color="ECF0F1"/>
          </w:divBdr>
          <w:divsChild>
            <w:div w:id="1502622997">
              <w:marLeft w:val="0"/>
              <w:marRight w:val="0"/>
              <w:marTop w:val="0"/>
              <w:marBottom w:val="0"/>
              <w:divBdr>
                <w:top w:val="none" w:sz="0" w:space="0" w:color="auto"/>
                <w:left w:val="none" w:sz="0" w:space="0" w:color="auto"/>
                <w:bottom w:val="none" w:sz="0" w:space="0" w:color="auto"/>
                <w:right w:val="none" w:sz="0" w:space="0" w:color="auto"/>
              </w:divBdr>
              <w:divsChild>
                <w:div w:id="814226159">
                  <w:marLeft w:val="0"/>
                  <w:marRight w:val="0"/>
                  <w:marTop w:val="0"/>
                  <w:marBottom w:val="225"/>
                  <w:divBdr>
                    <w:top w:val="none" w:sz="0" w:space="0" w:color="auto"/>
                    <w:left w:val="none" w:sz="0" w:space="0" w:color="auto"/>
                    <w:bottom w:val="none" w:sz="0" w:space="0" w:color="auto"/>
                    <w:right w:val="none" w:sz="0" w:space="0" w:color="auto"/>
                  </w:divBdr>
                  <w:divsChild>
                    <w:div w:id="1554928944">
                      <w:marLeft w:val="0"/>
                      <w:marRight w:val="0"/>
                      <w:marTop w:val="0"/>
                      <w:marBottom w:val="0"/>
                      <w:divBdr>
                        <w:top w:val="none" w:sz="0" w:space="0" w:color="auto"/>
                        <w:left w:val="none" w:sz="0" w:space="0" w:color="auto"/>
                        <w:bottom w:val="none" w:sz="0" w:space="0" w:color="auto"/>
                        <w:right w:val="none" w:sz="0" w:space="0" w:color="auto"/>
                      </w:divBdr>
                      <w:divsChild>
                        <w:div w:id="101333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12278">
      <w:bodyDiv w:val="1"/>
      <w:marLeft w:val="0"/>
      <w:marRight w:val="0"/>
      <w:marTop w:val="0"/>
      <w:marBottom w:val="0"/>
      <w:divBdr>
        <w:top w:val="none" w:sz="0" w:space="0" w:color="auto"/>
        <w:left w:val="none" w:sz="0" w:space="0" w:color="auto"/>
        <w:bottom w:val="none" w:sz="0" w:space="0" w:color="auto"/>
        <w:right w:val="none" w:sz="0" w:space="0" w:color="auto"/>
      </w:divBdr>
      <w:divsChild>
        <w:div w:id="762334774">
          <w:marLeft w:val="0"/>
          <w:marRight w:val="0"/>
          <w:marTop w:val="0"/>
          <w:marBottom w:val="315"/>
          <w:divBdr>
            <w:top w:val="single" w:sz="6" w:space="0" w:color="ECF0F1"/>
            <w:left w:val="single" w:sz="6" w:space="0" w:color="ECF0F1"/>
            <w:bottom w:val="single" w:sz="6" w:space="0" w:color="ECF0F1"/>
            <w:right w:val="single" w:sz="6" w:space="0" w:color="ECF0F1"/>
          </w:divBdr>
          <w:divsChild>
            <w:div w:id="1592423433">
              <w:marLeft w:val="0"/>
              <w:marRight w:val="0"/>
              <w:marTop w:val="0"/>
              <w:marBottom w:val="0"/>
              <w:divBdr>
                <w:top w:val="none" w:sz="0" w:space="0" w:color="auto"/>
                <w:left w:val="none" w:sz="0" w:space="0" w:color="auto"/>
                <w:bottom w:val="none" w:sz="0" w:space="0" w:color="auto"/>
                <w:right w:val="none" w:sz="0" w:space="0" w:color="auto"/>
              </w:divBdr>
              <w:divsChild>
                <w:div w:id="914364666">
                  <w:marLeft w:val="0"/>
                  <w:marRight w:val="0"/>
                  <w:marTop w:val="0"/>
                  <w:marBottom w:val="225"/>
                  <w:divBdr>
                    <w:top w:val="none" w:sz="0" w:space="0" w:color="auto"/>
                    <w:left w:val="none" w:sz="0" w:space="0" w:color="auto"/>
                    <w:bottom w:val="none" w:sz="0" w:space="0" w:color="auto"/>
                    <w:right w:val="none" w:sz="0" w:space="0" w:color="auto"/>
                  </w:divBdr>
                  <w:divsChild>
                    <w:div w:id="314603957">
                      <w:marLeft w:val="0"/>
                      <w:marRight w:val="0"/>
                      <w:marTop w:val="0"/>
                      <w:marBottom w:val="0"/>
                      <w:divBdr>
                        <w:top w:val="none" w:sz="0" w:space="0" w:color="auto"/>
                        <w:left w:val="none" w:sz="0" w:space="0" w:color="auto"/>
                        <w:bottom w:val="none" w:sz="0" w:space="0" w:color="auto"/>
                        <w:right w:val="none" w:sz="0" w:space="0" w:color="auto"/>
                      </w:divBdr>
                      <w:divsChild>
                        <w:div w:id="148840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495224">
      <w:bodyDiv w:val="1"/>
      <w:marLeft w:val="0"/>
      <w:marRight w:val="0"/>
      <w:marTop w:val="0"/>
      <w:marBottom w:val="0"/>
      <w:divBdr>
        <w:top w:val="none" w:sz="0" w:space="0" w:color="auto"/>
        <w:left w:val="none" w:sz="0" w:space="0" w:color="auto"/>
        <w:bottom w:val="none" w:sz="0" w:space="0" w:color="auto"/>
        <w:right w:val="none" w:sz="0" w:space="0" w:color="auto"/>
      </w:divBdr>
    </w:div>
    <w:div w:id="1812356851">
      <w:bodyDiv w:val="1"/>
      <w:marLeft w:val="0"/>
      <w:marRight w:val="0"/>
      <w:marTop w:val="0"/>
      <w:marBottom w:val="0"/>
      <w:divBdr>
        <w:top w:val="none" w:sz="0" w:space="0" w:color="auto"/>
        <w:left w:val="none" w:sz="0" w:space="0" w:color="auto"/>
        <w:bottom w:val="none" w:sz="0" w:space="0" w:color="auto"/>
        <w:right w:val="none" w:sz="0" w:space="0" w:color="auto"/>
      </w:divBdr>
    </w:div>
    <w:div w:id="1833176075">
      <w:bodyDiv w:val="1"/>
      <w:marLeft w:val="0"/>
      <w:marRight w:val="0"/>
      <w:marTop w:val="0"/>
      <w:marBottom w:val="0"/>
      <w:divBdr>
        <w:top w:val="none" w:sz="0" w:space="0" w:color="auto"/>
        <w:left w:val="none" w:sz="0" w:space="0" w:color="auto"/>
        <w:bottom w:val="none" w:sz="0" w:space="0" w:color="auto"/>
        <w:right w:val="none" w:sz="0" w:space="0" w:color="auto"/>
      </w:divBdr>
    </w:div>
    <w:div w:id="1875073379">
      <w:bodyDiv w:val="1"/>
      <w:marLeft w:val="0"/>
      <w:marRight w:val="0"/>
      <w:marTop w:val="0"/>
      <w:marBottom w:val="0"/>
      <w:divBdr>
        <w:top w:val="none" w:sz="0" w:space="0" w:color="auto"/>
        <w:left w:val="none" w:sz="0" w:space="0" w:color="auto"/>
        <w:bottom w:val="none" w:sz="0" w:space="0" w:color="auto"/>
        <w:right w:val="none" w:sz="0" w:space="0" w:color="auto"/>
      </w:divBdr>
    </w:div>
    <w:div w:id="1905405225">
      <w:bodyDiv w:val="1"/>
      <w:marLeft w:val="0"/>
      <w:marRight w:val="0"/>
      <w:marTop w:val="0"/>
      <w:marBottom w:val="0"/>
      <w:divBdr>
        <w:top w:val="none" w:sz="0" w:space="0" w:color="auto"/>
        <w:left w:val="none" w:sz="0" w:space="0" w:color="auto"/>
        <w:bottom w:val="none" w:sz="0" w:space="0" w:color="auto"/>
        <w:right w:val="none" w:sz="0" w:space="0" w:color="auto"/>
      </w:divBdr>
    </w:div>
    <w:div w:id="1909417488">
      <w:bodyDiv w:val="1"/>
      <w:marLeft w:val="0"/>
      <w:marRight w:val="0"/>
      <w:marTop w:val="0"/>
      <w:marBottom w:val="0"/>
      <w:divBdr>
        <w:top w:val="none" w:sz="0" w:space="0" w:color="auto"/>
        <w:left w:val="none" w:sz="0" w:space="0" w:color="auto"/>
        <w:bottom w:val="none" w:sz="0" w:space="0" w:color="auto"/>
        <w:right w:val="none" w:sz="0" w:space="0" w:color="auto"/>
      </w:divBdr>
      <w:divsChild>
        <w:div w:id="351348124">
          <w:marLeft w:val="0"/>
          <w:marRight w:val="0"/>
          <w:marTop w:val="0"/>
          <w:marBottom w:val="315"/>
          <w:divBdr>
            <w:top w:val="single" w:sz="6" w:space="0" w:color="ECF0F1"/>
            <w:left w:val="single" w:sz="6" w:space="0" w:color="ECF0F1"/>
            <w:bottom w:val="single" w:sz="6" w:space="0" w:color="ECF0F1"/>
            <w:right w:val="single" w:sz="6" w:space="0" w:color="ECF0F1"/>
          </w:divBdr>
          <w:divsChild>
            <w:div w:id="232736310">
              <w:marLeft w:val="0"/>
              <w:marRight w:val="0"/>
              <w:marTop w:val="0"/>
              <w:marBottom w:val="0"/>
              <w:divBdr>
                <w:top w:val="none" w:sz="0" w:space="0" w:color="auto"/>
                <w:left w:val="none" w:sz="0" w:space="0" w:color="auto"/>
                <w:bottom w:val="none" w:sz="0" w:space="0" w:color="auto"/>
                <w:right w:val="none" w:sz="0" w:space="0" w:color="auto"/>
              </w:divBdr>
              <w:divsChild>
                <w:div w:id="452480700">
                  <w:marLeft w:val="0"/>
                  <w:marRight w:val="0"/>
                  <w:marTop w:val="0"/>
                  <w:marBottom w:val="225"/>
                  <w:divBdr>
                    <w:top w:val="none" w:sz="0" w:space="0" w:color="auto"/>
                    <w:left w:val="none" w:sz="0" w:space="0" w:color="auto"/>
                    <w:bottom w:val="none" w:sz="0" w:space="0" w:color="auto"/>
                    <w:right w:val="none" w:sz="0" w:space="0" w:color="auto"/>
                  </w:divBdr>
                  <w:divsChild>
                    <w:div w:id="397869801">
                      <w:marLeft w:val="0"/>
                      <w:marRight w:val="0"/>
                      <w:marTop w:val="0"/>
                      <w:marBottom w:val="0"/>
                      <w:divBdr>
                        <w:top w:val="none" w:sz="0" w:space="0" w:color="auto"/>
                        <w:left w:val="none" w:sz="0" w:space="0" w:color="auto"/>
                        <w:bottom w:val="none" w:sz="0" w:space="0" w:color="auto"/>
                        <w:right w:val="none" w:sz="0" w:space="0" w:color="auto"/>
                      </w:divBdr>
                      <w:divsChild>
                        <w:div w:id="12839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56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597431">
      <w:bodyDiv w:val="1"/>
      <w:marLeft w:val="0"/>
      <w:marRight w:val="0"/>
      <w:marTop w:val="0"/>
      <w:marBottom w:val="0"/>
      <w:divBdr>
        <w:top w:val="none" w:sz="0" w:space="0" w:color="auto"/>
        <w:left w:val="none" w:sz="0" w:space="0" w:color="auto"/>
        <w:bottom w:val="none" w:sz="0" w:space="0" w:color="auto"/>
        <w:right w:val="none" w:sz="0" w:space="0" w:color="auto"/>
      </w:divBdr>
    </w:div>
    <w:div w:id="1949310411">
      <w:bodyDiv w:val="1"/>
      <w:marLeft w:val="0"/>
      <w:marRight w:val="0"/>
      <w:marTop w:val="0"/>
      <w:marBottom w:val="0"/>
      <w:divBdr>
        <w:top w:val="none" w:sz="0" w:space="0" w:color="auto"/>
        <w:left w:val="none" w:sz="0" w:space="0" w:color="auto"/>
        <w:bottom w:val="none" w:sz="0" w:space="0" w:color="auto"/>
        <w:right w:val="none" w:sz="0" w:space="0" w:color="auto"/>
      </w:divBdr>
    </w:div>
    <w:div w:id="1949849113">
      <w:bodyDiv w:val="1"/>
      <w:marLeft w:val="0"/>
      <w:marRight w:val="0"/>
      <w:marTop w:val="0"/>
      <w:marBottom w:val="0"/>
      <w:divBdr>
        <w:top w:val="none" w:sz="0" w:space="0" w:color="auto"/>
        <w:left w:val="none" w:sz="0" w:space="0" w:color="auto"/>
        <w:bottom w:val="none" w:sz="0" w:space="0" w:color="auto"/>
        <w:right w:val="none" w:sz="0" w:space="0" w:color="auto"/>
      </w:divBdr>
    </w:div>
    <w:div w:id="1982998212">
      <w:bodyDiv w:val="1"/>
      <w:marLeft w:val="0"/>
      <w:marRight w:val="0"/>
      <w:marTop w:val="0"/>
      <w:marBottom w:val="0"/>
      <w:divBdr>
        <w:top w:val="none" w:sz="0" w:space="0" w:color="auto"/>
        <w:left w:val="none" w:sz="0" w:space="0" w:color="auto"/>
        <w:bottom w:val="none" w:sz="0" w:space="0" w:color="auto"/>
        <w:right w:val="none" w:sz="0" w:space="0" w:color="auto"/>
      </w:divBdr>
    </w:div>
    <w:div w:id="1991014159">
      <w:bodyDiv w:val="1"/>
      <w:marLeft w:val="0"/>
      <w:marRight w:val="0"/>
      <w:marTop w:val="0"/>
      <w:marBottom w:val="0"/>
      <w:divBdr>
        <w:top w:val="none" w:sz="0" w:space="0" w:color="auto"/>
        <w:left w:val="none" w:sz="0" w:space="0" w:color="auto"/>
        <w:bottom w:val="none" w:sz="0" w:space="0" w:color="auto"/>
        <w:right w:val="none" w:sz="0" w:space="0" w:color="auto"/>
      </w:divBdr>
    </w:div>
    <w:div w:id="2060082618">
      <w:bodyDiv w:val="1"/>
      <w:marLeft w:val="0"/>
      <w:marRight w:val="0"/>
      <w:marTop w:val="0"/>
      <w:marBottom w:val="0"/>
      <w:divBdr>
        <w:top w:val="none" w:sz="0" w:space="0" w:color="auto"/>
        <w:left w:val="none" w:sz="0" w:space="0" w:color="auto"/>
        <w:bottom w:val="none" w:sz="0" w:space="0" w:color="auto"/>
        <w:right w:val="none" w:sz="0" w:space="0" w:color="auto"/>
      </w:divBdr>
    </w:div>
    <w:div w:id="2062434106">
      <w:bodyDiv w:val="1"/>
      <w:marLeft w:val="0"/>
      <w:marRight w:val="0"/>
      <w:marTop w:val="0"/>
      <w:marBottom w:val="0"/>
      <w:divBdr>
        <w:top w:val="none" w:sz="0" w:space="0" w:color="auto"/>
        <w:left w:val="none" w:sz="0" w:space="0" w:color="auto"/>
        <w:bottom w:val="none" w:sz="0" w:space="0" w:color="auto"/>
        <w:right w:val="none" w:sz="0" w:space="0" w:color="auto"/>
      </w:divBdr>
      <w:divsChild>
        <w:div w:id="473568608">
          <w:marLeft w:val="0"/>
          <w:marRight w:val="0"/>
          <w:marTop w:val="0"/>
          <w:marBottom w:val="315"/>
          <w:divBdr>
            <w:top w:val="single" w:sz="6" w:space="0" w:color="ECF0F1"/>
            <w:left w:val="single" w:sz="6" w:space="0" w:color="ECF0F1"/>
            <w:bottom w:val="single" w:sz="6" w:space="0" w:color="ECF0F1"/>
            <w:right w:val="single" w:sz="6" w:space="0" w:color="ECF0F1"/>
          </w:divBdr>
          <w:divsChild>
            <w:div w:id="1511217619">
              <w:marLeft w:val="0"/>
              <w:marRight w:val="0"/>
              <w:marTop w:val="0"/>
              <w:marBottom w:val="0"/>
              <w:divBdr>
                <w:top w:val="none" w:sz="0" w:space="0" w:color="auto"/>
                <w:left w:val="none" w:sz="0" w:space="0" w:color="auto"/>
                <w:bottom w:val="none" w:sz="0" w:space="0" w:color="auto"/>
                <w:right w:val="none" w:sz="0" w:space="0" w:color="auto"/>
              </w:divBdr>
              <w:divsChild>
                <w:div w:id="3091413">
                  <w:marLeft w:val="0"/>
                  <w:marRight w:val="0"/>
                  <w:marTop w:val="0"/>
                  <w:marBottom w:val="225"/>
                  <w:divBdr>
                    <w:top w:val="none" w:sz="0" w:space="0" w:color="auto"/>
                    <w:left w:val="none" w:sz="0" w:space="0" w:color="auto"/>
                    <w:bottom w:val="none" w:sz="0" w:space="0" w:color="auto"/>
                    <w:right w:val="none" w:sz="0" w:space="0" w:color="auto"/>
                  </w:divBdr>
                  <w:divsChild>
                    <w:div w:id="592517769">
                      <w:marLeft w:val="0"/>
                      <w:marRight w:val="0"/>
                      <w:marTop w:val="0"/>
                      <w:marBottom w:val="0"/>
                      <w:divBdr>
                        <w:top w:val="none" w:sz="0" w:space="0" w:color="auto"/>
                        <w:left w:val="none" w:sz="0" w:space="0" w:color="auto"/>
                        <w:bottom w:val="none" w:sz="0" w:space="0" w:color="auto"/>
                        <w:right w:val="none" w:sz="0" w:space="0" w:color="auto"/>
                      </w:divBdr>
                      <w:divsChild>
                        <w:div w:id="12440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922412">
      <w:bodyDiv w:val="1"/>
      <w:marLeft w:val="0"/>
      <w:marRight w:val="0"/>
      <w:marTop w:val="0"/>
      <w:marBottom w:val="0"/>
      <w:divBdr>
        <w:top w:val="none" w:sz="0" w:space="0" w:color="auto"/>
        <w:left w:val="none" w:sz="0" w:space="0" w:color="auto"/>
        <w:bottom w:val="none" w:sz="0" w:space="0" w:color="auto"/>
        <w:right w:val="none" w:sz="0" w:space="0" w:color="auto"/>
      </w:divBdr>
    </w:div>
    <w:div w:id="2123067365">
      <w:bodyDiv w:val="1"/>
      <w:marLeft w:val="0"/>
      <w:marRight w:val="0"/>
      <w:marTop w:val="0"/>
      <w:marBottom w:val="0"/>
      <w:divBdr>
        <w:top w:val="none" w:sz="0" w:space="0" w:color="auto"/>
        <w:left w:val="none" w:sz="0" w:space="0" w:color="auto"/>
        <w:bottom w:val="none" w:sz="0" w:space="0" w:color="auto"/>
        <w:right w:val="none" w:sz="0" w:space="0" w:color="auto"/>
      </w:divBdr>
    </w:div>
    <w:div w:id="2140952539">
      <w:bodyDiv w:val="1"/>
      <w:marLeft w:val="0"/>
      <w:marRight w:val="0"/>
      <w:marTop w:val="0"/>
      <w:marBottom w:val="0"/>
      <w:divBdr>
        <w:top w:val="none" w:sz="0" w:space="0" w:color="auto"/>
        <w:left w:val="none" w:sz="0" w:space="0" w:color="auto"/>
        <w:bottom w:val="none" w:sz="0" w:space="0" w:color="auto"/>
        <w:right w:val="none" w:sz="0" w:space="0" w:color="auto"/>
      </w:divBdr>
      <w:divsChild>
        <w:div w:id="1816332835">
          <w:marLeft w:val="0"/>
          <w:marRight w:val="0"/>
          <w:marTop w:val="0"/>
          <w:marBottom w:val="0"/>
          <w:divBdr>
            <w:top w:val="none" w:sz="0" w:space="0" w:color="auto"/>
            <w:left w:val="none" w:sz="0" w:space="0" w:color="auto"/>
            <w:bottom w:val="none" w:sz="0" w:space="0" w:color="auto"/>
            <w:right w:val="none" w:sz="0" w:space="0" w:color="auto"/>
          </w:divBdr>
          <w:divsChild>
            <w:div w:id="600189724">
              <w:marLeft w:val="0"/>
              <w:marRight w:val="0"/>
              <w:marTop w:val="0"/>
              <w:marBottom w:val="0"/>
              <w:divBdr>
                <w:top w:val="none" w:sz="0" w:space="0" w:color="auto"/>
                <w:left w:val="none" w:sz="0" w:space="0" w:color="auto"/>
                <w:bottom w:val="none" w:sz="0" w:space="0" w:color="auto"/>
                <w:right w:val="none" w:sz="0" w:space="0" w:color="auto"/>
              </w:divBdr>
            </w:div>
          </w:divsChild>
        </w:div>
        <w:div w:id="1194344589">
          <w:marLeft w:val="0"/>
          <w:marRight w:val="0"/>
          <w:marTop w:val="120"/>
          <w:marBottom w:val="0"/>
          <w:divBdr>
            <w:top w:val="none" w:sz="0" w:space="0" w:color="auto"/>
            <w:left w:val="none" w:sz="0" w:space="0" w:color="auto"/>
            <w:bottom w:val="none" w:sz="0" w:space="0" w:color="auto"/>
            <w:right w:val="none" w:sz="0" w:space="0" w:color="auto"/>
          </w:divBdr>
          <w:divsChild>
            <w:div w:id="1767340052">
              <w:marLeft w:val="0"/>
              <w:marRight w:val="0"/>
              <w:marTop w:val="0"/>
              <w:marBottom w:val="0"/>
              <w:divBdr>
                <w:top w:val="none" w:sz="0" w:space="0" w:color="auto"/>
                <w:left w:val="none" w:sz="0" w:space="0" w:color="auto"/>
                <w:bottom w:val="none" w:sz="0" w:space="0" w:color="auto"/>
                <w:right w:val="none" w:sz="0" w:space="0" w:color="auto"/>
              </w:divBdr>
            </w:div>
          </w:divsChild>
        </w:div>
        <w:div w:id="209952175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cholar.google.co.id/citations?user=S2FPwS0AAAAJ&amp;hl=id&amp;authuser=6" TargetMode="External"/><Relationship Id="rId18" Type="http://schemas.openxmlformats.org/officeDocument/2006/relationships/hyperlink" Target="mailto:https://orcid.org/0009-0000-1574-7981"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reativecommons.org/licenses/by-nc-sa/4.0/"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https://orcid.org/0009-0007-2479-8917" TargetMode="External"/><Relationship Id="rId20" Type="http://schemas.openxmlformats.org/officeDocument/2006/relationships/hyperlink" Target="https://doi.org/10.61104/alz.v3i6.25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294/ipmhi.v6i1.48519%20"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issn.lipi.go.id/terbit/detail/20210912432205133" TargetMode="External"/><Relationship Id="rId19" Type="http://schemas.openxmlformats.org/officeDocument/2006/relationships/hyperlink" Target="mailto:evarista.santoso@mail.ugm.ac.i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evarista.santoso@mail.ugm.ac.id"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30659/akta.v4i1.175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06C7C415584F459CE45A1998B7369F"/>
        <w:category>
          <w:name w:val="General"/>
          <w:gallery w:val="placeholder"/>
        </w:category>
        <w:types>
          <w:type w:val="bbPlcHdr"/>
        </w:types>
        <w:behaviors>
          <w:behavior w:val="content"/>
        </w:behaviors>
        <w:guid w:val="{15764D26-7570-481E-9D57-4913D1CA2B16}"/>
      </w:docPartPr>
      <w:docPartBody>
        <w:p w:rsidR="00CD2F92" w:rsidRDefault="004F09BA" w:rsidP="004F09BA">
          <w:pPr>
            <w:pStyle w:val="3606C7C415584F459CE45A1998B7369F"/>
          </w:pPr>
          <w:r w:rsidRPr="00B53D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BA"/>
    <w:rsid w:val="002C6718"/>
    <w:rsid w:val="004F09BA"/>
    <w:rsid w:val="0093043C"/>
    <w:rsid w:val="009C6A93"/>
    <w:rsid w:val="00A45B63"/>
    <w:rsid w:val="00CD2F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09BA"/>
    <w:rPr>
      <w:color w:val="666666"/>
    </w:rPr>
  </w:style>
  <w:style w:type="paragraph" w:customStyle="1" w:styleId="3606C7C415584F459CE45A1998B7369F">
    <w:name w:val="3606C7C415584F459CE45A1998B7369F"/>
    <w:rsid w:val="004F0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3F66C-BE04-4D84-99FF-1105BF56C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8095</Words>
  <Characters>46148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akhwatwidya01@gmail.com</cp:lastModifiedBy>
  <cp:revision>2</cp:revision>
  <cp:lastPrinted>2026-08-12T03:51:00Z</cp:lastPrinted>
  <dcterms:created xsi:type="dcterms:W3CDTF">2026-09-16T12:31:00Z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http://www.zotero.org/styles/al-jamiah-journal-of-islamic-studies-indonesia</vt:lpwstr>
  </property>
  <property fmtid="{D5CDD505-2E9C-101B-9397-08002B2CF9AE}" pid="4" name="Mendeley Recent Style Name 0_1">
    <vt:lpwstr>Al-Jami'ah Journal of Islamic Studies Indonesia</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http://www.zotero.org/styles/apa-annotated-bibliography</vt:lpwstr>
  </property>
  <property fmtid="{D5CDD505-2E9C-101B-9397-08002B2CF9AE}" pid="8" name="Mendeley Recent Style Name 2_1">
    <vt:lpwstr>American Psychological Association 7th edition (annotated bibliography)</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http://www.zotero.org/styles/harvard1</vt:lpwstr>
  </property>
  <property fmtid="{D5CDD505-2E9C-101B-9397-08002B2CF9AE}" pid="18" name="Mendeley Recent Style Name 7_1">
    <vt:lpwstr>Harvard reference format 1 (deprecated)</vt:lpwstr>
  </property>
  <property fmtid="{D5CDD505-2E9C-101B-9397-08002B2CF9AE}" pid="19" name="Mendeley Recent Style Id 8_1">
    <vt:lpwstr>http://www.zotero.org/styles/ieee</vt:lpwstr>
  </property>
  <property fmtid="{D5CDD505-2E9C-101B-9397-08002B2CF9AE}" pid="20" name="Mendeley Recent Style Name 8_1">
    <vt:lpwstr>IEEE</vt:lpwstr>
  </property>
  <property fmtid="{D5CDD505-2E9C-101B-9397-08002B2CF9AE}" pid="21" name="Mendeley Recent Style Id 9_1">
    <vt:lpwstr>http://www.zotero.org/styles/turabian-fullnote-bibliography</vt:lpwstr>
  </property>
  <property fmtid="{D5CDD505-2E9C-101B-9397-08002B2CF9AE}" pid="22" name="Mendeley Recent Style Name 9_1">
    <vt:lpwstr>Turabian 8th edition (full note)</vt:lpwstr>
  </property>
  <property fmtid="{D5CDD505-2E9C-101B-9397-08002B2CF9AE}" pid="23" name="Mendeley Unique User Id_1">
    <vt:lpwstr>4d3e0fce-37b6-3f99-b751-9ca935129d55</vt:lpwstr>
  </property>
  <property fmtid="{D5CDD505-2E9C-101B-9397-08002B2CF9AE}" pid="24" name="Mendeley Citation Style_1">
    <vt:lpwstr>http://www.zotero.org/styles/chicago-fullnote-bibliography</vt:lpwstr>
  </property>
</Properties>
</file>