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93"/>
        <w:ind w:left="1701" w:right="0" w:firstLine="0"/>
        <w:jc w:val="left"/>
        <w:rPr>
          <w:rFonts w:ascii="Cambria"/>
          <w:sz w:val="22"/>
        </w:rPr>
      </w:pPr>
      <w:r>
        <w:rPr>
          <w:rFonts w:ascii="Cambria"/>
          <w:sz w:val="22"/>
        </w:rPr>
        <w:drawing>
          <wp:anchor distT="0" distB="0" distL="0" distR="0" allowOverlap="1" layoutInCell="1" locked="0" behindDoc="0" simplePos="0" relativeHeight="15729152">
            <wp:simplePos x="0" y="0"/>
            <wp:positionH relativeFrom="page">
              <wp:posOffset>881380</wp:posOffset>
            </wp:positionH>
            <wp:positionV relativeFrom="paragraph">
              <wp:posOffset>5383</wp:posOffset>
            </wp:positionV>
            <wp:extent cx="885824" cy="4953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885824" cy="495300"/>
                    </a:xfrm>
                    <a:prstGeom prst="rect">
                      <a:avLst/>
                    </a:prstGeom>
                  </pic:spPr>
                </pic:pic>
              </a:graphicData>
            </a:graphic>
          </wp:anchor>
        </w:drawing>
      </w:r>
      <w:r>
        <w:rPr>
          <w:rFonts w:ascii="Cambria"/>
          <w:sz w:val="22"/>
        </w:rPr>
        <w:t>Indonesian</w:t>
      </w:r>
      <w:r>
        <w:rPr>
          <w:rFonts w:ascii="Cambria"/>
          <w:spacing w:val="-9"/>
          <w:sz w:val="22"/>
        </w:rPr>
        <w:t> </w:t>
      </w:r>
      <w:r>
        <w:rPr>
          <w:rFonts w:ascii="Cambria"/>
          <w:sz w:val="22"/>
        </w:rPr>
        <w:t>Science</w:t>
      </w:r>
      <w:r>
        <w:rPr>
          <w:rFonts w:ascii="Cambria"/>
          <w:spacing w:val="-9"/>
          <w:sz w:val="22"/>
        </w:rPr>
        <w:t> </w:t>
      </w:r>
      <w:r>
        <w:rPr>
          <w:rFonts w:ascii="Cambria"/>
          <w:sz w:val="22"/>
        </w:rPr>
        <w:t>Education</w:t>
      </w:r>
      <w:r>
        <w:rPr>
          <w:rFonts w:ascii="Cambria"/>
          <w:spacing w:val="-9"/>
          <w:sz w:val="22"/>
        </w:rPr>
        <w:t> </w:t>
      </w:r>
      <w:r>
        <w:rPr>
          <w:rFonts w:ascii="Cambria"/>
          <w:spacing w:val="-2"/>
          <w:sz w:val="22"/>
        </w:rPr>
        <w:t>Letter</w:t>
      </w:r>
    </w:p>
    <w:p>
      <w:pPr>
        <w:spacing w:before="6"/>
        <w:ind w:left="1703" w:right="0" w:firstLine="0"/>
        <w:jc w:val="left"/>
        <w:rPr>
          <w:rFonts w:ascii="Cambria"/>
          <w:sz w:val="22"/>
        </w:rPr>
      </w:pPr>
      <w:r>
        <w:rPr>
          <w:rFonts w:ascii="Cambria"/>
          <w:sz w:val="22"/>
        </w:rPr>
        <w:t>Vol.</w:t>
      </w:r>
      <w:r>
        <w:rPr>
          <w:rFonts w:ascii="Cambria"/>
          <w:spacing w:val="-8"/>
          <w:sz w:val="22"/>
        </w:rPr>
        <w:t> </w:t>
      </w:r>
      <w:r>
        <w:rPr>
          <w:rFonts w:ascii="Cambria"/>
          <w:sz w:val="22"/>
        </w:rPr>
        <w:t>X</w:t>
      </w:r>
      <w:r>
        <w:rPr>
          <w:rFonts w:ascii="Cambria"/>
          <w:spacing w:val="-5"/>
          <w:sz w:val="22"/>
        </w:rPr>
        <w:t> </w:t>
      </w:r>
      <w:r>
        <w:rPr>
          <w:rFonts w:ascii="Cambria"/>
          <w:sz w:val="22"/>
        </w:rPr>
        <w:t>No.</w:t>
      </w:r>
      <w:r>
        <w:rPr>
          <w:rFonts w:ascii="Cambria"/>
          <w:spacing w:val="-5"/>
          <w:sz w:val="22"/>
        </w:rPr>
        <w:t> </w:t>
      </w:r>
      <w:r>
        <w:rPr>
          <w:rFonts w:ascii="Cambria"/>
          <w:sz w:val="22"/>
        </w:rPr>
        <w:t>X,</w:t>
      </w:r>
      <w:r>
        <w:rPr>
          <w:rFonts w:ascii="Cambria"/>
          <w:spacing w:val="-6"/>
          <w:sz w:val="22"/>
        </w:rPr>
        <w:t> </w:t>
      </w:r>
      <w:r>
        <w:rPr>
          <w:rFonts w:ascii="Cambria"/>
          <w:sz w:val="22"/>
        </w:rPr>
        <w:t>December</w:t>
      </w:r>
      <w:r>
        <w:rPr>
          <w:rFonts w:ascii="Cambria"/>
          <w:spacing w:val="-5"/>
          <w:sz w:val="22"/>
        </w:rPr>
        <w:t> </w:t>
      </w:r>
      <w:r>
        <w:rPr>
          <w:rFonts w:ascii="Cambria"/>
          <w:sz w:val="22"/>
        </w:rPr>
        <w:t>20XX,</w:t>
      </w:r>
      <w:r>
        <w:rPr>
          <w:rFonts w:ascii="Cambria"/>
          <w:spacing w:val="-5"/>
          <w:sz w:val="22"/>
        </w:rPr>
        <w:t> </w:t>
      </w:r>
      <w:r>
        <w:rPr>
          <w:rFonts w:ascii="Cambria"/>
          <w:sz w:val="22"/>
        </w:rPr>
        <w:t>pages:</w:t>
      </w:r>
      <w:r>
        <w:rPr>
          <w:rFonts w:ascii="Cambria"/>
          <w:spacing w:val="-6"/>
          <w:sz w:val="22"/>
        </w:rPr>
        <w:t> </w:t>
      </w:r>
      <w:r>
        <w:rPr>
          <w:rFonts w:ascii="Cambria"/>
          <w:sz w:val="22"/>
        </w:rPr>
        <w:t>XXX</w:t>
      </w:r>
      <w:r>
        <w:rPr>
          <w:rFonts w:ascii="Cambria"/>
          <w:spacing w:val="-5"/>
          <w:sz w:val="22"/>
        </w:rPr>
        <w:t> </w:t>
      </w:r>
      <w:r>
        <w:rPr>
          <w:rFonts w:ascii="Cambria"/>
          <w:sz w:val="22"/>
        </w:rPr>
        <w:t>-</w:t>
      </w:r>
      <w:r>
        <w:rPr>
          <w:rFonts w:ascii="Cambria"/>
          <w:spacing w:val="-5"/>
          <w:sz w:val="22"/>
        </w:rPr>
        <w:t> XXX</w:t>
      </w:r>
    </w:p>
    <w:p>
      <w:pPr>
        <w:spacing w:before="158"/>
        <w:ind w:left="308" w:right="0" w:firstLine="0"/>
        <w:jc w:val="left"/>
        <w:rPr>
          <w:rFonts w:ascii="Cambria"/>
          <w:sz w:val="22"/>
        </w:rPr>
      </w:pPr>
      <w:r>
        <w:rPr/>
        <w:br w:type="column"/>
      </w:r>
      <w:r>
        <w:rPr>
          <w:rFonts w:ascii="Cambria"/>
          <w:spacing w:val="-2"/>
          <w:sz w:val="22"/>
        </w:rPr>
        <w:t>e-ISSN:</w:t>
      </w:r>
      <w:r>
        <w:rPr>
          <w:rFonts w:ascii="Cambria"/>
          <w:spacing w:val="-10"/>
          <w:sz w:val="22"/>
        </w:rPr>
        <w:t> </w:t>
      </w:r>
      <w:r>
        <w:rPr>
          <w:rFonts w:ascii="Cambria"/>
          <w:spacing w:val="-2"/>
          <w:sz w:val="22"/>
        </w:rPr>
        <w:t>XXXX-</w:t>
      </w:r>
      <w:r>
        <w:rPr>
          <w:rFonts w:ascii="Cambria"/>
          <w:spacing w:val="-4"/>
          <w:sz w:val="22"/>
        </w:rPr>
        <w:t>XXXX</w:t>
      </w:r>
    </w:p>
    <w:p>
      <w:pPr>
        <w:spacing w:after="0"/>
        <w:jc w:val="left"/>
        <w:rPr>
          <w:rFonts w:ascii="Cambria"/>
          <w:sz w:val="22"/>
        </w:rPr>
        <w:sectPr>
          <w:type w:val="continuous"/>
          <w:pgSz w:w="12240" w:h="15840"/>
          <w:pgMar w:top="1240" w:bottom="280" w:left="1080" w:right="1080"/>
          <w:cols w:num="2" w:equalWidth="0">
            <w:col w:w="6049" w:space="1650"/>
            <w:col w:w="2381"/>
          </w:cols>
        </w:sectPr>
      </w:pPr>
    </w:p>
    <w:p>
      <w:pPr>
        <w:pStyle w:val="BodyText"/>
        <w:spacing w:before="163"/>
        <w:ind w:left="0"/>
        <w:jc w:val="left"/>
        <w:rPr>
          <w:rFonts w:ascii="Cambria"/>
          <w:sz w:val="20"/>
        </w:rPr>
      </w:pPr>
    </w:p>
    <w:p>
      <w:pPr>
        <w:spacing w:line="120" w:lineRule="exact"/>
        <w:ind w:left="293" w:right="0" w:firstLine="0"/>
        <w:rPr>
          <w:rFonts w:ascii="Cambria"/>
          <w:position w:val="-1"/>
          <w:sz w:val="12"/>
        </w:rPr>
      </w:pPr>
      <w:r>
        <w:rPr>
          <w:rFonts w:ascii="Cambria"/>
          <w:position w:val="-1"/>
          <w:sz w:val="12"/>
        </w:rPr>
        <w:drawing>
          <wp:inline distT="0" distB="0" distL="0" distR="0">
            <wp:extent cx="6019800" cy="76200"/>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6019800" cy="76200"/>
                    </a:xfrm>
                    <a:prstGeom prst="rect">
                      <a:avLst/>
                    </a:prstGeom>
                  </pic:spPr>
                </pic:pic>
              </a:graphicData>
            </a:graphic>
          </wp:inline>
        </w:drawing>
      </w:r>
      <w:r>
        <w:rPr>
          <w:rFonts w:ascii="Cambria"/>
          <w:position w:val="-1"/>
          <w:sz w:val="12"/>
        </w:rPr>
      </w:r>
    </w:p>
    <w:p>
      <w:pPr>
        <w:pStyle w:val="BodyText"/>
        <w:spacing w:before="132"/>
        <w:ind w:left="0"/>
        <w:jc w:val="left"/>
        <w:rPr>
          <w:rFonts w:ascii="Cambria"/>
          <w:sz w:val="28"/>
        </w:rPr>
      </w:pPr>
    </w:p>
    <w:p>
      <w:pPr>
        <w:pStyle w:val="Title"/>
      </w:pPr>
      <w:r>
        <w:rPr/>
        <w:t>21st</w:t>
      </w:r>
      <w:r>
        <w:rPr>
          <w:spacing w:val="-8"/>
        </w:rPr>
        <w:t> </w:t>
      </w:r>
      <w:r>
        <w:rPr/>
        <w:t>Century</w:t>
      </w:r>
      <w:r>
        <w:rPr>
          <w:spacing w:val="-6"/>
        </w:rPr>
        <w:t> </w:t>
      </w:r>
      <w:r>
        <w:rPr/>
        <w:t>Skills</w:t>
      </w:r>
      <w:r>
        <w:rPr>
          <w:spacing w:val="-5"/>
        </w:rPr>
        <w:t> </w:t>
      </w:r>
      <w:r>
        <w:rPr/>
        <w:t>Analysis</w:t>
      </w:r>
      <w:r>
        <w:rPr>
          <w:spacing w:val="-6"/>
        </w:rPr>
        <w:t> </w:t>
      </w:r>
      <w:r>
        <w:rPr/>
        <w:t>(4C)</w:t>
      </w:r>
      <w:r>
        <w:rPr>
          <w:spacing w:val="-6"/>
        </w:rPr>
        <w:t> </w:t>
      </w:r>
      <w:r>
        <w:rPr/>
        <w:t>of</w:t>
      </w:r>
      <w:r>
        <w:rPr>
          <w:spacing w:val="-5"/>
        </w:rPr>
        <w:t> </w:t>
      </w:r>
      <w:r>
        <w:rPr/>
        <w:t>Students</w:t>
      </w:r>
      <w:r>
        <w:rPr>
          <w:spacing w:val="-6"/>
        </w:rPr>
        <w:t> </w:t>
      </w:r>
      <w:r>
        <w:rPr/>
        <w:t>at</w:t>
      </w:r>
      <w:r>
        <w:rPr>
          <w:spacing w:val="-6"/>
        </w:rPr>
        <w:t> </w:t>
      </w:r>
      <w:r>
        <w:rPr/>
        <w:t>SMP</w:t>
      </w:r>
      <w:r>
        <w:rPr>
          <w:spacing w:val="-5"/>
        </w:rPr>
        <w:t> </w:t>
      </w:r>
      <w:r>
        <w:rPr/>
        <w:t>Negeri</w:t>
      </w:r>
      <w:r>
        <w:rPr>
          <w:spacing w:val="-6"/>
        </w:rPr>
        <w:t> </w:t>
      </w:r>
      <w:r>
        <w:rPr/>
        <w:t>7</w:t>
      </w:r>
      <w:r>
        <w:rPr>
          <w:spacing w:val="-5"/>
        </w:rPr>
        <w:t> </w:t>
      </w:r>
      <w:r>
        <w:rPr>
          <w:spacing w:val="-2"/>
        </w:rPr>
        <w:t>Pekalongan</w:t>
      </w:r>
    </w:p>
    <w:p>
      <w:pPr>
        <w:pStyle w:val="Heading2"/>
        <w:spacing w:before="243"/>
        <w:ind w:left="213" w:right="47"/>
        <w:jc w:val="center"/>
      </w:pPr>
      <w:r>
        <w:rPr/>
        <w:t>Frisda Afriani </w:t>
      </w:r>
      <w:r>
        <w:rPr>
          <w:spacing w:val="-2"/>
        </w:rPr>
        <w:t>Arkadewi</w:t>
      </w:r>
      <w:r>
        <w:rPr>
          <w:spacing w:val="-2"/>
          <w:vertAlign w:val="superscript"/>
        </w:rPr>
        <w:t>a,*</w:t>
      </w:r>
    </w:p>
    <w:p>
      <w:pPr>
        <w:pStyle w:val="BodyText"/>
        <w:ind w:left="0"/>
        <w:jc w:val="left"/>
        <w:rPr>
          <w:b/>
        </w:rPr>
      </w:pPr>
    </w:p>
    <w:p>
      <w:pPr>
        <w:pStyle w:val="BodyText"/>
        <w:ind w:left="213" w:right="45"/>
        <w:jc w:val="center"/>
      </w:pPr>
      <w:r>
        <w:rPr>
          <w:vertAlign w:val="superscript"/>
        </w:rPr>
        <w:t>a</w:t>
      </w:r>
      <w:r>
        <w:rPr>
          <w:vertAlign w:val="baseline"/>
        </w:rPr>
        <w:t>Natural</w:t>
      </w:r>
      <w:r>
        <w:rPr>
          <w:spacing w:val="-9"/>
          <w:vertAlign w:val="baseline"/>
        </w:rPr>
        <w:t> </w:t>
      </w:r>
      <w:r>
        <w:rPr>
          <w:vertAlign w:val="baseline"/>
        </w:rPr>
        <w:t>Science</w:t>
      </w:r>
      <w:r>
        <w:rPr>
          <w:spacing w:val="-9"/>
          <w:vertAlign w:val="baseline"/>
        </w:rPr>
        <w:t> </w:t>
      </w:r>
      <w:r>
        <w:rPr>
          <w:vertAlign w:val="baseline"/>
        </w:rPr>
        <w:t>Education,</w:t>
      </w:r>
      <w:r>
        <w:rPr>
          <w:spacing w:val="-9"/>
          <w:vertAlign w:val="baseline"/>
        </w:rPr>
        <w:t> </w:t>
      </w:r>
      <w:r>
        <w:rPr>
          <w:vertAlign w:val="baseline"/>
        </w:rPr>
        <w:t>Faculty</w:t>
      </w:r>
      <w:r>
        <w:rPr>
          <w:spacing w:val="-9"/>
          <w:vertAlign w:val="baseline"/>
        </w:rPr>
        <w:t> </w:t>
      </w:r>
      <w:r>
        <w:rPr>
          <w:vertAlign w:val="baseline"/>
        </w:rPr>
        <w:t>of</w:t>
      </w:r>
      <w:r>
        <w:rPr>
          <w:spacing w:val="-9"/>
          <w:vertAlign w:val="baseline"/>
        </w:rPr>
        <w:t> </w:t>
      </w:r>
      <w:r>
        <w:rPr>
          <w:vertAlign w:val="baseline"/>
        </w:rPr>
        <w:t>Mathematics</w:t>
      </w:r>
      <w:r>
        <w:rPr>
          <w:spacing w:val="-9"/>
          <w:vertAlign w:val="baseline"/>
        </w:rPr>
        <w:t> </w:t>
      </w:r>
      <w:r>
        <w:rPr>
          <w:vertAlign w:val="baseline"/>
        </w:rPr>
        <w:t>and</w:t>
      </w:r>
      <w:r>
        <w:rPr>
          <w:spacing w:val="-9"/>
          <w:vertAlign w:val="baseline"/>
        </w:rPr>
        <w:t> </w:t>
      </w:r>
      <w:r>
        <w:rPr>
          <w:vertAlign w:val="baseline"/>
        </w:rPr>
        <w:t>Natural</w:t>
      </w:r>
      <w:r>
        <w:rPr>
          <w:spacing w:val="-9"/>
          <w:vertAlign w:val="baseline"/>
        </w:rPr>
        <w:t> </w:t>
      </w:r>
      <w:r>
        <w:rPr>
          <w:vertAlign w:val="baseline"/>
        </w:rPr>
        <w:t>Science,</w:t>
      </w:r>
      <w:r>
        <w:rPr>
          <w:spacing w:val="-9"/>
          <w:vertAlign w:val="baseline"/>
        </w:rPr>
        <w:t> </w:t>
      </w:r>
      <w:r>
        <w:rPr>
          <w:vertAlign w:val="baseline"/>
        </w:rPr>
        <w:t>Universitas</w:t>
      </w:r>
      <w:r>
        <w:rPr>
          <w:spacing w:val="-9"/>
          <w:vertAlign w:val="baseline"/>
        </w:rPr>
        <w:t> </w:t>
      </w:r>
      <w:r>
        <w:rPr>
          <w:vertAlign w:val="baseline"/>
        </w:rPr>
        <w:t>Negeri Semarang, Indonesia</w:t>
      </w:r>
    </w:p>
    <w:p>
      <w:pPr>
        <w:pStyle w:val="BodyText"/>
        <w:ind w:left="0"/>
        <w:jc w:val="left"/>
      </w:pPr>
    </w:p>
    <w:p>
      <w:pPr>
        <w:pStyle w:val="BodyText"/>
        <w:ind w:left="213" w:right="47"/>
        <w:jc w:val="center"/>
      </w:pPr>
      <w:r>
        <w:rPr>
          <w:vertAlign w:val="superscript"/>
        </w:rPr>
        <w:t>*</w:t>
      </w:r>
      <w:r>
        <w:rPr>
          <w:vertAlign w:val="baseline"/>
        </w:rPr>
        <w:t>Corresponding</w:t>
      </w:r>
      <w:r>
        <w:rPr>
          <w:spacing w:val="-4"/>
          <w:vertAlign w:val="baseline"/>
        </w:rPr>
        <w:t> </w:t>
      </w:r>
      <w:r>
        <w:rPr>
          <w:vertAlign w:val="baseline"/>
        </w:rPr>
        <w:t>author</w:t>
      </w:r>
      <w:r>
        <w:rPr>
          <w:spacing w:val="-4"/>
          <w:vertAlign w:val="baseline"/>
        </w:rPr>
        <w:t> </w:t>
      </w:r>
      <w:r>
        <w:rPr>
          <w:vertAlign w:val="baseline"/>
        </w:rPr>
        <w:t>email:</w:t>
      </w:r>
      <w:r>
        <w:rPr>
          <w:spacing w:val="-4"/>
          <w:vertAlign w:val="baseline"/>
        </w:rPr>
        <w:t> </w:t>
      </w:r>
      <w:hyperlink r:id="rId7">
        <w:r>
          <w:rPr>
            <w:spacing w:val="-2"/>
            <w:vertAlign w:val="baseline"/>
          </w:rPr>
          <w:t>frisdaafriani@students.unnes.ac.id</w:t>
        </w:r>
      </w:hyperlink>
    </w:p>
    <w:p>
      <w:pPr>
        <w:pStyle w:val="BodyText"/>
        <w:spacing w:before="40"/>
        <w:ind w:left="0"/>
        <w:jc w:val="left"/>
        <w:rPr>
          <w:sz w:val="20"/>
        </w:rPr>
      </w:pPr>
    </w:p>
    <w:tbl>
      <w:tblPr>
        <w:tblW w:w="0" w:type="auto"/>
        <w:jc w:val="left"/>
        <w:tblInd w:w="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260"/>
        <w:gridCol w:w="293"/>
        <w:gridCol w:w="6807"/>
      </w:tblGrid>
      <w:tr>
        <w:trPr>
          <w:trHeight w:val="519" w:hRule="atLeast"/>
        </w:trPr>
        <w:tc>
          <w:tcPr>
            <w:tcW w:w="2260" w:type="dxa"/>
            <w:tcBorders>
              <w:top w:val="single" w:sz="8" w:space="0" w:color="000000"/>
              <w:bottom w:val="single" w:sz="8" w:space="0" w:color="000000"/>
            </w:tcBorders>
          </w:tcPr>
          <w:p>
            <w:pPr>
              <w:pStyle w:val="TableParagraph"/>
              <w:spacing w:before="130"/>
              <w:ind w:left="2"/>
              <w:jc w:val="left"/>
              <w:rPr>
                <w:b/>
                <w:i/>
                <w:sz w:val="24"/>
              </w:rPr>
            </w:pPr>
            <w:r>
              <w:rPr>
                <w:b/>
                <w:i/>
                <w:spacing w:val="-2"/>
                <w:sz w:val="24"/>
              </w:rPr>
              <w:t>Keywords</w:t>
            </w:r>
          </w:p>
        </w:tc>
        <w:tc>
          <w:tcPr>
            <w:tcW w:w="293" w:type="dxa"/>
            <w:tcBorders>
              <w:top w:val="single" w:sz="8" w:space="0" w:color="000000"/>
            </w:tcBorders>
          </w:tcPr>
          <w:p>
            <w:pPr>
              <w:pStyle w:val="TableParagraph"/>
              <w:jc w:val="left"/>
              <w:rPr>
                <w:rFonts w:ascii="Times New Roman"/>
                <w:sz w:val="24"/>
              </w:rPr>
            </w:pPr>
          </w:p>
        </w:tc>
        <w:tc>
          <w:tcPr>
            <w:tcW w:w="6807" w:type="dxa"/>
            <w:tcBorders>
              <w:top w:val="single" w:sz="8" w:space="0" w:color="000000"/>
              <w:bottom w:val="single" w:sz="8" w:space="0" w:color="000000"/>
            </w:tcBorders>
          </w:tcPr>
          <w:p>
            <w:pPr>
              <w:pStyle w:val="TableParagraph"/>
              <w:spacing w:before="130"/>
              <w:ind w:left="-1"/>
              <w:jc w:val="left"/>
              <w:rPr>
                <w:b/>
                <w:sz w:val="24"/>
              </w:rPr>
            </w:pPr>
            <w:r>
              <w:rPr>
                <w:b/>
                <w:spacing w:val="-2"/>
                <w:sz w:val="24"/>
              </w:rPr>
              <w:t>Abstract</w:t>
            </w:r>
          </w:p>
        </w:tc>
      </w:tr>
      <w:tr>
        <w:trPr>
          <w:trHeight w:val="4821" w:hRule="atLeast"/>
        </w:trPr>
        <w:tc>
          <w:tcPr>
            <w:tcW w:w="2260" w:type="dxa"/>
            <w:tcBorders>
              <w:top w:val="single" w:sz="8" w:space="0" w:color="000000"/>
            </w:tcBorders>
          </w:tcPr>
          <w:p>
            <w:pPr>
              <w:pStyle w:val="TableParagraph"/>
              <w:spacing w:before="18"/>
              <w:jc w:val="left"/>
              <w:rPr>
                <w:sz w:val="24"/>
              </w:rPr>
            </w:pPr>
          </w:p>
          <w:p>
            <w:pPr>
              <w:pStyle w:val="TableParagraph"/>
              <w:ind w:left="107" w:right="421"/>
              <w:jc w:val="left"/>
              <w:rPr>
                <w:sz w:val="24"/>
              </w:rPr>
            </w:pPr>
            <w:r>
              <w:rPr>
                <w:sz w:val="24"/>
              </w:rPr>
              <w:t>4C Skills, Skills Analysis, 21st Century</w:t>
            </w:r>
            <w:r>
              <w:rPr>
                <w:spacing w:val="-14"/>
                <w:sz w:val="24"/>
              </w:rPr>
              <w:t> </w:t>
            </w:r>
            <w:r>
              <w:rPr>
                <w:sz w:val="24"/>
              </w:rPr>
              <w:t>Learning, SMP Negeri 7 </w:t>
            </w:r>
            <w:r>
              <w:rPr>
                <w:spacing w:val="-2"/>
                <w:sz w:val="24"/>
              </w:rPr>
              <w:t>Pekalongan</w:t>
            </w:r>
          </w:p>
        </w:tc>
        <w:tc>
          <w:tcPr>
            <w:tcW w:w="293" w:type="dxa"/>
          </w:tcPr>
          <w:p>
            <w:pPr>
              <w:pStyle w:val="TableParagraph"/>
              <w:jc w:val="left"/>
              <w:rPr>
                <w:rFonts w:ascii="Times New Roman"/>
                <w:sz w:val="24"/>
              </w:rPr>
            </w:pPr>
          </w:p>
        </w:tc>
        <w:tc>
          <w:tcPr>
            <w:tcW w:w="6807" w:type="dxa"/>
            <w:tcBorders>
              <w:top w:val="single" w:sz="8" w:space="0" w:color="000000"/>
            </w:tcBorders>
          </w:tcPr>
          <w:p>
            <w:pPr>
              <w:pStyle w:val="TableParagraph"/>
              <w:spacing w:before="138"/>
              <w:ind w:left="104" w:right="-15"/>
              <w:jc w:val="both"/>
              <w:rPr>
                <w:sz w:val="24"/>
              </w:rPr>
            </w:pPr>
            <w:r>
              <w:rPr>
                <w:sz w:val="24"/>
              </w:rPr>
              <w:t>This study aims to analyze the mastery level of 21st-century skills comprising critical thinking, creativity, collaboration, and communication (4C) among students at SMP Negeri 7 Pekalongan. Employing a descriptive quantitative approach, data were collected from 37 respondents through an adapted Likert-scale electronic questionnaire. The findings reveal that, overall, students' 4C skills</w:t>
            </w:r>
            <w:r>
              <w:rPr>
                <w:spacing w:val="40"/>
                <w:sz w:val="24"/>
              </w:rPr>
              <w:t> </w:t>
            </w:r>
            <w:r>
              <w:rPr>
                <w:sz w:val="24"/>
              </w:rPr>
              <w:t>are categorized as "Good". Specifically, the collaboration dimension achieved the highest mean score (3.90), followed</w:t>
            </w:r>
            <w:r>
              <w:rPr>
                <w:spacing w:val="-5"/>
                <w:sz w:val="24"/>
              </w:rPr>
              <w:t> </w:t>
            </w:r>
            <w:r>
              <w:rPr>
                <w:sz w:val="24"/>
              </w:rPr>
              <w:t>by</w:t>
            </w:r>
            <w:r>
              <w:rPr>
                <w:spacing w:val="-5"/>
                <w:sz w:val="24"/>
              </w:rPr>
              <w:t> </w:t>
            </w:r>
            <w:r>
              <w:rPr>
                <w:sz w:val="24"/>
              </w:rPr>
              <w:t>critical</w:t>
            </w:r>
            <w:r>
              <w:rPr>
                <w:spacing w:val="-5"/>
                <w:sz w:val="24"/>
              </w:rPr>
              <w:t> </w:t>
            </w:r>
            <w:r>
              <w:rPr>
                <w:sz w:val="24"/>
              </w:rPr>
              <w:t>thinking (3.86), creativity (3.85), and communication (3.80). Despite all dimensions falling within the</w:t>
            </w:r>
            <w:r>
              <w:rPr>
                <w:spacing w:val="-5"/>
                <w:sz w:val="24"/>
              </w:rPr>
              <w:t> </w:t>
            </w:r>
            <w:r>
              <w:rPr>
                <w:sz w:val="24"/>
              </w:rPr>
              <w:t>good</w:t>
            </w:r>
            <w:r>
              <w:rPr>
                <w:spacing w:val="-5"/>
                <w:sz w:val="24"/>
              </w:rPr>
              <w:t> </w:t>
            </w:r>
            <w:r>
              <w:rPr>
                <w:sz w:val="24"/>
              </w:rPr>
              <w:t>range,</w:t>
            </w:r>
            <w:r>
              <w:rPr>
                <w:spacing w:val="-5"/>
                <w:sz w:val="24"/>
              </w:rPr>
              <w:t> </w:t>
            </w:r>
            <w:r>
              <w:rPr>
                <w:sz w:val="24"/>
              </w:rPr>
              <w:t>the</w:t>
            </w:r>
            <w:r>
              <w:rPr>
                <w:spacing w:val="-5"/>
                <w:sz w:val="24"/>
              </w:rPr>
              <w:t> </w:t>
            </w:r>
            <w:r>
              <w:rPr>
                <w:sz w:val="24"/>
              </w:rPr>
              <w:t>communication</w:t>
            </w:r>
            <w:r>
              <w:rPr>
                <w:spacing w:val="-5"/>
                <w:sz w:val="24"/>
              </w:rPr>
              <w:t> </w:t>
            </w:r>
            <w:r>
              <w:rPr>
                <w:sz w:val="24"/>
              </w:rPr>
              <w:t>aspect particularly indicators related to self-confidence during oral presentations requires further optimization. The study concludes that the integration of active learning strategies, such as classroom discussions and group presentations, is essential to enhancing 4C competencies</w:t>
            </w:r>
            <w:r>
              <w:rPr>
                <w:spacing w:val="21"/>
                <w:sz w:val="24"/>
              </w:rPr>
              <w:t> </w:t>
            </w:r>
            <w:r>
              <w:rPr>
                <w:sz w:val="24"/>
              </w:rPr>
              <w:t>and</w:t>
            </w:r>
            <w:r>
              <w:rPr>
                <w:spacing w:val="24"/>
                <w:sz w:val="24"/>
              </w:rPr>
              <w:t> </w:t>
            </w:r>
            <w:r>
              <w:rPr>
                <w:sz w:val="24"/>
              </w:rPr>
              <w:t>preparing</w:t>
            </w:r>
            <w:r>
              <w:rPr>
                <w:spacing w:val="23"/>
                <w:sz w:val="24"/>
              </w:rPr>
              <w:t> </w:t>
            </w:r>
            <w:r>
              <w:rPr>
                <w:sz w:val="24"/>
              </w:rPr>
              <w:t>students</w:t>
            </w:r>
            <w:r>
              <w:rPr>
                <w:spacing w:val="24"/>
                <w:sz w:val="24"/>
              </w:rPr>
              <w:t> </w:t>
            </w:r>
            <w:r>
              <w:rPr>
                <w:sz w:val="24"/>
              </w:rPr>
              <w:t>to</w:t>
            </w:r>
            <w:r>
              <w:rPr>
                <w:spacing w:val="10"/>
                <w:sz w:val="24"/>
              </w:rPr>
              <w:t> </w:t>
            </w:r>
            <w:r>
              <w:rPr>
                <w:sz w:val="24"/>
              </w:rPr>
              <w:t>navigate</w:t>
            </w:r>
            <w:r>
              <w:rPr>
                <w:spacing w:val="11"/>
                <w:sz w:val="24"/>
              </w:rPr>
              <w:t> </w:t>
            </w:r>
            <w:r>
              <w:rPr>
                <w:sz w:val="24"/>
              </w:rPr>
              <w:t>global</w:t>
            </w:r>
            <w:r>
              <w:rPr>
                <w:spacing w:val="11"/>
                <w:sz w:val="24"/>
              </w:rPr>
              <w:t> </w:t>
            </w:r>
            <w:r>
              <w:rPr>
                <w:spacing w:val="-2"/>
                <w:sz w:val="24"/>
              </w:rPr>
              <w:t>challenges</w:t>
            </w:r>
          </w:p>
          <w:p>
            <w:pPr>
              <w:pStyle w:val="TableParagraph"/>
              <w:tabs>
                <w:tab w:pos="6806" w:val="left" w:leader="none"/>
              </w:tabs>
              <w:spacing w:line="269" w:lineRule="exact"/>
              <w:ind w:left="-2553"/>
              <w:jc w:val="left"/>
              <w:rPr>
                <w:sz w:val="24"/>
              </w:rPr>
            </w:pPr>
            <w:r>
              <w:rPr>
                <w:rFonts w:ascii="Times New Roman"/>
                <w:spacing w:val="76"/>
                <w:w w:val="150"/>
                <w:sz w:val="24"/>
                <w:u w:val="thick"/>
              </w:rPr>
              <w:t>                </w:t>
            </w:r>
            <w:r>
              <w:rPr>
                <w:spacing w:val="-2"/>
                <w:sz w:val="24"/>
                <w:u w:val="thick"/>
              </w:rPr>
              <w:t>competitively.</w:t>
            </w:r>
            <w:r>
              <w:rPr>
                <w:sz w:val="24"/>
                <w:u w:val="thick"/>
              </w:rPr>
              <w:tab/>
            </w:r>
          </w:p>
        </w:tc>
      </w:tr>
    </w:tbl>
    <w:p>
      <w:pPr>
        <w:pStyle w:val="Heading1"/>
        <w:spacing w:before="265"/>
      </w:pPr>
      <w:r>
        <w:rPr>
          <w:spacing w:val="-2"/>
        </w:rPr>
        <w:t>INTRODUCTION</w:t>
      </w:r>
    </w:p>
    <w:p>
      <w:pPr>
        <w:pStyle w:val="BodyText"/>
        <w:spacing w:line="276" w:lineRule="auto" w:before="44"/>
        <w:ind w:right="336" w:firstLine="705"/>
      </w:pPr>
      <w:r>
        <w:rPr/>
        <w:t>The evolution of the 21st century has brought extraordinary changes to the field of education, particularly when compared to previous eras. The most prominent feature of this period is increasingly sophisticated technological advancement, which enables rapid and</w:t>
      </w:r>
      <w:r>
        <w:rPr>
          <w:spacing w:val="40"/>
        </w:rPr>
        <w:t> </w:t>
      </w:r>
      <w:r>
        <w:rPr/>
        <w:t>barrier-free access to various types of information from any location. This pervasive digital environment demands that students possess specific competencies to keep pace</w:t>
      </w:r>
      <w:r>
        <w:rPr>
          <w:spacing w:val="-5"/>
        </w:rPr>
        <w:t> </w:t>
      </w:r>
      <w:r>
        <w:rPr/>
        <w:t>with</w:t>
      </w:r>
      <w:r>
        <w:rPr>
          <w:spacing w:val="-5"/>
        </w:rPr>
        <w:t> </w:t>
      </w:r>
      <w:r>
        <w:rPr/>
        <w:t>the</w:t>
      </w:r>
      <w:r>
        <w:rPr>
          <w:spacing w:val="-5"/>
        </w:rPr>
        <w:t> </w:t>
      </w:r>
      <w:r>
        <w:rPr/>
        <w:t>rapid progress</w:t>
      </w:r>
      <w:r>
        <w:rPr>
          <w:spacing w:val="22"/>
        </w:rPr>
        <w:t> </w:t>
      </w:r>
      <w:r>
        <w:rPr/>
        <w:t>of</w:t>
      </w:r>
      <w:r>
        <w:rPr>
          <w:spacing w:val="24"/>
        </w:rPr>
        <w:t> </w:t>
      </w:r>
      <w:r>
        <w:rPr/>
        <w:t>science</w:t>
      </w:r>
      <w:r>
        <w:rPr>
          <w:spacing w:val="24"/>
        </w:rPr>
        <w:t> </w:t>
      </w:r>
      <w:r>
        <w:rPr/>
        <w:t>and</w:t>
      </w:r>
      <w:r>
        <w:rPr>
          <w:spacing w:val="25"/>
        </w:rPr>
        <w:t> </w:t>
      </w:r>
      <w:r>
        <w:rPr/>
        <w:t>technology</w:t>
      </w:r>
      <w:r>
        <w:rPr>
          <w:spacing w:val="24"/>
        </w:rPr>
        <w:t> </w:t>
      </w:r>
      <w:r>
        <w:rPr/>
        <w:t>amidst</w:t>
      </w:r>
      <w:r>
        <w:rPr>
          <w:spacing w:val="24"/>
        </w:rPr>
        <w:t> </w:t>
      </w:r>
      <w:r>
        <w:rPr/>
        <w:t>globalization.</w:t>
      </w:r>
      <w:r>
        <w:rPr>
          <w:spacing w:val="11"/>
        </w:rPr>
        <w:t> </w:t>
      </w:r>
      <w:r>
        <w:rPr/>
        <w:t>Consequently,</w:t>
      </w:r>
      <w:r>
        <w:rPr>
          <w:spacing w:val="11"/>
        </w:rPr>
        <w:t> </w:t>
      </w:r>
      <w:r>
        <w:rPr/>
        <w:t>the</w:t>
      </w:r>
      <w:r>
        <w:rPr>
          <w:spacing w:val="11"/>
        </w:rPr>
        <w:t> </w:t>
      </w:r>
      <w:r>
        <w:rPr/>
        <w:t>focus</w:t>
      </w:r>
      <w:r>
        <w:rPr>
          <w:spacing w:val="11"/>
        </w:rPr>
        <w:t> </w:t>
      </w:r>
      <w:r>
        <w:rPr/>
        <w:t>of</w:t>
      </w:r>
      <w:r>
        <w:rPr>
          <w:spacing w:val="12"/>
        </w:rPr>
        <w:t> </w:t>
      </w:r>
      <w:r>
        <w:rPr>
          <w:spacing w:val="-2"/>
        </w:rPr>
        <w:t>education</w:t>
      </w:r>
    </w:p>
    <w:p>
      <w:pPr>
        <w:pStyle w:val="BodyText"/>
        <w:spacing w:before="7"/>
        <w:ind w:left="0"/>
        <w:jc w:val="left"/>
        <w:rPr>
          <w:sz w:val="16"/>
        </w:rPr>
      </w:pPr>
      <w:r>
        <w:rPr>
          <w:sz w:val="16"/>
        </w:rPr>
        <mc:AlternateContent>
          <mc:Choice Requires="wps">
            <w:drawing>
              <wp:anchor distT="0" distB="0" distL="0" distR="0" allowOverlap="1" layoutInCell="1" locked="0" behindDoc="1" simplePos="0" relativeHeight="487587840">
                <wp:simplePos x="0" y="0"/>
                <wp:positionH relativeFrom="page">
                  <wp:posOffset>901700</wp:posOffset>
                </wp:positionH>
                <wp:positionV relativeFrom="paragraph">
                  <wp:posOffset>143856</wp:posOffset>
                </wp:positionV>
                <wp:extent cx="596900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pt;margin-top:11.327315pt;width:470pt;height:.1pt;mso-position-horizontal-relative:page;mso-position-vertical-relative:paragraph;z-index:-15728640;mso-wrap-distance-left:0;mso-wrap-distance-right:0" id="docshape1" coordorigin="1420,227" coordsize="9400,0" path="m1420,227l10820,227e" filled="false" stroked="true" strokeweight="1.0pt" strokecolor="#000000">
                <v:path arrowok="t"/>
                <v:stroke dashstyle="solid"/>
                <w10:wrap type="topAndBottom"/>
              </v:shape>
            </w:pict>
          </mc:Fallback>
        </mc:AlternateContent>
      </w:r>
    </w:p>
    <w:p>
      <w:pPr>
        <w:spacing w:before="197"/>
        <w:ind w:left="213" w:right="213" w:firstLine="0"/>
        <w:jc w:val="center"/>
        <w:rPr>
          <w:rFonts w:ascii="Cambria"/>
          <w:sz w:val="20"/>
        </w:rPr>
      </w:pPr>
      <w:r>
        <w:rPr>
          <w:rFonts w:ascii="Cambria"/>
          <w:spacing w:val="-5"/>
          <w:sz w:val="20"/>
        </w:rPr>
        <w:t>291</w:t>
      </w:r>
    </w:p>
    <w:p>
      <w:pPr>
        <w:spacing w:after="0"/>
        <w:jc w:val="center"/>
        <w:rPr>
          <w:rFonts w:ascii="Cambria"/>
          <w:sz w:val="20"/>
        </w:rPr>
        <w:sectPr>
          <w:type w:val="continuous"/>
          <w:pgSz w:w="12240" w:h="15840"/>
          <w:pgMar w:top="1240" w:bottom="280" w:left="1080" w:right="1080"/>
        </w:sectPr>
      </w:pPr>
    </w:p>
    <w:p>
      <w:pPr>
        <w:pStyle w:val="BodyText"/>
        <w:spacing w:before="4"/>
        <w:ind w:left="0"/>
        <w:jc w:val="left"/>
        <w:rPr>
          <w:rFonts w:ascii="Cambria"/>
          <w:sz w:val="20"/>
        </w:rPr>
      </w:pPr>
    </w:p>
    <w:p>
      <w:pPr>
        <w:spacing w:before="0"/>
        <w:ind w:left="338" w:right="0" w:firstLine="6070"/>
        <w:jc w:val="left"/>
        <w:rPr>
          <w:rFonts w:ascii="Cambria"/>
          <w:b/>
          <w:sz w:val="20"/>
        </w:rPr>
      </w:pPr>
      <w:r>
        <w:rPr>
          <w:rFonts w:ascii="Cambria"/>
          <w:b/>
          <w:sz w:val="20"/>
        </w:rPr>
        <w:t>Indonesian</w:t>
      </w:r>
      <w:r>
        <w:rPr>
          <w:rFonts w:ascii="Cambria"/>
          <w:b/>
          <w:spacing w:val="-11"/>
          <w:sz w:val="20"/>
        </w:rPr>
        <w:t> </w:t>
      </w:r>
      <w:r>
        <w:rPr>
          <w:rFonts w:ascii="Cambria"/>
          <w:b/>
          <w:sz w:val="20"/>
        </w:rPr>
        <w:t>Science</w:t>
      </w:r>
      <w:r>
        <w:rPr>
          <w:rFonts w:ascii="Cambria"/>
          <w:b/>
          <w:spacing w:val="-9"/>
          <w:sz w:val="20"/>
        </w:rPr>
        <w:t> </w:t>
      </w:r>
      <w:r>
        <w:rPr>
          <w:rFonts w:ascii="Cambria"/>
          <w:b/>
          <w:sz w:val="20"/>
        </w:rPr>
        <w:t>Education</w:t>
      </w:r>
      <w:r>
        <w:rPr>
          <w:rFonts w:ascii="Cambria"/>
          <w:b/>
          <w:spacing w:val="-8"/>
          <w:sz w:val="20"/>
        </w:rPr>
        <w:t> </w:t>
      </w:r>
      <w:r>
        <w:rPr>
          <w:rFonts w:ascii="Cambria"/>
          <w:b/>
          <w:spacing w:val="-2"/>
          <w:sz w:val="20"/>
        </w:rPr>
        <w:t>Letter</w:t>
      </w:r>
    </w:p>
    <w:p>
      <w:pPr>
        <w:pStyle w:val="BodyText"/>
        <w:spacing w:before="10"/>
        <w:ind w:left="0"/>
        <w:jc w:val="left"/>
        <w:rPr>
          <w:rFonts w:ascii="Cambria"/>
          <w:b/>
          <w:sz w:val="20"/>
        </w:rPr>
      </w:pPr>
    </w:p>
    <w:p>
      <w:pPr>
        <w:pStyle w:val="BodyText"/>
        <w:spacing w:line="276" w:lineRule="auto"/>
        <w:ind w:right="340"/>
      </w:pPr>
      <w:r>
        <w:rPr/>
        <w:t>has shifted from the mere mastery of textbook content to an emphasis on mastering critical thinking, creativity, communication, and collaboration skills—collectively known as the 4C </w:t>
      </w:r>
      <w:r>
        <w:rPr/>
        <w:t>skills (Zubaidah, 2018). This educational shift reflects global research trends that intensively explore the development of 21st-century competencies to ensure the readiness of future generations (Silber-Varod et al., 2019).</w:t>
      </w:r>
    </w:p>
    <w:p>
      <w:pPr>
        <w:pStyle w:val="BodyText"/>
        <w:spacing w:line="276" w:lineRule="auto"/>
        <w:ind w:right="338" w:firstLine="705"/>
      </w:pPr>
      <w:r>
        <w:rPr/>
        <w:t>These 4C skills represent a crucial component in ensuring students are fully prepared</w:t>
      </w:r>
      <w:r>
        <w:rPr>
          <w:spacing w:val="-4"/>
        </w:rPr>
        <w:t> </w:t>
      </w:r>
      <w:r>
        <w:rPr/>
        <w:t>to face increasingly complex global challenges and continuous technological developments (Kennedy &amp; Sundberg, 2020). Generally, the mastery of all 4C components is inseparable, as they are interrelated competencies that constitute the procedural knowledge required in this century (Zubaidah, 2018). According to Sari and Wardhani (2020), critical thinking serves as a primary pillar supporting meaningful learning by enabling more logical information processing. Furthermore, individuals are required to possess high creativity to employ original, new approaches in fostering innovation and solving various problems (Gürsoy, 2021). Additionally, collaboration skills are vital, as they enable working within teams, sharing responsibilities, and contributing collectively toward solutions derived from mutual understanding (Pawar et al., 2020). All these abilities are ultimately perfected by effective communication</w:t>
      </w:r>
      <w:r>
        <w:rPr>
          <w:spacing w:val="-6"/>
        </w:rPr>
        <w:t> </w:t>
      </w:r>
      <w:r>
        <w:rPr/>
        <w:t>skills,</w:t>
      </w:r>
      <w:r>
        <w:rPr>
          <w:spacing w:val="-6"/>
        </w:rPr>
        <w:t> </w:t>
      </w:r>
      <w:r>
        <w:rPr/>
        <w:t>which</w:t>
      </w:r>
      <w:r>
        <w:rPr>
          <w:spacing w:val="-6"/>
        </w:rPr>
        <w:t> </w:t>
      </w:r>
      <w:r>
        <w:rPr/>
        <w:t>serve as a means to transfer knowledge, exchange ideas, and engage in constructive discussion to ensure that messages are accurately received by others (Kennedy &amp; Sundberg, 2020)</w:t>
      </w:r>
    </w:p>
    <w:p>
      <w:pPr>
        <w:pStyle w:val="BodyText"/>
        <w:spacing w:line="276" w:lineRule="auto"/>
        <w:ind w:right="336" w:firstLine="705"/>
      </w:pPr>
      <w:r>
        <w:rPr/>
        <w:t>To fully satisfy the demands of 21st-century</w:t>
      </w:r>
      <w:r>
        <w:rPr>
          <w:spacing w:val="-8"/>
        </w:rPr>
        <w:t> </w:t>
      </w:r>
      <w:r>
        <w:rPr/>
        <w:t>competencies,</w:t>
      </w:r>
      <w:r>
        <w:rPr>
          <w:spacing w:val="-8"/>
        </w:rPr>
        <w:t> </w:t>
      </w:r>
      <w:r>
        <w:rPr/>
        <w:t>the</w:t>
      </w:r>
      <w:r>
        <w:rPr>
          <w:spacing w:val="-8"/>
        </w:rPr>
        <w:t> </w:t>
      </w:r>
      <w:r>
        <w:rPr/>
        <w:t>current</w:t>
      </w:r>
      <w:r>
        <w:rPr>
          <w:spacing w:val="-8"/>
        </w:rPr>
        <w:t> </w:t>
      </w:r>
      <w:r>
        <w:rPr/>
        <w:t>education</w:t>
      </w:r>
      <w:r>
        <w:rPr>
          <w:spacing w:val="-8"/>
        </w:rPr>
        <w:t> </w:t>
      </w:r>
      <w:r>
        <w:rPr/>
        <w:t>system necessitates various innovations in classroom instructional strategies to prevent monotony (Pawar</w:t>
      </w:r>
      <w:r>
        <w:rPr>
          <w:spacing w:val="-8"/>
        </w:rPr>
        <w:t> </w:t>
      </w:r>
      <w:r>
        <w:rPr/>
        <w:t>et</w:t>
      </w:r>
      <w:r>
        <w:rPr>
          <w:spacing w:val="-8"/>
        </w:rPr>
        <w:t> </w:t>
      </w:r>
      <w:r>
        <w:rPr/>
        <w:t>al.,</w:t>
      </w:r>
      <w:r>
        <w:rPr>
          <w:spacing w:val="-8"/>
        </w:rPr>
        <w:t> </w:t>
      </w:r>
      <w:r>
        <w:rPr/>
        <w:t>2020).</w:t>
      </w:r>
      <w:r>
        <w:rPr>
          <w:spacing w:val="-8"/>
        </w:rPr>
        <w:t> </w:t>
      </w:r>
      <w:r>
        <w:rPr/>
        <w:t>A</w:t>
      </w:r>
      <w:r>
        <w:rPr>
          <w:spacing w:val="-8"/>
        </w:rPr>
        <w:t> </w:t>
      </w:r>
      <w:r>
        <w:rPr/>
        <w:t>primary</w:t>
      </w:r>
      <w:r>
        <w:rPr>
          <w:spacing w:val="-8"/>
        </w:rPr>
        <w:t> </w:t>
      </w:r>
      <w:r>
        <w:rPr/>
        <w:t>key</w:t>
      </w:r>
      <w:r>
        <w:rPr>
          <w:spacing w:val="-8"/>
        </w:rPr>
        <w:t> </w:t>
      </w:r>
      <w:r>
        <w:rPr/>
        <w:t>is</w:t>
      </w:r>
      <w:r>
        <w:rPr>
          <w:spacing w:val="-8"/>
        </w:rPr>
        <w:t> </w:t>
      </w:r>
      <w:r>
        <w:rPr/>
        <w:t>transitioning</w:t>
      </w:r>
      <w:r>
        <w:rPr>
          <w:spacing w:val="-8"/>
        </w:rPr>
        <w:t> </w:t>
      </w:r>
      <w:r>
        <w:rPr/>
        <w:t>toward</w:t>
      </w:r>
      <w:r>
        <w:rPr>
          <w:spacing w:val="-8"/>
        </w:rPr>
        <w:t> </w:t>
      </w:r>
      <w:r>
        <w:rPr/>
        <w:t>student-centered</w:t>
      </w:r>
      <w:r>
        <w:rPr>
          <w:spacing w:val="-8"/>
        </w:rPr>
        <w:t> </w:t>
      </w:r>
      <w:r>
        <w:rPr/>
        <w:t>learning</w:t>
      </w:r>
      <w:r>
        <w:rPr>
          <w:spacing w:val="-8"/>
        </w:rPr>
        <w:t> </w:t>
      </w:r>
      <w:r>
        <w:rPr/>
        <w:t>approaches, which provide students with broader opportunities for active engagement in honing all integrated aspects of the</w:t>
      </w:r>
      <w:r>
        <w:rPr>
          <w:spacing w:val="-6"/>
        </w:rPr>
        <w:t> </w:t>
      </w:r>
      <w:r>
        <w:rPr/>
        <w:t>4C</w:t>
      </w:r>
      <w:r>
        <w:rPr>
          <w:spacing w:val="-6"/>
        </w:rPr>
        <w:t> </w:t>
      </w:r>
      <w:r>
        <w:rPr/>
        <w:t>skills</w:t>
      </w:r>
      <w:r>
        <w:rPr>
          <w:spacing w:val="-6"/>
        </w:rPr>
        <w:t> </w:t>
      </w:r>
      <w:r>
        <w:rPr/>
        <w:t>(Zubaidah,</w:t>
      </w:r>
      <w:r>
        <w:rPr>
          <w:spacing w:val="-6"/>
        </w:rPr>
        <w:t> </w:t>
      </w:r>
      <w:r>
        <w:rPr/>
        <w:t>2018).</w:t>
      </w:r>
      <w:r>
        <w:rPr>
          <w:spacing w:val="-6"/>
        </w:rPr>
        <w:t> </w:t>
      </w:r>
      <w:r>
        <w:rPr/>
        <w:t>In</w:t>
      </w:r>
      <w:r>
        <w:rPr>
          <w:spacing w:val="-6"/>
        </w:rPr>
        <w:t> </w:t>
      </w:r>
      <w:r>
        <w:rPr/>
        <w:t>addition</w:t>
      </w:r>
      <w:r>
        <w:rPr>
          <w:spacing w:val="-6"/>
        </w:rPr>
        <w:t> </w:t>
      </w:r>
      <w:r>
        <w:rPr/>
        <w:t>to</w:t>
      </w:r>
      <w:r>
        <w:rPr>
          <w:spacing w:val="-6"/>
        </w:rPr>
        <w:t> </w:t>
      </w:r>
      <w:r>
        <w:rPr/>
        <w:t>student-centered</w:t>
      </w:r>
      <w:r>
        <w:rPr>
          <w:spacing w:val="-6"/>
        </w:rPr>
        <w:t> </w:t>
      </w:r>
      <w:r>
        <w:rPr/>
        <w:t>approaches, the implementation of a scientific approach is regarded as a highly relevant strategy for effectively realizing 21st-century education (Irwansyah &amp; Perkasa, 2022). The utilization of diverse interactive and dynamic methods is perceived as significantly more effective, as it presents real-world challenges that stimulate creativity and problem-solving abilities (Pawar et al.,</w:t>
      </w:r>
      <w:r>
        <w:rPr>
          <w:spacing w:val="-6"/>
        </w:rPr>
        <w:t> </w:t>
      </w:r>
      <w:r>
        <w:rPr/>
        <w:t>2020).</w:t>
      </w:r>
      <w:r>
        <w:rPr>
          <w:spacing w:val="-6"/>
        </w:rPr>
        <w:t> </w:t>
      </w:r>
      <w:r>
        <w:rPr/>
        <w:t>Furthermore,</w:t>
      </w:r>
      <w:r>
        <w:rPr>
          <w:spacing w:val="-6"/>
        </w:rPr>
        <w:t> </w:t>
      </w:r>
      <w:r>
        <w:rPr/>
        <w:t>support</w:t>
      </w:r>
      <w:r>
        <w:rPr>
          <w:spacing w:val="-6"/>
        </w:rPr>
        <w:t> </w:t>
      </w:r>
      <w:r>
        <w:rPr/>
        <w:t>from</w:t>
      </w:r>
      <w:r>
        <w:rPr>
          <w:spacing w:val="-6"/>
        </w:rPr>
        <w:t> </w:t>
      </w:r>
      <w:r>
        <w:rPr/>
        <w:t>the</w:t>
      </w:r>
      <w:r>
        <w:rPr>
          <w:spacing w:val="-6"/>
        </w:rPr>
        <w:t> </w:t>
      </w:r>
      <w:r>
        <w:rPr/>
        <w:t>appropriate</w:t>
      </w:r>
      <w:r>
        <w:rPr>
          <w:spacing w:val="-6"/>
        </w:rPr>
        <w:t> </w:t>
      </w:r>
      <w:r>
        <w:rPr/>
        <w:t>application</w:t>
      </w:r>
      <w:r>
        <w:rPr>
          <w:spacing w:val="-6"/>
        </w:rPr>
        <w:t> </w:t>
      </w:r>
      <w:r>
        <w:rPr/>
        <w:t>of</w:t>
      </w:r>
      <w:r>
        <w:rPr>
          <w:spacing w:val="-6"/>
        </w:rPr>
        <w:t> </w:t>
      </w:r>
      <w:r>
        <w:rPr/>
        <w:t>information</w:t>
      </w:r>
      <w:r>
        <w:rPr>
          <w:spacing w:val="-6"/>
        </w:rPr>
        <w:t> </w:t>
      </w:r>
      <w:r>
        <w:rPr/>
        <w:t>technology</w:t>
      </w:r>
      <w:r>
        <w:rPr>
          <w:spacing w:val="-6"/>
        </w:rPr>
        <w:t> </w:t>
      </w:r>
      <w:r>
        <w:rPr/>
        <w:t>and digital media</w:t>
      </w:r>
      <w:r>
        <w:rPr>
          <w:spacing w:val="-5"/>
        </w:rPr>
        <w:t> </w:t>
      </w:r>
      <w:r>
        <w:rPr/>
        <w:t>has</w:t>
      </w:r>
      <w:r>
        <w:rPr>
          <w:spacing w:val="-5"/>
        </w:rPr>
        <w:t> </w:t>
      </w:r>
      <w:r>
        <w:rPr/>
        <w:t>proven</w:t>
      </w:r>
      <w:r>
        <w:rPr>
          <w:spacing w:val="-5"/>
        </w:rPr>
        <w:t> </w:t>
      </w:r>
      <w:r>
        <w:rPr/>
        <w:t>to</w:t>
      </w:r>
      <w:r>
        <w:rPr>
          <w:spacing w:val="-5"/>
        </w:rPr>
        <w:t> </w:t>
      </w:r>
      <w:r>
        <w:rPr/>
        <w:t>have</w:t>
      </w:r>
      <w:r>
        <w:rPr>
          <w:spacing w:val="-5"/>
        </w:rPr>
        <w:t> </w:t>
      </w:r>
      <w:r>
        <w:rPr/>
        <w:t>a</w:t>
      </w:r>
      <w:r>
        <w:rPr>
          <w:spacing w:val="-5"/>
        </w:rPr>
        <w:t> </w:t>
      </w:r>
      <w:r>
        <w:rPr/>
        <w:t>highly</w:t>
      </w:r>
      <w:r>
        <w:rPr>
          <w:spacing w:val="-5"/>
        </w:rPr>
        <w:t> </w:t>
      </w:r>
      <w:r>
        <w:rPr/>
        <w:t>positive</w:t>
      </w:r>
      <w:r>
        <w:rPr>
          <w:spacing w:val="-5"/>
        </w:rPr>
        <w:t> </w:t>
      </w:r>
      <w:r>
        <w:rPr/>
        <w:t>impact</w:t>
      </w:r>
      <w:r>
        <w:rPr>
          <w:spacing w:val="-5"/>
        </w:rPr>
        <w:t> </w:t>
      </w:r>
      <w:r>
        <w:rPr/>
        <w:t>on</w:t>
      </w:r>
      <w:r>
        <w:rPr>
          <w:spacing w:val="-5"/>
        </w:rPr>
        <w:t> </w:t>
      </w:r>
      <w:r>
        <w:rPr/>
        <w:t>fostering</w:t>
      </w:r>
      <w:r>
        <w:rPr>
          <w:spacing w:val="-5"/>
        </w:rPr>
        <w:t> </w:t>
      </w:r>
      <w:r>
        <w:rPr/>
        <w:t>student</w:t>
      </w:r>
      <w:r>
        <w:rPr>
          <w:spacing w:val="-5"/>
        </w:rPr>
        <w:t> </w:t>
      </w:r>
      <w:r>
        <w:rPr/>
        <w:t>innovation</w:t>
      </w:r>
      <w:r>
        <w:rPr>
          <w:spacing w:val="-5"/>
        </w:rPr>
        <w:t> </w:t>
      </w:r>
      <w:r>
        <w:rPr/>
        <w:t>skills</w:t>
      </w:r>
      <w:r>
        <w:rPr>
          <w:spacing w:val="-5"/>
        </w:rPr>
        <w:t> </w:t>
      </w:r>
      <w:r>
        <w:rPr/>
        <w:t>in the</w:t>
      </w:r>
      <w:r>
        <w:rPr>
          <w:spacing w:val="-9"/>
        </w:rPr>
        <w:t> </w:t>
      </w:r>
      <w:r>
        <w:rPr/>
        <w:t>digital</w:t>
      </w:r>
      <w:r>
        <w:rPr>
          <w:spacing w:val="-9"/>
        </w:rPr>
        <w:t> </w:t>
      </w:r>
      <w:r>
        <w:rPr/>
        <w:t>age</w:t>
      </w:r>
      <w:r>
        <w:rPr>
          <w:spacing w:val="-9"/>
        </w:rPr>
        <w:t> </w:t>
      </w:r>
      <w:r>
        <w:rPr/>
        <w:t>(Gürsoy,</w:t>
      </w:r>
      <w:r>
        <w:rPr>
          <w:spacing w:val="-9"/>
        </w:rPr>
        <w:t> </w:t>
      </w:r>
      <w:r>
        <w:rPr/>
        <w:t>2021).</w:t>
      </w:r>
      <w:r>
        <w:rPr>
          <w:spacing w:val="-9"/>
        </w:rPr>
        <w:t> </w:t>
      </w:r>
      <w:r>
        <w:rPr/>
        <w:t>Awareness</w:t>
      </w:r>
      <w:r>
        <w:rPr>
          <w:spacing w:val="-9"/>
        </w:rPr>
        <w:t> </w:t>
      </w:r>
      <w:r>
        <w:rPr/>
        <w:t>regarding</w:t>
      </w:r>
      <w:r>
        <w:rPr>
          <w:spacing w:val="-9"/>
        </w:rPr>
        <w:t> </w:t>
      </w:r>
      <w:r>
        <w:rPr/>
        <w:t>the</w:t>
      </w:r>
      <w:r>
        <w:rPr>
          <w:spacing w:val="-9"/>
        </w:rPr>
        <w:t> </w:t>
      </w:r>
      <w:r>
        <w:rPr/>
        <w:t>importance</w:t>
      </w:r>
      <w:r>
        <w:rPr>
          <w:spacing w:val="-9"/>
        </w:rPr>
        <w:t> </w:t>
      </w:r>
      <w:r>
        <w:rPr/>
        <w:t>of</w:t>
      </w:r>
      <w:r>
        <w:rPr>
          <w:spacing w:val="-9"/>
        </w:rPr>
        <w:t> </w:t>
      </w:r>
      <w:r>
        <w:rPr/>
        <w:t>mastering</w:t>
      </w:r>
      <w:r>
        <w:rPr>
          <w:spacing w:val="-9"/>
        </w:rPr>
        <w:t> </w:t>
      </w:r>
      <w:r>
        <w:rPr/>
        <w:t>communication media must be shared by all stakeholders, including both teachers and students,</w:t>
      </w:r>
      <w:r>
        <w:rPr>
          <w:spacing w:val="-5"/>
        </w:rPr>
        <w:t> </w:t>
      </w:r>
      <w:r>
        <w:rPr/>
        <w:t>to</w:t>
      </w:r>
      <w:r>
        <w:rPr>
          <w:spacing w:val="-5"/>
        </w:rPr>
        <w:t> </w:t>
      </w:r>
      <w:r>
        <w:rPr/>
        <w:t>ensure</w:t>
      </w:r>
      <w:r>
        <w:rPr>
          <w:spacing w:val="-5"/>
        </w:rPr>
        <w:t> </w:t>
      </w:r>
      <w:r>
        <w:rPr/>
        <w:t>that the teaching and learning process becomes more effective and meaningful (Rahmawati &amp; Salehudin, 2021). Through the implementation of innovative instructional strategies supported by technology, it is expected that students will develop into creative individuals prepared to adapt to rapid global transformations (Kennedy &amp; Sundberg, 2020).</w:t>
      </w:r>
    </w:p>
    <w:p>
      <w:pPr>
        <w:pStyle w:val="BodyText"/>
        <w:spacing w:after="0" w:line="276" w:lineRule="auto"/>
        <w:sectPr>
          <w:headerReference w:type="default" r:id="rId8"/>
          <w:footerReference w:type="default" r:id="rId9"/>
          <w:pgSz w:w="12240" w:h="15840"/>
          <w:pgMar w:header="1168" w:footer="1200" w:top="1360" w:bottom="1400" w:left="1080" w:right="1080"/>
          <w:pgNumType w:start="292"/>
        </w:sectPr>
      </w:pPr>
    </w:p>
    <w:p>
      <w:pPr>
        <w:pStyle w:val="BodyText"/>
        <w:spacing w:before="121" w:after="1"/>
        <w:ind w:left="0"/>
        <w:jc w:val="left"/>
        <w:rPr>
          <w:sz w:val="20"/>
        </w:rPr>
      </w:pPr>
    </w:p>
    <w:p>
      <w:pPr>
        <w:spacing w:line="20" w:lineRule="exact"/>
        <w:ind w:left="340" w:right="0" w:firstLine="0"/>
        <w:rPr>
          <w:sz w:val="2"/>
        </w:rPr>
      </w:pPr>
      <w:r>
        <w:rPr>
          <w:sz w:val="2"/>
        </w:rPr>
        <mc:AlternateContent>
          <mc:Choice Requires="wps">
            <w:drawing>
              <wp:inline distT="0" distB="0" distL="0" distR="0">
                <wp:extent cx="5969000" cy="12700"/>
                <wp:effectExtent l="9525" t="0" r="3175" b="6350"/>
                <wp:docPr id="6" name="Group 6"/>
                <wp:cNvGraphicFramePr>
                  <a:graphicFrameLocks/>
                </wp:cNvGraphicFramePr>
                <a:graphic>
                  <a:graphicData uri="http://schemas.microsoft.com/office/word/2010/wordprocessingGroup">
                    <wpg:wgp>
                      <wpg:cNvPr id="6" name="Group 6"/>
                      <wpg:cNvGrpSpPr/>
                      <wpg:grpSpPr>
                        <a:xfrm>
                          <a:off x="0" y="0"/>
                          <a:ext cx="5969000" cy="12700"/>
                          <a:chExt cx="5969000" cy="12700"/>
                        </a:xfrm>
                      </wpg:grpSpPr>
                      <wps:wsp>
                        <wps:cNvPr id="7" name="Graphic 7"/>
                        <wps:cNvSpPr/>
                        <wps:spPr>
                          <a:xfrm>
                            <a:off x="0" y="635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0pt;height:1pt;mso-position-horizontal-relative:char;mso-position-vertical-relative:line" id="docshapegroup3" coordorigin="0,0" coordsize="9400,20">
                <v:line style="position:absolute" from="0,10" to="9400,10" stroked="true" strokeweight="1.0pt" strokecolor="#000000">
                  <v:stroke dashstyle="solid"/>
                </v:line>
              </v:group>
            </w:pict>
          </mc:Fallback>
        </mc:AlternateContent>
      </w:r>
      <w:r>
        <w:rPr>
          <w:sz w:val="2"/>
        </w:rPr>
      </w:r>
    </w:p>
    <w:p>
      <w:pPr>
        <w:pStyle w:val="BodyText"/>
        <w:spacing w:line="276" w:lineRule="auto"/>
        <w:ind w:right="336" w:firstLine="705"/>
      </w:pPr>
      <w:r>
        <w:rPr/>
        <w:t>However, in practice, the development of 21st-century</w:t>
      </w:r>
      <w:r>
        <w:rPr>
          <w:spacing w:val="-7"/>
        </w:rPr>
        <w:t> </w:t>
      </w:r>
      <w:r>
        <w:rPr/>
        <w:t>skills</w:t>
      </w:r>
      <w:r>
        <w:rPr>
          <w:spacing w:val="-7"/>
        </w:rPr>
        <w:t> </w:t>
      </w:r>
      <w:r>
        <w:rPr/>
        <w:t>still</w:t>
      </w:r>
      <w:r>
        <w:rPr>
          <w:spacing w:val="-7"/>
        </w:rPr>
        <w:t> </w:t>
      </w:r>
      <w:r>
        <w:rPr/>
        <w:t>faces</w:t>
      </w:r>
      <w:r>
        <w:rPr>
          <w:spacing w:val="-7"/>
        </w:rPr>
        <w:t> </w:t>
      </w:r>
      <w:r>
        <w:rPr/>
        <w:t>various</w:t>
      </w:r>
      <w:r>
        <w:rPr>
          <w:spacing w:val="-7"/>
        </w:rPr>
        <w:t> </w:t>
      </w:r>
      <w:r>
        <w:rPr/>
        <w:t>challenges and requires significant improvement to achieve optimal results. Based</w:t>
      </w:r>
      <w:r>
        <w:rPr>
          <w:spacing w:val="-6"/>
        </w:rPr>
        <w:t> </w:t>
      </w:r>
      <w:r>
        <w:rPr/>
        <w:t>on</w:t>
      </w:r>
      <w:r>
        <w:rPr>
          <w:spacing w:val="-6"/>
        </w:rPr>
        <w:t> </w:t>
      </w:r>
      <w:r>
        <w:rPr/>
        <w:t>previous</w:t>
      </w:r>
      <w:r>
        <w:rPr>
          <w:spacing w:val="-6"/>
        </w:rPr>
        <w:t> </w:t>
      </w:r>
      <w:r>
        <w:rPr/>
        <w:t>research</w:t>
      </w:r>
      <w:r>
        <w:rPr>
          <w:spacing w:val="-6"/>
        </w:rPr>
        <w:t> </w:t>
      </w:r>
      <w:r>
        <w:rPr/>
        <w:t>by Putri et al. (2024), the general level of students' learning and innovation skills has reached the "very good" category, with an average percentage of 82.53%. Despite this high figure, diverse variations in mastery levels are still found among students, as indicated in the study by</w:t>
      </w:r>
      <w:r>
        <w:rPr>
          <w:spacing w:val="-4"/>
        </w:rPr>
        <w:t> </w:t>
      </w:r>
      <w:r>
        <w:rPr/>
        <w:t>Putri</w:t>
      </w:r>
      <w:r>
        <w:rPr>
          <w:spacing w:val="-4"/>
        </w:rPr>
        <w:t> </w:t>
      </w:r>
      <w:r>
        <w:rPr/>
        <w:t>et al. (2023). The primary research gap identified in this study is that many students still do not fully understand or are even unfamiliar with the term "21st-century skills," despite teachers' efforts to implement them in classroom learning. Furthermore, the creative thinking aspect frequently receives the lowest score compared to other dimensions because instructional methods in schools</w:t>
      </w:r>
      <w:r>
        <w:rPr>
          <w:spacing w:val="-8"/>
        </w:rPr>
        <w:t> </w:t>
      </w:r>
      <w:r>
        <w:rPr/>
        <w:t>often</w:t>
      </w:r>
      <w:r>
        <w:rPr>
          <w:spacing w:val="-8"/>
        </w:rPr>
        <w:t> </w:t>
      </w:r>
      <w:r>
        <w:rPr/>
        <w:t>remain</w:t>
      </w:r>
      <w:r>
        <w:rPr>
          <w:spacing w:val="-8"/>
        </w:rPr>
        <w:t> </w:t>
      </w:r>
      <w:r>
        <w:rPr/>
        <w:t>directive</w:t>
      </w:r>
      <w:r>
        <w:rPr>
          <w:spacing w:val="-8"/>
        </w:rPr>
        <w:t> </w:t>
      </w:r>
      <w:r>
        <w:rPr/>
        <w:t>and</w:t>
      </w:r>
      <w:r>
        <w:rPr>
          <w:spacing w:val="-8"/>
        </w:rPr>
        <w:t> </w:t>
      </w:r>
      <w:r>
        <w:rPr/>
        <w:t>excessively</w:t>
      </w:r>
      <w:r>
        <w:rPr>
          <w:spacing w:val="-8"/>
        </w:rPr>
        <w:t> </w:t>
      </w:r>
      <w:r>
        <w:rPr/>
        <w:t>teacher-centered.</w:t>
      </w:r>
      <w:r>
        <w:rPr>
          <w:spacing w:val="-8"/>
        </w:rPr>
        <w:t> </w:t>
      </w:r>
      <w:r>
        <w:rPr/>
        <w:t>Another</w:t>
      </w:r>
      <w:r>
        <w:rPr>
          <w:spacing w:val="-8"/>
        </w:rPr>
        <w:t> </w:t>
      </w:r>
      <w:r>
        <w:rPr/>
        <w:t>prominent obstacle is the persistently low level of oral communication skills, particularly regarding students' confidence in delivering presentations or articulating their ideas fluently in public. Therefore, efforts to optimize 21st-century learning at the junior high school level represent a strategic step toward creating an educational ecosystem that is no longer monotonous and is more adaptive (Rahmawati &amp; Salehudin, 2021).</w:t>
      </w:r>
    </w:p>
    <w:p>
      <w:pPr>
        <w:pStyle w:val="BodyText"/>
        <w:spacing w:line="276" w:lineRule="auto"/>
        <w:ind w:right="337" w:firstLine="705"/>
      </w:pPr>
      <w:r>
        <w:rPr/>
        <w:t>Based</w:t>
      </w:r>
      <w:r>
        <w:rPr>
          <w:spacing w:val="40"/>
        </w:rPr>
        <w:t> </w:t>
      </w:r>
      <w:r>
        <w:rPr/>
        <w:t>on</w:t>
      </w:r>
      <w:r>
        <w:rPr>
          <w:spacing w:val="40"/>
        </w:rPr>
        <w:t> </w:t>
      </w:r>
      <w:r>
        <w:rPr/>
        <w:t>these</w:t>
      </w:r>
      <w:r>
        <w:rPr>
          <w:spacing w:val="40"/>
        </w:rPr>
        <w:t> </w:t>
      </w:r>
      <w:r>
        <w:rPr/>
        <w:t>conditions</w:t>
      </w:r>
      <w:r>
        <w:rPr>
          <w:spacing w:val="40"/>
        </w:rPr>
        <w:t> </w:t>
      </w:r>
      <w:r>
        <w:rPr/>
        <w:t>and</w:t>
      </w:r>
      <w:r>
        <w:rPr>
          <w:spacing w:val="40"/>
        </w:rPr>
        <w:t> </w:t>
      </w:r>
      <w:r>
        <w:rPr/>
        <w:t>challenges,</w:t>
      </w:r>
      <w:r>
        <w:rPr>
          <w:spacing w:val="27"/>
        </w:rPr>
        <w:t> </w:t>
      </w:r>
      <w:r>
        <w:rPr/>
        <w:t>it</w:t>
      </w:r>
      <w:r>
        <w:rPr>
          <w:spacing w:val="27"/>
        </w:rPr>
        <w:t> </w:t>
      </w:r>
      <w:r>
        <w:rPr/>
        <w:t>is</w:t>
      </w:r>
      <w:r>
        <w:rPr>
          <w:spacing w:val="27"/>
        </w:rPr>
        <w:t> </w:t>
      </w:r>
      <w:r>
        <w:rPr/>
        <w:t>deemed</w:t>
      </w:r>
      <w:r>
        <w:rPr>
          <w:spacing w:val="27"/>
        </w:rPr>
        <w:t> </w:t>
      </w:r>
      <w:r>
        <w:rPr/>
        <w:t>necessary</w:t>
      </w:r>
      <w:r>
        <w:rPr>
          <w:spacing w:val="27"/>
        </w:rPr>
        <w:t> </w:t>
      </w:r>
      <w:r>
        <w:rPr/>
        <w:t>to</w:t>
      </w:r>
      <w:r>
        <w:rPr>
          <w:spacing w:val="27"/>
        </w:rPr>
        <w:t> </w:t>
      </w:r>
      <w:r>
        <w:rPr/>
        <w:t>conduct</w:t>
      </w:r>
      <w:r>
        <w:rPr>
          <w:spacing w:val="27"/>
        </w:rPr>
        <w:t> </w:t>
      </w:r>
      <w:r>
        <w:rPr/>
        <w:t>a</w:t>
      </w:r>
      <w:r>
        <w:rPr>
          <w:spacing w:val="27"/>
        </w:rPr>
        <w:t> </w:t>
      </w:r>
      <w:r>
        <w:rPr/>
        <w:t>more in-depth analysis regarding the actual level of learning and innovation skills among junior high school students. This study focuses on students at SMP Negeri 7 Pekalongan to obtain a clear preliminary overview of the extent to which they have mastered various indicators of these 21st-century skills. The ultimate objective of this research is to provide accurate information concerning the analytical results of students' 21st-century (4C) skill levels,</w:t>
      </w:r>
      <w:r>
        <w:rPr>
          <w:spacing w:val="-5"/>
        </w:rPr>
        <w:t> </w:t>
      </w:r>
      <w:r>
        <w:rPr/>
        <w:t>which</w:t>
      </w:r>
      <w:r>
        <w:rPr>
          <w:spacing w:val="-5"/>
        </w:rPr>
        <w:t> </w:t>
      </w:r>
      <w:r>
        <w:rPr/>
        <w:t>may</w:t>
      </w:r>
      <w:r>
        <w:rPr>
          <w:spacing w:val="-5"/>
        </w:rPr>
        <w:t> </w:t>
      </w:r>
      <w:r>
        <w:rPr/>
        <w:t>serve</w:t>
      </w:r>
      <w:r>
        <w:rPr>
          <w:spacing w:val="-5"/>
        </w:rPr>
        <w:t> </w:t>
      </w:r>
      <w:r>
        <w:rPr/>
        <w:t>as</w:t>
      </w:r>
      <w:r>
        <w:rPr>
          <w:spacing w:val="-5"/>
        </w:rPr>
        <w:t> </w:t>
      </w:r>
      <w:r>
        <w:rPr/>
        <w:t>a significant consideration for educators. These data are expected to enable teachers to provide more intensive attention and guidance to students with limited mastery in learning and innovation skills, ensuring that the competencies developed during their education become a robust foundation for their future aspirations and success.</w:t>
      </w:r>
    </w:p>
    <w:p>
      <w:pPr>
        <w:pStyle w:val="BodyText"/>
        <w:spacing w:before="42"/>
        <w:ind w:left="0"/>
        <w:jc w:val="left"/>
      </w:pPr>
    </w:p>
    <w:p>
      <w:pPr>
        <w:pStyle w:val="Heading1"/>
      </w:pPr>
      <w:r>
        <w:rPr>
          <w:spacing w:val="-2"/>
        </w:rPr>
        <w:t>METHODS</w:t>
      </w:r>
    </w:p>
    <w:p>
      <w:pPr>
        <w:pStyle w:val="BodyText"/>
        <w:spacing w:line="276" w:lineRule="auto" w:before="44"/>
        <w:ind w:right="341" w:firstLine="705"/>
      </w:pPr>
      <w:r>
        <w:rPr/>
        <w:t>This research was conducted using a quantitative approach through a survey method </w:t>
      </w:r>
      <w:r>
        <w:rPr/>
        <w:t>to obtain accurate data regarding field conditions. The study took place at SMP Negeri 7 Pekalongan, involving a</w:t>
      </w:r>
      <w:r>
        <w:rPr>
          <w:spacing w:val="-8"/>
        </w:rPr>
        <w:t> </w:t>
      </w:r>
      <w:r>
        <w:rPr/>
        <w:t>research</w:t>
      </w:r>
      <w:r>
        <w:rPr>
          <w:spacing w:val="-8"/>
        </w:rPr>
        <w:t> </w:t>
      </w:r>
      <w:r>
        <w:rPr/>
        <w:t>subject</w:t>
      </w:r>
      <w:r>
        <w:rPr>
          <w:spacing w:val="-8"/>
        </w:rPr>
        <w:t> </w:t>
      </w:r>
      <w:r>
        <w:rPr/>
        <w:t>of</w:t>
      </w:r>
      <w:r>
        <w:rPr>
          <w:spacing w:val="-8"/>
        </w:rPr>
        <w:t> </w:t>
      </w:r>
      <w:r>
        <w:rPr/>
        <w:t>37</w:t>
      </w:r>
      <w:r>
        <w:rPr>
          <w:spacing w:val="-8"/>
        </w:rPr>
        <w:t> </w:t>
      </w:r>
      <w:r>
        <w:rPr/>
        <w:t>student</w:t>
      </w:r>
      <w:r>
        <w:rPr>
          <w:spacing w:val="-8"/>
        </w:rPr>
        <w:t> </w:t>
      </w:r>
      <w:r>
        <w:rPr/>
        <w:t>respondents.</w:t>
      </w:r>
      <w:r>
        <w:rPr>
          <w:spacing w:val="-8"/>
        </w:rPr>
        <w:t> </w:t>
      </w:r>
      <w:r>
        <w:rPr/>
        <w:t>For</w:t>
      </w:r>
      <w:r>
        <w:rPr>
          <w:spacing w:val="-8"/>
        </w:rPr>
        <w:t> </w:t>
      </w:r>
      <w:r>
        <w:rPr/>
        <w:t>efficient</w:t>
      </w:r>
      <w:r>
        <w:rPr>
          <w:spacing w:val="-8"/>
        </w:rPr>
        <w:t> </w:t>
      </w:r>
      <w:r>
        <w:rPr/>
        <w:t>data</w:t>
      </w:r>
      <w:r>
        <w:rPr>
          <w:spacing w:val="-8"/>
        </w:rPr>
        <w:t> </w:t>
      </w:r>
      <w:r>
        <w:rPr/>
        <w:t>collection, electronic questionnaires were distributed to respondents via Google Forms to facilitate their responses. The research instrument employed in this survey was adapted from a study by Gürsoy (2021), which was specifically designed to measure 21st-century skills. The instrument utilized a 5-point Likert scale ranging from 'strongly disagree' to 'strongly agree' to measure students' perceptions and</w:t>
      </w:r>
      <w:r>
        <w:rPr>
          <w:spacing w:val="-9"/>
        </w:rPr>
        <w:t> </w:t>
      </w:r>
      <w:r>
        <w:rPr/>
        <w:t>opinions</w:t>
      </w:r>
      <w:r>
        <w:rPr>
          <w:spacing w:val="-9"/>
        </w:rPr>
        <w:t> </w:t>
      </w:r>
      <w:r>
        <w:rPr/>
        <w:t>regarding</w:t>
      </w:r>
      <w:r>
        <w:rPr>
          <w:spacing w:val="-9"/>
        </w:rPr>
        <w:t> </w:t>
      </w:r>
      <w:r>
        <w:rPr/>
        <w:t>the</w:t>
      </w:r>
      <w:r>
        <w:rPr>
          <w:spacing w:val="-9"/>
        </w:rPr>
        <w:t> </w:t>
      </w:r>
      <w:r>
        <w:rPr/>
        <w:t>variables</w:t>
      </w:r>
      <w:r>
        <w:rPr>
          <w:spacing w:val="-9"/>
        </w:rPr>
        <w:t> </w:t>
      </w:r>
      <w:r>
        <w:rPr/>
        <w:t>under</w:t>
      </w:r>
      <w:r>
        <w:rPr>
          <w:spacing w:val="-9"/>
        </w:rPr>
        <w:t> </w:t>
      </w:r>
      <w:r>
        <w:rPr/>
        <w:t>investigation</w:t>
      </w:r>
      <w:r>
        <w:rPr>
          <w:spacing w:val="-9"/>
        </w:rPr>
        <w:t> </w:t>
      </w:r>
      <w:r>
        <w:rPr/>
        <w:t>(Sugiyono,</w:t>
      </w:r>
      <w:r>
        <w:rPr>
          <w:spacing w:val="-9"/>
        </w:rPr>
        <w:t> </w:t>
      </w:r>
      <w:r>
        <w:rPr/>
        <w:t>2017). As</w:t>
      </w:r>
      <w:r>
        <w:rPr>
          <w:spacing w:val="39"/>
        </w:rPr>
        <w:t> </w:t>
      </w:r>
      <w:r>
        <w:rPr/>
        <w:t>the</w:t>
      </w:r>
      <w:r>
        <w:rPr>
          <w:spacing w:val="41"/>
        </w:rPr>
        <w:t> </w:t>
      </w:r>
      <w:r>
        <w:rPr/>
        <w:t>original</w:t>
      </w:r>
      <w:r>
        <w:rPr>
          <w:spacing w:val="41"/>
        </w:rPr>
        <w:t> </w:t>
      </w:r>
      <w:r>
        <w:rPr/>
        <w:t>instrument</w:t>
      </w:r>
      <w:r>
        <w:rPr>
          <w:spacing w:val="27"/>
        </w:rPr>
        <w:t> </w:t>
      </w:r>
      <w:r>
        <w:rPr/>
        <w:t>was</w:t>
      </w:r>
      <w:r>
        <w:rPr>
          <w:spacing w:val="27"/>
        </w:rPr>
        <w:t> </w:t>
      </w:r>
      <w:r>
        <w:rPr/>
        <w:t>developed</w:t>
      </w:r>
      <w:r>
        <w:rPr>
          <w:spacing w:val="27"/>
        </w:rPr>
        <w:t> </w:t>
      </w:r>
      <w:r>
        <w:rPr/>
        <w:t>in</w:t>
      </w:r>
      <w:r>
        <w:rPr>
          <w:spacing w:val="26"/>
        </w:rPr>
        <w:t> </w:t>
      </w:r>
      <w:r>
        <w:rPr/>
        <w:t>English,</w:t>
      </w:r>
      <w:r>
        <w:rPr>
          <w:spacing w:val="27"/>
        </w:rPr>
        <w:t> </w:t>
      </w:r>
      <w:r>
        <w:rPr/>
        <w:t>it</w:t>
      </w:r>
      <w:r>
        <w:rPr>
          <w:spacing w:val="27"/>
        </w:rPr>
        <w:t> </w:t>
      </w:r>
      <w:r>
        <w:rPr/>
        <w:t>underwent</w:t>
      </w:r>
      <w:r>
        <w:rPr>
          <w:spacing w:val="26"/>
        </w:rPr>
        <w:t> </w:t>
      </w:r>
      <w:r>
        <w:rPr/>
        <w:t>a</w:t>
      </w:r>
      <w:r>
        <w:rPr>
          <w:spacing w:val="27"/>
        </w:rPr>
        <w:t> </w:t>
      </w:r>
      <w:r>
        <w:rPr/>
        <w:t>translation</w:t>
      </w:r>
      <w:r>
        <w:rPr>
          <w:spacing w:val="27"/>
        </w:rPr>
        <w:t> </w:t>
      </w:r>
      <w:r>
        <w:rPr/>
        <w:t>process</w:t>
      </w:r>
      <w:r>
        <w:rPr>
          <w:spacing w:val="27"/>
        </w:rPr>
        <w:t> </w:t>
      </w:r>
      <w:r>
        <w:rPr>
          <w:spacing w:val="-4"/>
        </w:rPr>
        <w:t>into.</w:t>
      </w:r>
    </w:p>
    <w:p>
      <w:pPr>
        <w:pStyle w:val="BodyText"/>
        <w:spacing w:after="0" w:line="276" w:lineRule="auto"/>
        <w:sectPr>
          <w:pgSz w:w="12240" w:h="15840"/>
          <w:pgMar w:header="1168" w:footer="1200" w:top="1360" w:bottom="1400" w:left="1080" w:right="1080"/>
        </w:sectPr>
      </w:pPr>
    </w:p>
    <w:p>
      <w:pPr>
        <w:spacing w:before="234"/>
        <w:ind w:left="338" w:right="0" w:firstLine="6070"/>
        <w:jc w:val="left"/>
        <w:rPr>
          <w:rFonts w:ascii="Cambria"/>
          <w:b/>
          <w:sz w:val="20"/>
        </w:rPr>
      </w:pPr>
      <w:r>
        <w:rPr>
          <w:rFonts w:ascii="Cambria"/>
          <w:b/>
          <w:sz w:val="20"/>
        </w:rPr>
        <w:t>Indonesian</w:t>
      </w:r>
      <w:r>
        <w:rPr>
          <w:rFonts w:ascii="Cambria"/>
          <w:b/>
          <w:spacing w:val="-11"/>
          <w:sz w:val="20"/>
        </w:rPr>
        <w:t> </w:t>
      </w:r>
      <w:r>
        <w:rPr>
          <w:rFonts w:ascii="Cambria"/>
          <w:b/>
          <w:sz w:val="20"/>
        </w:rPr>
        <w:t>Science</w:t>
      </w:r>
      <w:r>
        <w:rPr>
          <w:rFonts w:ascii="Cambria"/>
          <w:b/>
          <w:spacing w:val="-9"/>
          <w:sz w:val="20"/>
        </w:rPr>
        <w:t> </w:t>
      </w:r>
      <w:r>
        <w:rPr>
          <w:rFonts w:ascii="Cambria"/>
          <w:b/>
          <w:sz w:val="20"/>
        </w:rPr>
        <w:t>Education</w:t>
      </w:r>
      <w:r>
        <w:rPr>
          <w:rFonts w:ascii="Cambria"/>
          <w:b/>
          <w:spacing w:val="-8"/>
          <w:sz w:val="20"/>
        </w:rPr>
        <w:t> </w:t>
      </w:r>
      <w:r>
        <w:rPr>
          <w:rFonts w:ascii="Cambria"/>
          <w:b/>
          <w:spacing w:val="-2"/>
          <w:sz w:val="20"/>
        </w:rPr>
        <w:t>Letter</w:t>
      </w:r>
    </w:p>
    <w:p>
      <w:pPr>
        <w:pStyle w:val="BodyText"/>
        <w:spacing w:before="10"/>
        <w:ind w:left="0"/>
        <w:jc w:val="left"/>
        <w:rPr>
          <w:rFonts w:ascii="Cambria"/>
          <w:b/>
          <w:sz w:val="20"/>
        </w:rPr>
      </w:pPr>
    </w:p>
    <w:p>
      <w:pPr>
        <w:pStyle w:val="BodyText"/>
        <w:spacing w:line="276" w:lineRule="auto"/>
        <w:ind w:right="337"/>
      </w:pPr>
      <w:r>
        <w:rPr/>
        <w:t>Indonesian, with linguistic adjustments to ensure the phrasing was simplified and more accessible for students without altering the original meaning.</w:t>
      </w:r>
    </w:p>
    <w:p>
      <w:pPr>
        <w:pStyle w:val="BodyText"/>
        <w:spacing w:line="276" w:lineRule="auto"/>
        <w:ind w:right="338" w:firstLine="705"/>
      </w:pPr>
      <w:r>
        <w:rPr/>
        <w:t>The collected data were subsequently analyzed using descriptive analysis techniques to provide a clear profile of</w:t>
      </w:r>
      <w:r>
        <w:rPr>
          <w:spacing w:val="-5"/>
        </w:rPr>
        <w:t> </w:t>
      </w:r>
      <w:r>
        <w:rPr/>
        <w:t>the</w:t>
      </w:r>
      <w:r>
        <w:rPr>
          <w:spacing w:val="-5"/>
        </w:rPr>
        <w:t> </w:t>
      </w:r>
      <w:r>
        <w:rPr/>
        <w:t>status</w:t>
      </w:r>
      <w:r>
        <w:rPr>
          <w:spacing w:val="-5"/>
        </w:rPr>
        <w:t> </w:t>
      </w:r>
      <w:r>
        <w:rPr/>
        <w:t>of</w:t>
      </w:r>
      <w:r>
        <w:rPr>
          <w:spacing w:val="-5"/>
        </w:rPr>
        <w:t> </w:t>
      </w:r>
      <w:r>
        <w:rPr/>
        <w:t>4C</w:t>
      </w:r>
      <w:r>
        <w:rPr>
          <w:spacing w:val="-5"/>
        </w:rPr>
        <w:t> </w:t>
      </w:r>
      <w:r>
        <w:rPr/>
        <w:t>skills.</w:t>
      </w:r>
      <w:r>
        <w:rPr>
          <w:spacing w:val="-5"/>
        </w:rPr>
        <w:t> </w:t>
      </w:r>
      <w:r>
        <w:rPr/>
        <w:t>The</w:t>
      </w:r>
      <w:r>
        <w:rPr>
          <w:spacing w:val="-5"/>
        </w:rPr>
        <w:t> </w:t>
      </w:r>
      <w:r>
        <w:rPr/>
        <w:t>analytical</w:t>
      </w:r>
      <w:r>
        <w:rPr>
          <w:spacing w:val="-5"/>
        </w:rPr>
        <w:t> </w:t>
      </w:r>
      <w:r>
        <w:rPr/>
        <w:t>stage</w:t>
      </w:r>
      <w:r>
        <w:rPr>
          <w:spacing w:val="-5"/>
        </w:rPr>
        <w:t> </w:t>
      </w:r>
      <w:r>
        <w:rPr/>
        <w:t>was</w:t>
      </w:r>
      <w:r>
        <w:rPr>
          <w:spacing w:val="-5"/>
        </w:rPr>
        <w:t> </w:t>
      </w:r>
      <w:r>
        <w:rPr/>
        <w:t>conducted</w:t>
      </w:r>
      <w:r>
        <w:rPr>
          <w:spacing w:val="-5"/>
        </w:rPr>
        <w:t> </w:t>
      </w:r>
      <w:r>
        <w:rPr/>
        <w:t>through</w:t>
      </w:r>
      <w:r>
        <w:rPr>
          <w:spacing w:val="-5"/>
        </w:rPr>
        <w:t> </w:t>
      </w:r>
      <w:r>
        <w:rPr/>
        <w:t>data verification and the grouping of scores based</w:t>
      </w:r>
      <w:r>
        <w:rPr>
          <w:spacing w:val="-4"/>
        </w:rPr>
        <w:t> </w:t>
      </w:r>
      <w:r>
        <w:rPr/>
        <w:t>on</w:t>
      </w:r>
      <w:r>
        <w:rPr>
          <w:spacing w:val="-4"/>
        </w:rPr>
        <w:t> </w:t>
      </w:r>
      <w:r>
        <w:rPr/>
        <w:t>4C</w:t>
      </w:r>
      <w:r>
        <w:rPr>
          <w:spacing w:val="-4"/>
        </w:rPr>
        <w:t> </w:t>
      </w:r>
      <w:r>
        <w:rPr/>
        <w:t>skill</w:t>
      </w:r>
      <w:r>
        <w:rPr>
          <w:spacing w:val="-4"/>
        </w:rPr>
        <w:t> </w:t>
      </w:r>
      <w:r>
        <w:rPr/>
        <w:t>dimensions,</w:t>
      </w:r>
      <w:r>
        <w:rPr>
          <w:spacing w:val="-4"/>
        </w:rPr>
        <w:t> </w:t>
      </w:r>
      <w:r>
        <w:rPr/>
        <w:t>followed</w:t>
      </w:r>
      <w:r>
        <w:rPr>
          <w:spacing w:val="-4"/>
        </w:rPr>
        <w:t> </w:t>
      </w:r>
      <w:r>
        <w:rPr/>
        <w:t>by</w:t>
      </w:r>
      <w:r>
        <w:rPr>
          <w:spacing w:val="-4"/>
        </w:rPr>
        <w:t> </w:t>
      </w:r>
      <w:r>
        <w:rPr/>
        <w:t>the</w:t>
      </w:r>
      <w:r>
        <w:rPr>
          <w:spacing w:val="-4"/>
        </w:rPr>
        <w:t> </w:t>
      </w:r>
      <w:r>
        <w:rPr/>
        <w:t>calculation of the mean and standard deviation (SD). Descriptive analysis was utilized to ascertain the mastery level of students' learning and innovation skills based on the results of the questionnaires completed by the respondents (Syafei, 2025). The resulting mean values were then classified into specific categories to determine the extent of students' 4C skill levels, such</w:t>
      </w:r>
      <w:r>
        <w:rPr>
          <w:spacing w:val="40"/>
        </w:rPr>
        <w:t> </w:t>
      </w:r>
      <w:r>
        <w:rPr/>
        <w:t>as very good, good, fair, or poor (Putri</w:t>
      </w:r>
      <w:r>
        <w:rPr>
          <w:spacing w:val="-6"/>
        </w:rPr>
        <w:t> </w:t>
      </w:r>
      <w:r>
        <w:rPr/>
        <w:t>et</w:t>
      </w:r>
      <w:r>
        <w:rPr>
          <w:spacing w:val="-6"/>
        </w:rPr>
        <w:t> </w:t>
      </w:r>
      <w:r>
        <w:rPr/>
        <w:t>al.,</w:t>
      </w:r>
      <w:r>
        <w:rPr>
          <w:spacing w:val="-6"/>
        </w:rPr>
        <w:t> </w:t>
      </w:r>
      <w:r>
        <w:rPr/>
        <w:t>2024).</w:t>
      </w:r>
      <w:r>
        <w:rPr>
          <w:spacing w:val="-6"/>
        </w:rPr>
        <w:t> </w:t>
      </w:r>
      <w:r>
        <w:rPr/>
        <w:t>Score</w:t>
      </w:r>
      <w:r>
        <w:rPr>
          <w:spacing w:val="-6"/>
        </w:rPr>
        <w:t> </w:t>
      </w:r>
      <w:r>
        <w:rPr/>
        <w:t>interpretation</w:t>
      </w:r>
      <w:r>
        <w:rPr>
          <w:spacing w:val="-6"/>
        </w:rPr>
        <w:t> </w:t>
      </w:r>
      <w:r>
        <w:rPr/>
        <w:t>criteria</w:t>
      </w:r>
      <w:r>
        <w:rPr>
          <w:spacing w:val="-6"/>
        </w:rPr>
        <w:t> </w:t>
      </w:r>
      <w:r>
        <w:rPr/>
        <w:t>were</w:t>
      </w:r>
      <w:r>
        <w:rPr>
          <w:spacing w:val="-6"/>
        </w:rPr>
        <w:t> </w:t>
      </w:r>
      <w:r>
        <w:rPr/>
        <w:t>applied</w:t>
      </w:r>
      <w:r>
        <w:rPr>
          <w:spacing w:val="-6"/>
        </w:rPr>
        <w:t> </w:t>
      </w:r>
      <w:r>
        <w:rPr/>
        <w:t>to establish the levels of student learning and</w:t>
      </w:r>
      <w:r>
        <w:rPr>
          <w:spacing w:val="-6"/>
        </w:rPr>
        <w:t> </w:t>
      </w:r>
      <w:r>
        <w:rPr/>
        <w:t>innovation</w:t>
      </w:r>
      <w:r>
        <w:rPr>
          <w:spacing w:val="-6"/>
        </w:rPr>
        <w:t> </w:t>
      </w:r>
      <w:r>
        <w:rPr/>
        <w:t>skills</w:t>
      </w:r>
      <w:r>
        <w:rPr>
          <w:spacing w:val="-6"/>
        </w:rPr>
        <w:t> </w:t>
      </w:r>
      <w:r>
        <w:rPr/>
        <w:t>based</w:t>
      </w:r>
      <w:r>
        <w:rPr>
          <w:spacing w:val="-6"/>
        </w:rPr>
        <w:t> </w:t>
      </w:r>
      <w:r>
        <w:rPr/>
        <w:t>on</w:t>
      </w:r>
      <w:r>
        <w:rPr>
          <w:spacing w:val="-6"/>
        </w:rPr>
        <w:t> </w:t>
      </w:r>
      <w:r>
        <w:rPr/>
        <w:t>the</w:t>
      </w:r>
      <w:r>
        <w:rPr>
          <w:spacing w:val="-6"/>
        </w:rPr>
        <w:t> </w:t>
      </w:r>
      <w:r>
        <w:rPr/>
        <w:t>average</w:t>
      </w:r>
      <w:r>
        <w:rPr>
          <w:spacing w:val="-6"/>
        </w:rPr>
        <w:t> </w:t>
      </w:r>
      <w:r>
        <w:rPr/>
        <w:t>questionnaire results. These category groupings refer to the Likert scale interpretation as</w:t>
      </w:r>
      <w:r>
        <w:rPr>
          <w:spacing w:val="-7"/>
        </w:rPr>
        <w:t> </w:t>
      </w:r>
      <w:r>
        <w:rPr/>
        <w:t>defined</w:t>
      </w:r>
      <w:r>
        <w:rPr>
          <w:spacing w:val="-7"/>
        </w:rPr>
        <w:t> </w:t>
      </w:r>
      <w:r>
        <w:rPr/>
        <w:t>by</w:t>
      </w:r>
      <w:r>
        <w:rPr>
          <w:spacing w:val="-7"/>
        </w:rPr>
        <w:t> </w:t>
      </w:r>
      <w:r>
        <w:rPr/>
        <w:t>Sugiyono </w:t>
      </w:r>
      <w:r>
        <w:rPr>
          <w:spacing w:val="-2"/>
        </w:rPr>
        <w:t>(2017).</w:t>
      </w:r>
    </w:p>
    <w:p>
      <w:pPr>
        <w:pStyle w:val="BodyText"/>
        <w:spacing w:after="26"/>
        <w:ind w:left="213" w:right="213"/>
        <w:jc w:val="center"/>
      </w:pPr>
      <w:r>
        <w:rPr>
          <w:b/>
        </w:rPr>
        <w:t>Table</w:t>
      </w:r>
      <w:r>
        <w:rPr>
          <w:b/>
          <w:spacing w:val="-7"/>
        </w:rPr>
        <w:t> </w:t>
      </w:r>
      <w:r>
        <w:rPr>
          <w:b/>
        </w:rPr>
        <w:t>1</w:t>
      </w:r>
      <w:r>
        <w:rPr>
          <w:b/>
          <w:spacing w:val="-7"/>
        </w:rPr>
        <w:t> </w:t>
      </w:r>
      <w:r>
        <w:rPr/>
        <w:t>Mean</w:t>
      </w:r>
      <w:r>
        <w:rPr>
          <w:spacing w:val="-6"/>
        </w:rPr>
        <w:t> </w:t>
      </w:r>
      <w:r>
        <w:rPr/>
        <w:t>Score</w:t>
      </w:r>
      <w:r>
        <w:rPr>
          <w:spacing w:val="-7"/>
        </w:rPr>
        <w:t> </w:t>
      </w:r>
      <w:r>
        <w:rPr/>
        <w:t>Interpretation</w:t>
      </w:r>
      <w:r>
        <w:rPr>
          <w:spacing w:val="-6"/>
        </w:rPr>
        <w:t> </w:t>
      </w:r>
      <w:r>
        <w:rPr/>
        <w:t>Categories</w:t>
      </w:r>
      <w:r>
        <w:rPr>
          <w:spacing w:val="-7"/>
        </w:rPr>
        <w:t> </w:t>
      </w:r>
      <w:r>
        <w:rPr/>
        <w:t>based</w:t>
      </w:r>
      <w:r>
        <w:rPr>
          <w:spacing w:val="-6"/>
        </w:rPr>
        <w:t> </w:t>
      </w:r>
      <w:r>
        <w:rPr/>
        <w:t>on</w:t>
      </w:r>
      <w:r>
        <w:rPr>
          <w:spacing w:val="-7"/>
        </w:rPr>
        <w:t> </w:t>
      </w:r>
      <w:r>
        <w:rPr/>
        <w:t>Likert</w:t>
      </w:r>
      <w:r>
        <w:rPr>
          <w:spacing w:val="-6"/>
        </w:rPr>
        <w:t> </w:t>
      </w:r>
      <w:r>
        <w:rPr>
          <w:spacing w:val="-2"/>
        </w:rPr>
        <w:t>Scale</w:t>
      </w:r>
    </w:p>
    <w:tbl>
      <w:tblPr>
        <w:tblW w:w="0" w:type="auto"/>
        <w:jc w:val="left"/>
        <w:tblInd w:w="24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41"/>
        <w:gridCol w:w="2540"/>
      </w:tblGrid>
      <w:tr>
        <w:trPr>
          <w:trHeight w:val="366" w:hRule="atLeast"/>
        </w:trPr>
        <w:tc>
          <w:tcPr>
            <w:tcW w:w="2641" w:type="dxa"/>
            <w:tcBorders>
              <w:top w:val="single" w:sz="8" w:space="0" w:color="000000"/>
            </w:tcBorders>
          </w:tcPr>
          <w:p>
            <w:pPr>
              <w:pStyle w:val="TableParagraph"/>
              <w:tabs>
                <w:tab w:pos="576" w:val="left" w:leader="none"/>
                <w:tab w:pos="3418" w:val="left" w:leader="none"/>
              </w:tabs>
              <w:spacing w:before="28"/>
              <w:ind w:right="-778"/>
              <w:jc w:val="left"/>
              <w:rPr>
                <w:sz w:val="24"/>
              </w:rPr>
            </w:pPr>
            <w:r>
              <w:rPr>
                <w:rFonts w:ascii="Times New Roman"/>
                <w:sz w:val="24"/>
                <w:u w:val="thick"/>
              </w:rPr>
              <w:tab/>
            </w:r>
            <w:r>
              <w:rPr>
                <w:sz w:val="24"/>
                <w:u w:val="thick"/>
              </w:rPr>
              <w:t>Mean </w:t>
            </w:r>
            <w:r>
              <w:rPr>
                <w:spacing w:val="-2"/>
                <w:sz w:val="24"/>
                <w:u w:val="thick"/>
              </w:rPr>
              <w:t>Interval</w:t>
            </w:r>
            <w:r>
              <w:rPr>
                <w:sz w:val="24"/>
                <w:u w:val="thick"/>
              </w:rPr>
              <w:tab/>
            </w:r>
          </w:p>
        </w:tc>
        <w:tc>
          <w:tcPr>
            <w:tcW w:w="2540" w:type="dxa"/>
            <w:tcBorders>
              <w:top w:val="single" w:sz="8" w:space="0" w:color="000000"/>
            </w:tcBorders>
          </w:tcPr>
          <w:p>
            <w:pPr>
              <w:pStyle w:val="TableParagraph"/>
              <w:tabs>
                <w:tab w:pos="2538" w:val="left" w:leader="none"/>
              </w:tabs>
              <w:spacing w:before="28"/>
              <w:ind w:left="777"/>
              <w:jc w:val="left"/>
              <w:rPr>
                <w:sz w:val="24"/>
              </w:rPr>
            </w:pPr>
            <w:r>
              <w:rPr>
                <w:spacing w:val="-2"/>
                <w:sz w:val="24"/>
                <w:u w:val="thick"/>
              </w:rPr>
              <w:t>Category</w:t>
            </w:r>
            <w:r>
              <w:rPr>
                <w:sz w:val="24"/>
                <w:u w:val="thick"/>
              </w:rPr>
              <w:tab/>
            </w:r>
          </w:p>
        </w:tc>
      </w:tr>
      <w:tr>
        <w:trPr>
          <w:trHeight w:val="330" w:hRule="atLeast"/>
        </w:trPr>
        <w:tc>
          <w:tcPr>
            <w:tcW w:w="2641" w:type="dxa"/>
          </w:tcPr>
          <w:p>
            <w:pPr>
              <w:pStyle w:val="TableParagraph"/>
              <w:ind w:left="795"/>
              <w:jc w:val="left"/>
              <w:rPr>
                <w:sz w:val="24"/>
              </w:rPr>
            </w:pPr>
            <w:r>
              <w:rPr>
                <w:sz w:val="24"/>
              </w:rPr>
              <w:t>4.21-</w:t>
            </w:r>
            <w:r>
              <w:rPr>
                <w:spacing w:val="-4"/>
                <w:sz w:val="24"/>
              </w:rPr>
              <w:t>5.00</w:t>
            </w:r>
          </w:p>
        </w:tc>
        <w:tc>
          <w:tcPr>
            <w:tcW w:w="2540" w:type="dxa"/>
          </w:tcPr>
          <w:p>
            <w:pPr>
              <w:pStyle w:val="TableParagraph"/>
              <w:ind w:left="701"/>
              <w:jc w:val="left"/>
              <w:rPr>
                <w:sz w:val="24"/>
              </w:rPr>
            </w:pPr>
            <w:r>
              <w:rPr>
                <w:sz w:val="24"/>
              </w:rPr>
              <w:t>Very</w:t>
            </w:r>
            <w:r>
              <w:rPr>
                <w:spacing w:val="-11"/>
                <w:sz w:val="24"/>
              </w:rPr>
              <w:t> </w:t>
            </w:r>
            <w:r>
              <w:rPr>
                <w:spacing w:val="-4"/>
                <w:sz w:val="24"/>
              </w:rPr>
              <w:t>Good</w:t>
            </w:r>
          </w:p>
        </w:tc>
      </w:tr>
      <w:tr>
        <w:trPr>
          <w:trHeight w:val="322" w:hRule="atLeast"/>
        </w:trPr>
        <w:tc>
          <w:tcPr>
            <w:tcW w:w="2641" w:type="dxa"/>
          </w:tcPr>
          <w:p>
            <w:pPr>
              <w:pStyle w:val="TableParagraph"/>
              <w:spacing w:line="286" w:lineRule="exact"/>
              <w:ind w:left="795"/>
              <w:jc w:val="left"/>
              <w:rPr>
                <w:sz w:val="24"/>
              </w:rPr>
            </w:pPr>
            <w:r>
              <w:rPr>
                <w:sz w:val="24"/>
              </w:rPr>
              <w:t>3.41-</w:t>
            </w:r>
            <w:r>
              <w:rPr>
                <w:spacing w:val="-4"/>
                <w:sz w:val="24"/>
              </w:rPr>
              <w:t>4.20</w:t>
            </w:r>
          </w:p>
        </w:tc>
        <w:tc>
          <w:tcPr>
            <w:tcW w:w="2540" w:type="dxa"/>
          </w:tcPr>
          <w:p>
            <w:pPr>
              <w:pStyle w:val="TableParagraph"/>
              <w:spacing w:line="286" w:lineRule="exact"/>
              <w:ind w:right="114"/>
              <w:rPr>
                <w:sz w:val="24"/>
              </w:rPr>
            </w:pPr>
            <w:r>
              <w:rPr>
                <w:spacing w:val="-4"/>
                <w:sz w:val="24"/>
              </w:rPr>
              <w:t>Good</w:t>
            </w:r>
          </w:p>
        </w:tc>
      </w:tr>
      <w:tr>
        <w:trPr>
          <w:trHeight w:val="322" w:hRule="atLeast"/>
        </w:trPr>
        <w:tc>
          <w:tcPr>
            <w:tcW w:w="2641" w:type="dxa"/>
          </w:tcPr>
          <w:p>
            <w:pPr>
              <w:pStyle w:val="TableParagraph"/>
              <w:spacing w:line="286" w:lineRule="exact"/>
              <w:ind w:left="795"/>
              <w:jc w:val="left"/>
              <w:rPr>
                <w:sz w:val="24"/>
              </w:rPr>
            </w:pPr>
            <w:r>
              <w:rPr>
                <w:sz w:val="24"/>
              </w:rPr>
              <w:t>2.61-</w:t>
            </w:r>
            <w:r>
              <w:rPr>
                <w:spacing w:val="-4"/>
                <w:sz w:val="24"/>
              </w:rPr>
              <w:t>3.40</w:t>
            </w:r>
          </w:p>
        </w:tc>
        <w:tc>
          <w:tcPr>
            <w:tcW w:w="2540" w:type="dxa"/>
          </w:tcPr>
          <w:p>
            <w:pPr>
              <w:pStyle w:val="TableParagraph"/>
              <w:spacing w:line="286" w:lineRule="exact"/>
              <w:ind w:right="114"/>
              <w:rPr>
                <w:sz w:val="24"/>
              </w:rPr>
            </w:pPr>
            <w:r>
              <w:rPr>
                <w:spacing w:val="-4"/>
                <w:sz w:val="24"/>
              </w:rPr>
              <w:t>Fair</w:t>
            </w:r>
          </w:p>
        </w:tc>
      </w:tr>
      <w:tr>
        <w:trPr>
          <w:trHeight w:val="322" w:hRule="atLeast"/>
        </w:trPr>
        <w:tc>
          <w:tcPr>
            <w:tcW w:w="2641" w:type="dxa"/>
          </w:tcPr>
          <w:p>
            <w:pPr>
              <w:pStyle w:val="TableParagraph"/>
              <w:spacing w:line="286" w:lineRule="exact"/>
              <w:ind w:left="795"/>
              <w:jc w:val="left"/>
              <w:rPr>
                <w:sz w:val="24"/>
              </w:rPr>
            </w:pPr>
            <w:r>
              <w:rPr>
                <w:sz w:val="24"/>
              </w:rPr>
              <w:t>1.81-</w:t>
            </w:r>
            <w:r>
              <w:rPr>
                <w:spacing w:val="-4"/>
                <w:sz w:val="24"/>
              </w:rPr>
              <w:t>2.60</w:t>
            </w:r>
          </w:p>
        </w:tc>
        <w:tc>
          <w:tcPr>
            <w:tcW w:w="2540" w:type="dxa"/>
          </w:tcPr>
          <w:p>
            <w:pPr>
              <w:pStyle w:val="TableParagraph"/>
              <w:spacing w:line="286" w:lineRule="exact"/>
              <w:ind w:right="114"/>
              <w:rPr>
                <w:sz w:val="24"/>
              </w:rPr>
            </w:pPr>
            <w:r>
              <w:rPr>
                <w:spacing w:val="-4"/>
                <w:sz w:val="24"/>
              </w:rPr>
              <w:t>Poor</w:t>
            </w:r>
          </w:p>
        </w:tc>
      </w:tr>
      <w:tr>
        <w:trPr>
          <w:trHeight w:val="294" w:hRule="atLeast"/>
        </w:trPr>
        <w:tc>
          <w:tcPr>
            <w:tcW w:w="2641" w:type="dxa"/>
            <w:tcBorders>
              <w:bottom w:val="single" w:sz="8" w:space="0" w:color="000000"/>
            </w:tcBorders>
          </w:tcPr>
          <w:p>
            <w:pPr>
              <w:pStyle w:val="TableParagraph"/>
              <w:spacing w:line="274" w:lineRule="exact"/>
              <w:ind w:left="795"/>
              <w:jc w:val="left"/>
              <w:rPr>
                <w:sz w:val="24"/>
              </w:rPr>
            </w:pPr>
            <w:r>
              <w:rPr>
                <w:sz w:val="24"/>
              </w:rPr>
              <w:t>1.00-</w:t>
            </w:r>
            <w:r>
              <w:rPr>
                <w:spacing w:val="-4"/>
                <w:sz w:val="24"/>
              </w:rPr>
              <w:t>1.80</w:t>
            </w:r>
          </w:p>
        </w:tc>
        <w:tc>
          <w:tcPr>
            <w:tcW w:w="2540" w:type="dxa"/>
            <w:tcBorders>
              <w:bottom w:val="single" w:sz="8" w:space="0" w:color="000000"/>
            </w:tcBorders>
          </w:tcPr>
          <w:p>
            <w:pPr>
              <w:pStyle w:val="TableParagraph"/>
              <w:spacing w:line="274" w:lineRule="exact"/>
              <w:ind w:left="738"/>
              <w:jc w:val="left"/>
              <w:rPr>
                <w:sz w:val="24"/>
              </w:rPr>
            </w:pPr>
            <w:r>
              <w:rPr>
                <w:sz w:val="24"/>
              </w:rPr>
              <w:t>Very</w:t>
            </w:r>
            <w:r>
              <w:rPr>
                <w:spacing w:val="-11"/>
                <w:sz w:val="24"/>
              </w:rPr>
              <w:t> </w:t>
            </w:r>
            <w:r>
              <w:rPr>
                <w:spacing w:val="-4"/>
                <w:sz w:val="24"/>
              </w:rPr>
              <w:t>Poor</w:t>
            </w:r>
          </w:p>
        </w:tc>
      </w:tr>
    </w:tbl>
    <w:p>
      <w:pPr>
        <w:pStyle w:val="BodyText"/>
        <w:spacing w:before="49"/>
        <w:ind w:left="0"/>
        <w:jc w:val="left"/>
      </w:pPr>
    </w:p>
    <w:p>
      <w:pPr>
        <w:pStyle w:val="Heading1"/>
      </w:pPr>
      <w:r>
        <w:rPr/>
        <w:t>RESULTS</w:t>
      </w:r>
      <w:r>
        <w:rPr>
          <w:spacing w:val="-14"/>
        </w:rPr>
        <w:t> </w:t>
      </w:r>
      <w:r>
        <w:rPr/>
        <w:t>AND</w:t>
      </w:r>
      <w:r>
        <w:rPr>
          <w:spacing w:val="-11"/>
        </w:rPr>
        <w:t> </w:t>
      </w:r>
      <w:r>
        <w:rPr>
          <w:spacing w:val="-2"/>
        </w:rPr>
        <w:t>DISCUSSIONS</w:t>
      </w:r>
    </w:p>
    <w:p>
      <w:pPr>
        <w:pStyle w:val="BodyText"/>
        <w:spacing w:line="276" w:lineRule="auto" w:before="44"/>
        <w:ind w:right="336" w:firstLine="705"/>
      </w:pPr>
      <w:r>
        <w:rPr/>
        <w:t>Empirical findings from the investigation of students' 4C skills at SMP Negeri 7 Pekalongan provide an objective illustration that the student collective has generally mastered 4C</w:t>
      </w:r>
      <w:r>
        <w:rPr>
          <w:spacing w:val="-7"/>
        </w:rPr>
        <w:t> </w:t>
      </w:r>
      <w:r>
        <w:rPr/>
        <w:t>competencies</w:t>
      </w:r>
      <w:r>
        <w:rPr>
          <w:spacing w:val="-7"/>
        </w:rPr>
        <w:t> </w:t>
      </w:r>
      <w:r>
        <w:rPr/>
        <w:t>with</w:t>
      </w:r>
      <w:r>
        <w:rPr>
          <w:spacing w:val="-7"/>
        </w:rPr>
        <w:t> </w:t>
      </w:r>
      <w:r>
        <w:rPr/>
        <w:t>a</w:t>
      </w:r>
      <w:r>
        <w:rPr>
          <w:spacing w:val="-7"/>
        </w:rPr>
        <w:t> </w:t>
      </w:r>
      <w:r>
        <w:rPr/>
        <w:t>'good'</w:t>
      </w:r>
      <w:r>
        <w:rPr>
          <w:spacing w:val="-7"/>
        </w:rPr>
        <w:t> </w:t>
      </w:r>
      <w:r>
        <w:rPr/>
        <w:t>qualification.</w:t>
      </w:r>
      <w:r>
        <w:rPr>
          <w:spacing w:val="-7"/>
        </w:rPr>
        <w:t> </w:t>
      </w:r>
      <w:r>
        <w:rPr/>
        <w:t>This</w:t>
      </w:r>
      <w:r>
        <w:rPr>
          <w:spacing w:val="-7"/>
        </w:rPr>
        <w:t> </w:t>
      </w:r>
      <w:r>
        <w:rPr/>
        <w:t>evaluation</w:t>
      </w:r>
      <w:r>
        <w:rPr>
          <w:spacing w:val="-7"/>
        </w:rPr>
        <w:t> </w:t>
      </w:r>
      <w:r>
        <w:rPr/>
        <w:t>process</w:t>
      </w:r>
      <w:r>
        <w:rPr>
          <w:spacing w:val="-7"/>
        </w:rPr>
        <w:t> </w:t>
      </w:r>
      <w:r>
        <w:rPr/>
        <w:t>is</w:t>
      </w:r>
      <w:r>
        <w:rPr>
          <w:spacing w:val="-7"/>
        </w:rPr>
        <w:t> </w:t>
      </w:r>
      <w:r>
        <w:rPr/>
        <w:t>contextualized</w:t>
      </w:r>
      <w:r>
        <w:rPr>
          <w:spacing w:val="-7"/>
        </w:rPr>
        <w:t> </w:t>
      </w:r>
      <w:r>
        <w:rPr/>
        <w:t>through</w:t>
      </w:r>
      <w:r>
        <w:rPr>
          <w:spacing w:val="-7"/>
        </w:rPr>
        <w:t> </w:t>
      </w:r>
      <w:r>
        <w:rPr/>
        <w:t>an in-depth review of the quartet of 21st-century skill pillars, which include the dimensions of critical thinking, creativity, collaboration, and communication. A comprehensive description of these data calculation results is systematically presented in Table 2 as follows:</w:t>
      </w:r>
    </w:p>
    <w:p>
      <w:pPr>
        <w:pStyle w:val="BodyText"/>
        <w:spacing w:before="44"/>
        <w:ind w:left="0"/>
        <w:jc w:val="left"/>
      </w:pPr>
    </w:p>
    <w:p>
      <w:pPr>
        <w:spacing w:before="0" w:after="34"/>
        <w:ind w:left="213" w:right="213" w:firstLine="0"/>
        <w:jc w:val="center"/>
        <w:rPr>
          <w:sz w:val="24"/>
        </w:rPr>
      </w:pPr>
      <w:r>
        <w:rPr>
          <w:b/>
          <w:sz w:val="24"/>
        </w:rPr>
        <w:t>Table</w:t>
      </w:r>
      <w:r>
        <w:rPr>
          <w:b/>
          <w:spacing w:val="-7"/>
          <w:sz w:val="24"/>
        </w:rPr>
        <w:t> </w:t>
      </w:r>
      <w:r>
        <w:rPr>
          <w:b/>
          <w:sz w:val="24"/>
        </w:rPr>
        <w:t>2</w:t>
      </w:r>
      <w:r>
        <w:rPr>
          <w:b/>
          <w:spacing w:val="-7"/>
          <w:sz w:val="24"/>
        </w:rPr>
        <w:t> </w:t>
      </w:r>
      <w:r>
        <w:rPr>
          <w:sz w:val="24"/>
        </w:rPr>
        <w:t>Average</w:t>
      </w:r>
      <w:r>
        <w:rPr>
          <w:spacing w:val="-7"/>
          <w:sz w:val="24"/>
        </w:rPr>
        <w:t> </w:t>
      </w:r>
      <w:r>
        <w:rPr>
          <w:sz w:val="24"/>
        </w:rPr>
        <w:t>4C</w:t>
      </w:r>
      <w:r>
        <w:rPr>
          <w:spacing w:val="-7"/>
          <w:sz w:val="24"/>
        </w:rPr>
        <w:t> </w:t>
      </w:r>
      <w:r>
        <w:rPr>
          <w:sz w:val="24"/>
        </w:rPr>
        <w:t>Skill</w:t>
      </w:r>
      <w:r>
        <w:rPr>
          <w:spacing w:val="-6"/>
          <w:sz w:val="24"/>
        </w:rPr>
        <w:t> </w:t>
      </w:r>
      <w:r>
        <w:rPr>
          <w:spacing w:val="-2"/>
          <w:sz w:val="24"/>
        </w:rPr>
        <w:t>Performance</w:t>
      </w:r>
    </w:p>
    <w:tbl>
      <w:tblPr>
        <w:tblW w:w="0" w:type="auto"/>
        <w:jc w:val="left"/>
        <w:tblInd w:w="1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361"/>
        <w:gridCol w:w="1667"/>
        <w:gridCol w:w="1635"/>
        <w:gridCol w:w="1836"/>
      </w:tblGrid>
      <w:tr>
        <w:trPr>
          <w:trHeight w:val="320" w:hRule="atLeast"/>
        </w:trPr>
        <w:tc>
          <w:tcPr>
            <w:tcW w:w="2361" w:type="dxa"/>
            <w:tcBorders>
              <w:top w:val="single" w:sz="8" w:space="0" w:color="000000"/>
              <w:bottom w:val="single" w:sz="8" w:space="0" w:color="000000"/>
            </w:tcBorders>
          </w:tcPr>
          <w:p>
            <w:pPr>
              <w:pStyle w:val="TableParagraph"/>
              <w:spacing w:line="279" w:lineRule="exact" w:before="20"/>
              <w:ind w:right="104"/>
              <w:rPr>
                <w:sz w:val="24"/>
              </w:rPr>
            </w:pPr>
            <w:r>
              <w:rPr>
                <w:sz w:val="24"/>
              </w:rPr>
              <w:t>4C </w:t>
            </w:r>
            <w:r>
              <w:rPr>
                <w:spacing w:val="-2"/>
                <w:sz w:val="24"/>
              </w:rPr>
              <w:t>Dimension</w:t>
            </w:r>
          </w:p>
        </w:tc>
        <w:tc>
          <w:tcPr>
            <w:tcW w:w="1667" w:type="dxa"/>
            <w:tcBorders>
              <w:top w:val="single" w:sz="8" w:space="0" w:color="000000"/>
              <w:bottom w:val="single" w:sz="8" w:space="0" w:color="000000"/>
            </w:tcBorders>
          </w:tcPr>
          <w:p>
            <w:pPr>
              <w:pStyle w:val="TableParagraph"/>
              <w:spacing w:line="279" w:lineRule="exact" w:before="20"/>
              <w:ind w:right="186"/>
              <w:rPr>
                <w:sz w:val="24"/>
              </w:rPr>
            </w:pPr>
            <w:r>
              <w:rPr>
                <w:spacing w:val="-4"/>
                <w:sz w:val="24"/>
              </w:rPr>
              <w:t>Mean</w:t>
            </w:r>
          </w:p>
        </w:tc>
        <w:tc>
          <w:tcPr>
            <w:tcW w:w="1635" w:type="dxa"/>
            <w:tcBorders>
              <w:top w:val="single" w:sz="8" w:space="0" w:color="000000"/>
              <w:bottom w:val="single" w:sz="8" w:space="0" w:color="000000"/>
            </w:tcBorders>
          </w:tcPr>
          <w:p>
            <w:pPr>
              <w:pStyle w:val="TableParagraph"/>
              <w:spacing w:line="279" w:lineRule="exact" w:before="20"/>
              <w:ind w:left="79"/>
              <w:rPr>
                <w:sz w:val="24"/>
              </w:rPr>
            </w:pPr>
            <w:r>
              <w:rPr>
                <w:spacing w:val="-5"/>
                <w:sz w:val="24"/>
              </w:rPr>
              <w:t>SD</w:t>
            </w:r>
          </w:p>
        </w:tc>
        <w:tc>
          <w:tcPr>
            <w:tcW w:w="1836" w:type="dxa"/>
            <w:tcBorders>
              <w:top w:val="single" w:sz="8" w:space="0" w:color="000000"/>
              <w:bottom w:val="single" w:sz="8" w:space="0" w:color="000000"/>
            </w:tcBorders>
          </w:tcPr>
          <w:p>
            <w:pPr>
              <w:pStyle w:val="TableParagraph"/>
              <w:spacing w:line="279" w:lineRule="exact" w:before="20"/>
              <w:ind w:left="163"/>
              <w:rPr>
                <w:sz w:val="24"/>
              </w:rPr>
            </w:pPr>
            <w:r>
              <w:rPr>
                <w:spacing w:val="-2"/>
                <w:sz w:val="24"/>
              </w:rPr>
              <w:t>Category</w:t>
            </w:r>
          </w:p>
        </w:tc>
      </w:tr>
      <w:tr>
        <w:trPr>
          <w:trHeight w:val="348" w:hRule="atLeast"/>
        </w:trPr>
        <w:tc>
          <w:tcPr>
            <w:tcW w:w="2361" w:type="dxa"/>
            <w:tcBorders>
              <w:top w:val="single" w:sz="8" w:space="0" w:color="000000"/>
            </w:tcBorders>
          </w:tcPr>
          <w:p>
            <w:pPr>
              <w:pStyle w:val="TableParagraph"/>
              <w:spacing w:before="18"/>
              <w:ind w:right="104"/>
              <w:rPr>
                <w:sz w:val="24"/>
              </w:rPr>
            </w:pPr>
            <w:r>
              <w:rPr>
                <w:sz w:val="24"/>
              </w:rPr>
              <w:t>Critical</w:t>
            </w:r>
            <w:r>
              <w:rPr>
                <w:spacing w:val="-2"/>
                <w:sz w:val="24"/>
              </w:rPr>
              <w:t> Thinking</w:t>
            </w:r>
          </w:p>
        </w:tc>
        <w:tc>
          <w:tcPr>
            <w:tcW w:w="1667" w:type="dxa"/>
            <w:tcBorders>
              <w:top w:val="single" w:sz="8" w:space="0" w:color="000000"/>
            </w:tcBorders>
          </w:tcPr>
          <w:p>
            <w:pPr>
              <w:pStyle w:val="TableParagraph"/>
              <w:spacing w:before="18"/>
              <w:ind w:right="186"/>
              <w:rPr>
                <w:sz w:val="24"/>
              </w:rPr>
            </w:pPr>
            <w:r>
              <w:rPr>
                <w:spacing w:val="-4"/>
                <w:sz w:val="24"/>
              </w:rPr>
              <w:t>3.86</w:t>
            </w:r>
          </w:p>
        </w:tc>
        <w:tc>
          <w:tcPr>
            <w:tcW w:w="1635" w:type="dxa"/>
            <w:tcBorders>
              <w:top w:val="single" w:sz="8" w:space="0" w:color="000000"/>
            </w:tcBorders>
          </w:tcPr>
          <w:p>
            <w:pPr>
              <w:pStyle w:val="TableParagraph"/>
              <w:spacing w:before="18"/>
              <w:ind w:left="79"/>
              <w:rPr>
                <w:sz w:val="24"/>
              </w:rPr>
            </w:pPr>
            <w:r>
              <w:rPr>
                <w:spacing w:val="-4"/>
                <w:sz w:val="24"/>
              </w:rPr>
              <w:t>0.58</w:t>
            </w:r>
          </w:p>
        </w:tc>
        <w:tc>
          <w:tcPr>
            <w:tcW w:w="1836" w:type="dxa"/>
            <w:tcBorders>
              <w:top w:val="single" w:sz="8" w:space="0" w:color="000000"/>
            </w:tcBorders>
          </w:tcPr>
          <w:p>
            <w:pPr>
              <w:pStyle w:val="TableParagraph"/>
              <w:spacing w:before="18"/>
              <w:ind w:left="163"/>
              <w:rPr>
                <w:sz w:val="24"/>
              </w:rPr>
            </w:pPr>
            <w:r>
              <w:rPr>
                <w:spacing w:val="-4"/>
                <w:sz w:val="24"/>
              </w:rPr>
              <w:t>Good</w:t>
            </w:r>
          </w:p>
        </w:tc>
      </w:tr>
      <w:tr>
        <w:trPr>
          <w:trHeight w:val="322" w:hRule="atLeast"/>
        </w:trPr>
        <w:tc>
          <w:tcPr>
            <w:tcW w:w="2361" w:type="dxa"/>
          </w:tcPr>
          <w:p>
            <w:pPr>
              <w:pStyle w:val="TableParagraph"/>
              <w:spacing w:line="286" w:lineRule="exact"/>
              <w:ind w:right="104"/>
              <w:rPr>
                <w:sz w:val="24"/>
              </w:rPr>
            </w:pPr>
            <w:r>
              <w:rPr>
                <w:spacing w:val="-2"/>
                <w:sz w:val="24"/>
              </w:rPr>
              <w:t>Creativity</w:t>
            </w:r>
          </w:p>
        </w:tc>
        <w:tc>
          <w:tcPr>
            <w:tcW w:w="1667" w:type="dxa"/>
          </w:tcPr>
          <w:p>
            <w:pPr>
              <w:pStyle w:val="TableParagraph"/>
              <w:spacing w:line="286" w:lineRule="exact"/>
              <w:ind w:right="186"/>
              <w:rPr>
                <w:sz w:val="24"/>
              </w:rPr>
            </w:pPr>
            <w:r>
              <w:rPr>
                <w:spacing w:val="-4"/>
                <w:sz w:val="24"/>
              </w:rPr>
              <w:t>3.85</w:t>
            </w:r>
          </w:p>
        </w:tc>
        <w:tc>
          <w:tcPr>
            <w:tcW w:w="1635" w:type="dxa"/>
          </w:tcPr>
          <w:p>
            <w:pPr>
              <w:pStyle w:val="TableParagraph"/>
              <w:spacing w:line="286" w:lineRule="exact"/>
              <w:ind w:left="79"/>
              <w:rPr>
                <w:sz w:val="24"/>
              </w:rPr>
            </w:pPr>
            <w:r>
              <w:rPr>
                <w:spacing w:val="-4"/>
                <w:sz w:val="24"/>
              </w:rPr>
              <w:t>0.77</w:t>
            </w:r>
          </w:p>
        </w:tc>
        <w:tc>
          <w:tcPr>
            <w:tcW w:w="1836" w:type="dxa"/>
          </w:tcPr>
          <w:p>
            <w:pPr>
              <w:pStyle w:val="TableParagraph"/>
              <w:spacing w:line="286" w:lineRule="exact"/>
              <w:ind w:left="163"/>
              <w:rPr>
                <w:sz w:val="24"/>
              </w:rPr>
            </w:pPr>
            <w:r>
              <w:rPr>
                <w:spacing w:val="-4"/>
                <w:sz w:val="24"/>
              </w:rPr>
              <w:t>Good</w:t>
            </w:r>
          </w:p>
        </w:tc>
      </w:tr>
      <w:tr>
        <w:trPr>
          <w:trHeight w:val="322" w:hRule="atLeast"/>
        </w:trPr>
        <w:tc>
          <w:tcPr>
            <w:tcW w:w="2361" w:type="dxa"/>
          </w:tcPr>
          <w:p>
            <w:pPr>
              <w:pStyle w:val="TableParagraph"/>
              <w:spacing w:line="286" w:lineRule="exact"/>
              <w:ind w:right="104"/>
              <w:rPr>
                <w:sz w:val="24"/>
              </w:rPr>
            </w:pPr>
            <w:r>
              <w:rPr>
                <w:spacing w:val="-2"/>
                <w:sz w:val="24"/>
              </w:rPr>
              <w:t>Collaboration</w:t>
            </w:r>
          </w:p>
        </w:tc>
        <w:tc>
          <w:tcPr>
            <w:tcW w:w="1667" w:type="dxa"/>
          </w:tcPr>
          <w:p>
            <w:pPr>
              <w:pStyle w:val="TableParagraph"/>
              <w:spacing w:line="286" w:lineRule="exact"/>
              <w:ind w:right="186"/>
              <w:rPr>
                <w:sz w:val="24"/>
              </w:rPr>
            </w:pPr>
            <w:r>
              <w:rPr>
                <w:spacing w:val="-4"/>
                <w:sz w:val="24"/>
              </w:rPr>
              <w:t>3.90</w:t>
            </w:r>
          </w:p>
        </w:tc>
        <w:tc>
          <w:tcPr>
            <w:tcW w:w="1635" w:type="dxa"/>
          </w:tcPr>
          <w:p>
            <w:pPr>
              <w:pStyle w:val="TableParagraph"/>
              <w:spacing w:line="286" w:lineRule="exact"/>
              <w:ind w:left="79"/>
              <w:rPr>
                <w:sz w:val="24"/>
              </w:rPr>
            </w:pPr>
            <w:r>
              <w:rPr>
                <w:spacing w:val="-4"/>
                <w:sz w:val="24"/>
              </w:rPr>
              <w:t>0.87</w:t>
            </w:r>
          </w:p>
        </w:tc>
        <w:tc>
          <w:tcPr>
            <w:tcW w:w="1836" w:type="dxa"/>
          </w:tcPr>
          <w:p>
            <w:pPr>
              <w:pStyle w:val="TableParagraph"/>
              <w:spacing w:line="286" w:lineRule="exact"/>
              <w:ind w:left="163"/>
              <w:rPr>
                <w:sz w:val="24"/>
              </w:rPr>
            </w:pPr>
            <w:r>
              <w:rPr>
                <w:spacing w:val="-4"/>
                <w:sz w:val="24"/>
              </w:rPr>
              <w:t>Good</w:t>
            </w:r>
          </w:p>
        </w:tc>
      </w:tr>
      <w:tr>
        <w:trPr>
          <w:trHeight w:val="285" w:hRule="atLeast"/>
        </w:trPr>
        <w:tc>
          <w:tcPr>
            <w:tcW w:w="2361" w:type="dxa"/>
            <w:tcBorders>
              <w:bottom w:val="single" w:sz="8" w:space="0" w:color="000000"/>
            </w:tcBorders>
          </w:tcPr>
          <w:p>
            <w:pPr>
              <w:pStyle w:val="TableParagraph"/>
              <w:spacing w:line="265" w:lineRule="exact"/>
              <w:ind w:right="104"/>
              <w:rPr>
                <w:sz w:val="24"/>
              </w:rPr>
            </w:pPr>
            <w:r>
              <w:rPr>
                <w:spacing w:val="-2"/>
                <w:sz w:val="24"/>
              </w:rPr>
              <w:t>Communication</w:t>
            </w:r>
          </w:p>
        </w:tc>
        <w:tc>
          <w:tcPr>
            <w:tcW w:w="1667" w:type="dxa"/>
            <w:tcBorders>
              <w:bottom w:val="single" w:sz="8" w:space="0" w:color="000000"/>
            </w:tcBorders>
          </w:tcPr>
          <w:p>
            <w:pPr>
              <w:pStyle w:val="TableParagraph"/>
              <w:spacing w:line="265" w:lineRule="exact"/>
              <w:ind w:right="186"/>
              <w:rPr>
                <w:sz w:val="24"/>
              </w:rPr>
            </w:pPr>
            <w:r>
              <w:rPr>
                <w:spacing w:val="-4"/>
                <w:sz w:val="24"/>
              </w:rPr>
              <w:t>3.80</w:t>
            </w:r>
          </w:p>
        </w:tc>
        <w:tc>
          <w:tcPr>
            <w:tcW w:w="1635" w:type="dxa"/>
            <w:tcBorders>
              <w:bottom w:val="single" w:sz="8" w:space="0" w:color="000000"/>
            </w:tcBorders>
          </w:tcPr>
          <w:p>
            <w:pPr>
              <w:pStyle w:val="TableParagraph"/>
              <w:spacing w:line="265" w:lineRule="exact"/>
              <w:ind w:left="79"/>
              <w:rPr>
                <w:sz w:val="24"/>
              </w:rPr>
            </w:pPr>
            <w:r>
              <w:rPr>
                <w:spacing w:val="-4"/>
                <w:sz w:val="24"/>
              </w:rPr>
              <w:t>0.66</w:t>
            </w:r>
          </w:p>
        </w:tc>
        <w:tc>
          <w:tcPr>
            <w:tcW w:w="1836" w:type="dxa"/>
            <w:tcBorders>
              <w:bottom w:val="single" w:sz="8" w:space="0" w:color="000000"/>
            </w:tcBorders>
          </w:tcPr>
          <w:p>
            <w:pPr>
              <w:pStyle w:val="TableParagraph"/>
              <w:spacing w:line="265" w:lineRule="exact"/>
              <w:ind w:left="163"/>
              <w:rPr>
                <w:sz w:val="24"/>
              </w:rPr>
            </w:pPr>
            <w:r>
              <w:rPr>
                <w:spacing w:val="-4"/>
                <w:sz w:val="24"/>
              </w:rPr>
              <w:t>Good</w:t>
            </w:r>
          </w:p>
        </w:tc>
      </w:tr>
    </w:tbl>
    <w:p>
      <w:pPr>
        <w:pStyle w:val="TableParagraph"/>
        <w:spacing w:after="0" w:line="265" w:lineRule="exact"/>
        <w:rPr>
          <w:sz w:val="24"/>
        </w:rPr>
        <w:sectPr>
          <w:pgSz w:w="12240" w:h="15840"/>
          <w:pgMar w:header="1168" w:footer="1200" w:top="1360" w:bottom="1460" w:left="1080" w:right="1080"/>
        </w:sectPr>
      </w:pPr>
    </w:p>
    <w:p>
      <w:pPr>
        <w:pStyle w:val="BodyText"/>
        <w:spacing w:before="121" w:after="1"/>
        <w:ind w:left="0"/>
        <w:jc w:val="left"/>
        <w:rPr>
          <w:sz w:val="20"/>
        </w:rPr>
      </w:pPr>
    </w:p>
    <w:p>
      <w:pPr>
        <w:spacing w:line="20" w:lineRule="exact"/>
        <w:ind w:left="340" w:right="0" w:firstLine="0"/>
        <w:rPr>
          <w:sz w:val="2"/>
        </w:rPr>
      </w:pPr>
      <w:r>
        <w:rPr>
          <w:sz w:val="2"/>
        </w:rPr>
        <mc:AlternateContent>
          <mc:Choice Requires="wps">
            <w:drawing>
              <wp:inline distT="0" distB="0" distL="0" distR="0">
                <wp:extent cx="5969000" cy="12700"/>
                <wp:effectExtent l="9525" t="0" r="3175" b="6350"/>
                <wp:docPr id="8" name="Group 8"/>
                <wp:cNvGraphicFramePr>
                  <a:graphicFrameLocks/>
                </wp:cNvGraphicFramePr>
                <a:graphic>
                  <a:graphicData uri="http://schemas.microsoft.com/office/word/2010/wordprocessingGroup">
                    <wpg:wgp>
                      <wpg:cNvPr id="8" name="Group 8"/>
                      <wpg:cNvGrpSpPr/>
                      <wpg:grpSpPr>
                        <a:xfrm>
                          <a:off x="0" y="0"/>
                          <a:ext cx="5969000" cy="12700"/>
                          <a:chExt cx="5969000" cy="12700"/>
                        </a:xfrm>
                      </wpg:grpSpPr>
                      <wps:wsp>
                        <wps:cNvPr id="9" name="Graphic 9"/>
                        <wps:cNvSpPr/>
                        <wps:spPr>
                          <a:xfrm>
                            <a:off x="0" y="635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0pt;height:1pt;mso-position-horizontal-relative:char;mso-position-vertical-relative:line" id="docshapegroup4" coordorigin="0,0" coordsize="9400,20">
                <v:line style="position:absolute" from="0,10" to="9400,10" stroked="true" strokeweight="1.0pt" strokecolor="#000000">
                  <v:stroke dashstyle="solid"/>
                </v:line>
              </v:group>
            </w:pict>
          </mc:Fallback>
        </mc:AlternateContent>
      </w:r>
      <w:r>
        <w:rPr>
          <w:sz w:val="2"/>
        </w:rPr>
      </w:r>
    </w:p>
    <w:p>
      <w:pPr>
        <w:pStyle w:val="BodyText"/>
        <w:spacing w:line="276" w:lineRule="auto"/>
        <w:ind w:right="336" w:firstLine="705"/>
      </w:pPr>
      <w:r>
        <w:rPr/>
        <w:t>The data analysis in Table 2 regarding the Average Skills Based on 4C indicates that students at SMP Negeri 7 Pekalongan possess adequate competencies to support 21st-century 4C skills. All measured aspects Critical Thinking, Creativity, Collaboration, and Communication fall within the 'Good' category. Specifically, the collaboration aspect attained the highest mean score (3.90), followed by critical thinking (3.86), creativity (3.85), and communication (3.80). These findings are reinforced by Pratama and Retnawati (2019), who state that integrating 4C skills at the junior high school level is an urgent necessity to address the complexity of</w:t>
      </w:r>
      <w:r>
        <w:rPr>
          <w:spacing w:val="-4"/>
        </w:rPr>
        <w:t> </w:t>
      </w:r>
      <w:r>
        <w:rPr/>
        <w:t>modern learning materials. However, Mardhiyah et al. (2021) caution that maintaining a 'good' qualification requires continuous innovation to ensure</w:t>
      </w:r>
      <w:r>
        <w:rPr>
          <w:spacing w:val="-7"/>
        </w:rPr>
        <w:t> </w:t>
      </w:r>
      <w:r>
        <w:rPr/>
        <w:t>that</w:t>
      </w:r>
      <w:r>
        <w:rPr>
          <w:spacing w:val="-7"/>
        </w:rPr>
        <w:t> </w:t>
      </w:r>
      <w:r>
        <w:rPr/>
        <w:t>student</w:t>
      </w:r>
      <w:r>
        <w:rPr>
          <w:spacing w:val="-7"/>
        </w:rPr>
        <w:t> </w:t>
      </w:r>
      <w:r>
        <w:rPr/>
        <w:t>learning</w:t>
      </w:r>
      <w:r>
        <w:rPr>
          <w:spacing w:val="-7"/>
        </w:rPr>
        <w:t> </w:t>
      </w:r>
      <w:r>
        <w:rPr/>
        <w:t>motivation</w:t>
      </w:r>
      <w:r>
        <w:rPr>
          <w:spacing w:val="-7"/>
        </w:rPr>
        <w:t> </w:t>
      </w:r>
      <w:r>
        <w:rPr/>
        <w:t>remains </w:t>
      </w:r>
      <w:r>
        <w:rPr>
          <w:spacing w:val="-2"/>
        </w:rPr>
        <w:t>stable.</w:t>
      </w:r>
    </w:p>
    <w:p>
      <w:pPr>
        <w:pStyle w:val="BodyText"/>
        <w:spacing w:before="42"/>
        <w:ind w:left="0"/>
        <w:jc w:val="left"/>
      </w:pPr>
    </w:p>
    <w:p>
      <w:pPr>
        <w:pStyle w:val="Heading2"/>
        <w:jc w:val="both"/>
      </w:pPr>
      <w:r>
        <w:rPr/>
        <w:t>Critical</w:t>
      </w:r>
      <w:r>
        <w:rPr>
          <w:spacing w:val="-2"/>
        </w:rPr>
        <w:t> Thinking</w:t>
      </w:r>
    </w:p>
    <w:p>
      <w:pPr>
        <w:pStyle w:val="BodyText"/>
        <w:spacing w:line="276" w:lineRule="auto" w:before="44"/>
        <w:ind w:right="337" w:firstLine="705"/>
      </w:pPr>
      <w:r>
        <w:rPr/>
        <w:t>Referring to the data presented in Table 2, it is observed that the average score for the critical thinking variable reached 3.86,</w:t>
      </w:r>
      <w:r>
        <w:rPr>
          <w:spacing w:val="-5"/>
        </w:rPr>
        <w:t> </w:t>
      </w:r>
      <w:r>
        <w:rPr/>
        <w:t>placing</w:t>
      </w:r>
      <w:r>
        <w:rPr>
          <w:spacing w:val="-5"/>
        </w:rPr>
        <w:t> </w:t>
      </w:r>
      <w:r>
        <w:rPr/>
        <w:t>this</w:t>
      </w:r>
      <w:r>
        <w:rPr>
          <w:spacing w:val="-5"/>
        </w:rPr>
        <w:t> </w:t>
      </w:r>
      <w:r>
        <w:rPr/>
        <w:t>achievement</w:t>
      </w:r>
      <w:r>
        <w:rPr>
          <w:spacing w:val="-5"/>
        </w:rPr>
        <w:t> </w:t>
      </w:r>
      <w:r>
        <w:rPr/>
        <w:t>in</w:t>
      </w:r>
      <w:r>
        <w:rPr>
          <w:spacing w:val="-5"/>
        </w:rPr>
        <w:t> </w:t>
      </w:r>
      <w:r>
        <w:rPr/>
        <w:t>the</w:t>
      </w:r>
      <w:r>
        <w:rPr>
          <w:spacing w:val="-5"/>
        </w:rPr>
        <w:t> </w:t>
      </w:r>
      <w:r>
        <w:rPr/>
        <w:t>"good"</w:t>
      </w:r>
      <w:r>
        <w:rPr>
          <w:spacing w:val="-5"/>
        </w:rPr>
        <w:t> </w:t>
      </w:r>
      <w:r>
        <w:rPr/>
        <w:t>qualification.</w:t>
      </w:r>
      <w:r>
        <w:rPr>
          <w:spacing w:val="40"/>
        </w:rPr>
        <w:t> </w:t>
      </w:r>
      <w:r>
        <w:rPr/>
        <w:t>This data representation provides an objective illustration that students</w:t>
      </w:r>
      <w:r>
        <w:rPr>
          <w:spacing w:val="-7"/>
        </w:rPr>
        <w:t> </w:t>
      </w:r>
      <w:r>
        <w:rPr/>
        <w:t>at</w:t>
      </w:r>
      <w:r>
        <w:rPr>
          <w:spacing w:val="-7"/>
        </w:rPr>
        <w:t> </w:t>
      </w:r>
      <w:r>
        <w:rPr/>
        <w:t>SMP</w:t>
      </w:r>
      <w:r>
        <w:rPr>
          <w:spacing w:val="-7"/>
        </w:rPr>
        <w:t> </w:t>
      </w:r>
      <w:r>
        <w:rPr/>
        <w:t>Negeri</w:t>
      </w:r>
      <w:r>
        <w:rPr>
          <w:spacing w:val="-7"/>
        </w:rPr>
        <w:t> </w:t>
      </w:r>
      <w:r>
        <w:rPr/>
        <w:t>7</w:t>
      </w:r>
      <w:r>
        <w:rPr>
          <w:spacing w:val="-7"/>
        </w:rPr>
        <w:t> </w:t>
      </w:r>
      <w:r>
        <w:rPr/>
        <w:t>Pekalongan have demonstrated competent critical reasoning capabilities throughout the instructional process at the school.</w:t>
      </w:r>
      <w:r>
        <w:rPr>
          <w:spacing w:val="-5"/>
        </w:rPr>
        <w:t> </w:t>
      </w:r>
      <w:r>
        <w:rPr/>
        <w:t>Within</w:t>
      </w:r>
      <w:r>
        <w:rPr>
          <w:spacing w:val="-5"/>
        </w:rPr>
        <w:t> </w:t>
      </w:r>
      <w:r>
        <w:rPr/>
        <w:t>the</w:t>
      </w:r>
      <w:r>
        <w:rPr>
          <w:spacing w:val="-5"/>
        </w:rPr>
        <w:t> </w:t>
      </w:r>
      <w:r>
        <w:rPr/>
        <w:t>context</w:t>
      </w:r>
      <w:r>
        <w:rPr>
          <w:spacing w:val="-5"/>
        </w:rPr>
        <w:t> </w:t>
      </w:r>
      <w:r>
        <w:rPr/>
        <w:t>of</w:t>
      </w:r>
      <w:r>
        <w:rPr>
          <w:spacing w:val="-5"/>
        </w:rPr>
        <w:t> </w:t>
      </w:r>
      <w:r>
        <w:rPr/>
        <w:t>this</w:t>
      </w:r>
      <w:r>
        <w:rPr>
          <w:spacing w:val="-5"/>
        </w:rPr>
        <w:t> </w:t>
      </w:r>
      <w:r>
        <w:rPr/>
        <w:t>investigation,</w:t>
      </w:r>
      <w:r>
        <w:rPr>
          <w:spacing w:val="-5"/>
        </w:rPr>
        <w:t> </w:t>
      </w:r>
      <w:r>
        <w:rPr/>
        <w:t>the</w:t>
      </w:r>
      <w:r>
        <w:rPr>
          <w:spacing w:val="-5"/>
        </w:rPr>
        <w:t> </w:t>
      </w:r>
      <w:r>
        <w:rPr/>
        <w:t>construct</w:t>
      </w:r>
      <w:r>
        <w:rPr>
          <w:spacing w:val="-5"/>
        </w:rPr>
        <w:t> </w:t>
      </w:r>
      <w:r>
        <w:rPr/>
        <w:t>of</w:t>
      </w:r>
      <w:r>
        <w:rPr>
          <w:spacing w:val="-5"/>
        </w:rPr>
        <w:t> </w:t>
      </w:r>
      <w:r>
        <w:rPr/>
        <w:t>critical</w:t>
      </w:r>
      <w:r>
        <w:rPr>
          <w:spacing w:val="-5"/>
        </w:rPr>
        <w:t> </w:t>
      </w:r>
      <w:r>
        <w:rPr/>
        <w:t>thinking</w:t>
      </w:r>
      <w:r>
        <w:rPr>
          <w:spacing w:val="-5"/>
        </w:rPr>
        <w:t> </w:t>
      </w:r>
      <w:r>
        <w:rPr/>
        <w:t>is contextualized as the proficiency in assimilating information, exploring supplementary learning references, integrating various knowledge sources, and formulating solutions to problems through a rational and systematic framework. The attainment of this "good" category indicates that the majority of students possess the cognitive readiness to construct understanding and analyze the essence of</w:t>
      </w:r>
      <w:r>
        <w:rPr>
          <w:spacing w:val="-5"/>
        </w:rPr>
        <w:t> </w:t>
      </w:r>
      <w:r>
        <w:rPr/>
        <w:t>learning</w:t>
      </w:r>
      <w:r>
        <w:rPr>
          <w:spacing w:val="-5"/>
        </w:rPr>
        <w:t> </w:t>
      </w:r>
      <w:r>
        <w:rPr/>
        <w:t>materials</w:t>
      </w:r>
      <w:r>
        <w:rPr>
          <w:spacing w:val="-5"/>
        </w:rPr>
        <w:t> </w:t>
      </w:r>
      <w:r>
        <w:rPr/>
        <w:t>more</w:t>
      </w:r>
      <w:r>
        <w:rPr>
          <w:spacing w:val="-5"/>
        </w:rPr>
        <w:t> </w:t>
      </w:r>
      <w:r>
        <w:rPr/>
        <w:t>holistically</w:t>
      </w:r>
      <w:r>
        <w:rPr>
          <w:spacing w:val="-5"/>
        </w:rPr>
        <w:t> </w:t>
      </w:r>
      <w:r>
        <w:rPr/>
        <w:t>and</w:t>
      </w:r>
      <w:r>
        <w:rPr>
          <w:spacing w:val="-5"/>
        </w:rPr>
        <w:t> </w:t>
      </w:r>
      <w:r>
        <w:rPr/>
        <w:t>deeply.</w:t>
      </w:r>
      <w:r>
        <w:rPr>
          <w:spacing w:val="-5"/>
        </w:rPr>
        <w:t> </w:t>
      </w:r>
      <w:r>
        <w:rPr/>
        <w:t>The</w:t>
      </w:r>
      <w:r>
        <w:rPr>
          <w:spacing w:val="-5"/>
        </w:rPr>
        <w:t> </w:t>
      </w:r>
      <w:r>
        <w:rPr/>
        <w:t>urgency</w:t>
      </w:r>
      <w:r>
        <w:rPr>
          <w:spacing w:val="-5"/>
        </w:rPr>
        <w:t> </w:t>
      </w:r>
      <w:r>
        <w:rPr/>
        <w:t>of</w:t>
      </w:r>
      <w:r>
        <w:rPr>
          <w:spacing w:val="-5"/>
        </w:rPr>
        <w:t> </w:t>
      </w:r>
      <w:r>
        <w:rPr/>
        <w:t>this</w:t>
      </w:r>
      <w:r>
        <w:rPr>
          <w:spacing w:val="-5"/>
        </w:rPr>
        <w:t> </w:t>
      </w:r>
      <w:r>
        <w:rPr/>
        <w:t>skill</w:t>
      </w:r>
      <w:r>
        <w:rPr>
          <w:spacing w:val="-5"/>
        </w:rPr>
        <w:t> </w:t>
      </w:r>
      <w:r>
        <w:rPr/>
        <w:t>is highly crucial within the 21st-century educational ecosystem, where learning orientation no longer focuses on traditional rote memorization but rather emphasizes students' ability to examine, analyze, and evaluate the flow of information they receive. Consistent with the perspective of Sari and Wardhani (2020), the mastery of critical reasoning is regarded as an essential component within the learning and innovation skills cluster, as it significantly aids students in processing data logically to create</w:t>
      </w:r>
      <w:r>
        <w:rPr>
          <w:spacing w:val="-5"/>
        </w:rPr>
        <w:t> </w:t>
      </w:r>
      <w:r>
        <w:rPr/>
        <w:t>more</w:t>
      </w:r>
      <w:r>
        <w:rPr>
          <w:spacing w:val="-5"/>
        </w:rPr>
        <w:t> </w:t>
      </w:r>
      <w:r>
        <w:rPr/>
        <w:t>profound</w:t>
      </w:r>
      <w:r>
        <w:rPr>
          <w:spacing w:val="-5"/>
        </w:rPr>
        <w:t> </w:t>
      </w:r>
      <w:r>
        <w:rPr/>
        <w:t>learning</w:t>
      </w:r>
      <w:r>
        <w:rPr>
          <w:spacing w:val="-5"/>
        </w:rPr>
        <w:t> </w:t>
      </w:r>
      <w:r>
        <w:rPr/>
        <w:t>meaning.</w:t>
      </w:r>
      <w:r>
        <w:rPr>
          <w:spacing w:val="-5"/>
        </w:rPr>
        <w:t> </w:t>
      </w:r>
      <w:r>
        <w:rPr/>
        <w:t>This</w:t>
      </w:r>
      <w:r>
        <w:rPr>
          <w:spacing w:val="-5"/>
        </w:rPr>
        <w:t> </w:t>
      </w:r>
      <w:r>
        <w:rPr/>
        <w:t>aligns</w:t>
      </w:r>
      <w:r>
        <w:rPr>
          <w:spacing w:val="-5"/>
        </w:rPr>
        <w:t> </w:t>
      </w:r>
      <w:r>
        <w:rPr/>
        <w:t>with the definition by Hidayah et al. (2020), which asserts that critical thinking indicators for junior high school students must include the ability to</w:t>
      </w:r>
      <w:r>
        <w:rPr>
          <w:spacing w:val="-7"/>
        </w:rPr>
        <w:t> </w:t>
      </w:r>
      <w:r>
        <w:rPr/>
        <w:t>evaluate</w:t>
      </w:r>
      <w:r>
        <w:rPr>
          <w:spacing w:val="-7"/>
        </w:rPr>
        <w:t> </w:t>
      </w:r>
      <w:r>
        <w:rPr/>
        <w:t>arguments</w:t>
      </w:r>
      <w:r>
        <w:rPr>
          <w:spacing w:val="-7"/>
        </w:rPr>
        <w:t> </w:t>
      </w:r>
      <w:r>
        <w:rPr/>
        <w:t>logically</w:t>
      </w:r>
      <w:r>
        <w:rPr>
          <w:spacing w:val="-7"/>
        </w:rPr>
        <w:t> </w:t>
      </w:r>
      <w:r>
        <w:rPr/>
        <w:t>and</w:t>
      </w:r>
      <w:r>
        <w:rPr>
          <w:spacing w:val="-7"/>
        </w:rPr>
        <w:t> </w:t>
      </w:r>
      <w:r>
        <w:rPr/>
        <w:t>systematically. Furthermore, this sharp critical thinking serves as an important instrument for students in decision-making, problem-solving, and taking accurate corrective actions based on available </w:t>
      </w:r>
      <w:r>
        <w:rPr>
          <w:spacing w:val="-2"/>
        </w:rPr>
        <w:t>data.</w:t>
      </w:r>
    </w:p>
    <w:p>
      <w:pPr>
        <w:pStyle w:val="BodyText"/>
        <w:spacing w:line="276" w:lineRule="auto"/>
        <w:ind w:right="337" w:firstLine="705"/>
      </w:pPr>
      <w:r>
        <w:rPr/>
        <w:t>The findings of this study indicate that the research subjects possess adequate capabilities in exploring various learning instruments to stimulate their critical reasoning. This manifestation of ability is confirmed by the relatively good scores achieved in the indicators of searching</w:t>
      </w:r>
      <w:r>
        <w:rPr>
          <w:spacing w:val="7"/>
        </w:rPr>
        <w:t> </w:t>
      </w:r>
      <w:r>
        <w:rPr/>
        <w:t>for</w:t>
      </w:r>
      <w:r>
        <w:rPr>
          <w:spacing w:val="8"/>
        </w:rPr>
        <w:t> </w:t>
      </w:r>
      <w:r>
        <w:rPr/>
        <w:t>external</w:t>
      </w:r>
      <w:r>
        <w:rPr>
          <w:spacing w:val="8"/>
        </w:rPr>
        <w:t> </w:t>
      </w:r>
      <w:r>
        <w:rPr/>
        <w:t>references</w:t>
      </w:r>
      <w:r>
        <w:rPr>
          <w:spacing w:val="8"/>
        </w:rPr>
        <w:t> </w:t>
      </w:r>
      <w:r>
        <w:rPr/>
        <w:t>and</w:t>
      </w:r>
      <w:r>
        <w:rPr>
          <w:spacing w:val="8"/>
        </w:rPr>
        <w:t> </w:t>
      </w:r>
      <w:r>
        <w:rPr/>
        <w:t>integrating</w:t>
      </w:r>
      <w:r>
        <w:rPr>
          <w:spacing w:val="8"/>
        </w:rPr>
        <w:t> </w:t>
      </w:r>
      <w:r>
        <w:rPr/>
        <w:t>data</w:t>
      </w:r>
      <w:r>
        <w:rPr>
          <w:spacing w:val="8"/>
        </w:rPr>
        <w:t> </w:t>
      </w:r>
      <w:r>
        <w:rPr/>
        <w:t>from</w:t>
      </w:r>
      <w:r>
        <w:rPr>
          <w:spacing w:val="-5"/>
        </w:rPr>
        <w:t> </w:t>
      </w:r>
      <w:r>
        <w:rPr/>
        <w:t>diverse</w:t>
      </w:r>
      <w:r>
        <w:rPr>
          <w:spacing w:val="-6"/>
        </w:rPr>
        <w:t> </w:t>
      </w:r>
      <w:r>
        <w:rPr/>
        <w:t>information</w:t>
      </w:r>
      <w:r>
        <w:rPr>
          <w:spacing w:val="-5"/>
        </w:rPr>
        <w:t> </w:t>
      </w:r>
      <w:r>
        <w:rPr/>
        <w:t>channels.</w:t>
      </w:r>
      <w:r>
        <w:rPr>
          <w:spacing w:val="-6"/>
        </w:rPr>
        <w:t> </w:t>
      </w:r>
      <w:r>
        <w:rPr/>
        <w:t>In</w:t>
      </w:r>
      <w:r>
        <w:rPr>
          <w:spacing w:val="-5"/>
        </w:rPr>
        <w:t> the</w:t>
      </w:r>
    </w:p>
    <w:p>
      <w:pPr>
        <w:pStyle w:val="BodyText"/>
        <w:spacing w:after="0" w:line="276" w:lineRule="auto"/>
        <w:sectPr>
          <w:pgSz w:w="12240" w:h="15840"/>
          <w:pgMar w:header="1168" w:footer="1200" w:top="1360" w:bottom="1400" w:left="1080" w:right="1080"/>
        </w:sectPr>
      </w:pPr>
    </w:p>
    <w:p>
      <w:pPr>
        <w:spacing w:before="234"/>
        <w:ind w:left="338" w:right="0" w:firstLine="6070"/>
        <w:jc w:val="left"/>
        <w:rPr>
          <w:rFonts w:ascii="Cambria"/>
          <w:b/>
          <w:sz w:val="20"/>
        </w:rPr>
      </w:pPr>
      <w:r>
        <w:rPr>
          <w:rFonts w:ascii="Cambria"/>
          <w:b/>
          <w:sz w:val="20"/>
        </w:rPr>
        <w:t>Indonesian</w:t>
      </w:r>
      <w:r>
        <w:rPr>
          <w:rFonts w:ascii="Cambria"/>
          <w:b/>
          <w:spacing w:val="-11"/>
          <w:sz w:val="20"/>
        </w:rPr>
        <w:t> </w:t>
      </w:r>
      <w:r>
        <w:rPr>
          <w:rFonts w:ascii="Cambria"/>
          <w:b/>
          <w:sz w:val="20"/>
        </w:rPr>
        <w:t>Science</w:t>
      </w:r>
      <w:r>
        <w:rPr>
          <w:rFonts w:ascii="Cambria"/>
          <w:b/>
          <w:spacing w:val="-9"/>
          <w:sz w:val="20"/>
        </w:rPr>
        <w:t> </w:t>
      </w:r>
      <w:r>
        <w:rPr>
          <w:rFonts w:ascii="Cambria"/>
          <w:b/>
          <w:sz w:val="20"/>
        </w:rPr>
        <w:t>Education</w:t>
      </w:r>
      <w:r>
        <w:rPr>
          <w:rFonts w:ascii="Cambria"/>
          <w:b/>
          <w:spacing w:val="-8"/>
          <w:sz w:val="20"/>
        </w:rPr>
        <w:t> </w:t>
      </w:r>
      <w:r>
        <w:rPr>
          <w:rFonts w:ascii="Cambria"/>
          <w:b/>
          <w:spacing w:val="-2"/>
          <w:sz w:val="20"/>
        </w:rPr>
        <w:t>Letter</w:t>
      </w:r>
    </w:p>
    <w:p>
      <w:pPr>
        <w:pStyle w:val="BodyText"/>
        <w:spacing w:before="10"/>
        <w:ind w:left="0"/>
        <w:jc w:val="left"/>
        <w:rPr>
          <w:rFonts w:ascii="Cambria"/>
          <w:b/>
          <w:sz w:val="20"/>
        </w:rPr>
      </w:pPr>
    </w:p>
    <w:p>
      <w:pPr>
        <w:pStyle w:val="BodyText"/>
        <w:spacing w:line="276" w:lineRule="auto"/>
        <w:ind w:right="336"/>
      </w:pPr>
      <w:r>
        <w:rPr/>
        <w:t>contemporary educational paradigm, proficiency in navigating and managing information flows has become a fundamental competence for students to filter valid data amidst massive digital acceleration. Based on the perspective of Kennedy and Sundberg (2020), modern demands require students to be more proactive in sharpening their reasoning and problem-solving methodologies to maintain relevance within</w:t>
      </w:r>
      <w:r>
        <w:rPr>
          <w:spacing w:val="-4"/>
        </w:rPr>
        <w:t> </w:t>
      </w:r>
      <w:r>
        <w:rPr/>
        <w:t>global</w:t>
      </w:r>
      <w:r>
        <w:rPr>
          <w:spacing w:val="-4"/>
        </w:rPr>
        <w:t> </w:t>
      </w:r>
      <w:r>
        <w:rPr/>
        <w:t>dynamics.</w:t>
      </w:r>
      <w:r>
        <w:rPr>
          <w:spacing w:val="-4"/>
        </w:rPr>
        <w:t> </w:t>
      </w:r>
      <w:r>
        <w:rPr/>
        <w:t>On</w:t>
      </w:r>
      <w:r>
        <w:rPr>
          <w:spacing w:val="-4"/>
        </w:rPr>
        <w:t> </w:t>
      </w:r>
      <w:r>
        <w:rPr/>
        <w:t>the</w:t>
      </w:r>
      <w:r>
        <w:rPr>
          <w:spacing w:val="-4"/>
        </w:rPr>
        <w:t> </w:t>
      </w:r>
      <w:r>
        <w:rPr/>
        <w:t>other</w:t>
      </w:r>
      <w:r>
        <w:rPr>
          <w:spacing w:val="-4"/>
        </w:rPr>
        <w:t> </w:t>
      </w:r>
      <w:r>
        <w:rPr/>
        <w:t>hand,</w:t>
      </w:r>
      <w:r>
        <w:rPr>
          <w:spacing w:val="-4"/>
        </w:rPr>
        <w:t> </w:t>
      </w:r>
      <w:r>
        <w:rPr/>
        <w:t>fluctuations</w:t>
      </w:r>
      <w:r>
        <w:rPr>
          <w:spacing w:val="-4"/>
        </w:rPr>
        <w:t> </w:t>
      </w:r>
      <w:r>
        <w:rPr/>
        <w:t>in students' critical thinking levels are also significantly influenced by the instructional strategy variables implemented by educational institutions. Learning patterns that integrate analytical activities, discussion forums, and intellectual conflict resolution have proven effective in stimulating active cognitive engagement among students. Rohmah et al. (2021) argue that the application of the problem-based learning model can significantly escalate critical reasoning,</w:t>
      </w:r>
      <w:r>
        <w:rPr>
          <w:spacing w:val="-5"/>
        </w:rPr>
        <w:t> </w:t>
      </w:r>
      <w:r>
        <w:rPr/>
        <w:t>as students are positioned to construct solutions through investigative phases and measured logical</w:t>
      </w:r>
      <w:r>
        <w:rPr>
          <w:spacing w:val="80"/>
          <w:w w:val="150"/>
        </w:rPr>
        <w:t> </w:t>
      </w:r>
      <w:r>
        <w:rPr/>
        <w:t>reasoning.</w:t>
      </w:r>
      <w:r>
        <w:rPr>
          <w:spacing w:val="80"/>
          <w:w w:val="150"/>
        </w:rPr>
        <w:t> </w:t>
      </w:r>
      <w:r>
        <w:rPr/>
        <w:t>This</w:t>
      </w:r>
      <w:r>
        <w:rPr>
          <w:spacing w:val="80"/>
          <w:w w:val="150"/>
        </w:rPr>
        <w:t> </w:t>
      </w:r>
      <w:r>
        <w:rPr/>
        <w:t>phenomenon</w:t>
      </w:r>
      <w:r>
        <w:rPr>
          <w:spacing w:val="80"/>
          <w:w w:val="150"/>
        </w:rPr>
        <w:t> </w:t>
      </w:r>
      <w:r>
        <w:rPr/>
        <w:t>underscores</w:t>
      </w:r>
      <w:r>
        <w:rPr>
          <w:spacing w:val="80"/>
          <w:w w:val="150"/>
        </w:rPr>
        <w:t> </w:t>
      </w:r>
      <w:r>
        <w:rPr/>
        <w:t>that</w:t>
      </w:r>
      <w:r>
        <w:rPr>
          <w:spacing w:val="80"/>
          <w:w w:val="150"/>
        </w:rPr>
        <w:t> </w:t>
      </w:r>
      <w:r>
        <w:rPr/>
        <w:t>intellectually</w:t>
      </w:r>
      <w:r>
        <w:rPr>
          <w:spacing w:val="80"/>
          <w:w w:val="150"/>
        </w:rPr>
        <w:t> </w:t>
      </w:r>
      <w:r>
        <w:rPr/>
        <w:t>challenging, problem-focused learning designs are of crucial urgency in optimizing the growth of students' critical thinking skills. Furthermore, research by Rusmansyah et al. (2021) indicates that the sharp critical reasoning trained through problem investigation also contributes to the enhancement of students' self-efficacy. This strategy can be implemented through instructional models specifically designed to develop higher-order thinking skills, as suggested by Redhana </w:t>
      </w:r>
      <w:r>
        <w:rPr>
          <w:spacing w:val="-2"/>
        </w:rPr>
        <w:t>(2019).</w:t>
      </w:r>
    </w:p>
    <w:p>
      <w:pPr>
        <w:pStyle w:val="BodyText"/>
        <w:spacing w:line="276" w:lineRule="auto"/>
        <w:ind w:right="338" w:firstLine="705"/>
      </w:pPr>
      <w:r>
        <w:rPr/>
        <w:t>Although the critical thinking variable is currently categorized as good, the continuous enhancement of students' critical thinking skills remains absolutely essential as a preventive measure to address the increasingly dynamic complexities of educational challenges.</w:t>
      </w:r>
      <w:r>
        <w:rPr>
          <w:spacing w:val="-5"/>
        </w:rPr>
        <w:t> </w:t>
      </w:r>
      <w:r>
        <w:rPr/>
        <w:t>Strategies for optimizing critical reasoning can be accelerated through the diversification of instructional activities that emphasize problem investigation, dialectical discussion forums, experimental methods, and the implementation of project-based learning models. As argued by Zubaidah (2018),</w:t>
      </w:r>
      <w:r>
        <w:rPr>
          <w:spacing w:val="80"/>
        </w:rPr>
        <w:t> </w:t>
      </w:r>
      <w:r>
        <w:rPr/>
        <w:t>the</w:t>
      </w:r>
      <w:r>
        <w:rPr>
          <w:spacing w:val="80"/>
        </w:rPr>
        <w:t> </w:t>
      </w:r>
      <w:r>
        <w:rPr/>
        <w:t>mastery</w:t>
      </w:r>
      <w:r>
        <w:rPr>
          <w:spacing w:val="80"/>
        </w:rPr>
        <w:t> </w:t>
      </w:r>
      <w:r>
        <w:rPr/>
        <w:t>of</w:t>
      </w:r>
      <w:r>
        <w:rPr>
          <w:spacing w:val="80"/>
        </w:rPr>
        <w:t> </w:t>
      </w:r>
      <w:r>
        <w:rPr/>
        <w:t>critical</w:t>
      </w:r>
      <w:r>
        <w:rPr>
          <w:spacing w:val="80"/>
        </w:rPr>
        <w:t> </w:t>
      </w:r>
      <w:r>
        <w:rPr/>
        <w:t>reasoning</w:t>
      </w:r>
      <w:r>
        <w:rPr>
          <w:spacing w:val="80"/>
        </w:rPr>
        <w:t> </w:t>
      </w:r>
      <w:r>
        <w:rPr/>
        <w:t>occupies</w:t>
      </w:r>
      <w:r>
        <w:rPr>
          <w:spacing w:val="80"/>
        </w:rPr>
        <w:t> </w:t>
      </w:r>
      <w:r>
        <w:rPr/>
        <w:t>a</w:t>
      </w:r>
      <w:r>
        <w:rPr>
          <w:spacing w:val="80"/>
        </w:rPr>
        <w:t> </w:t>
      </w:r>
      <w:r>
        <w:rPr/>
        <w:t>fundamental</w:t>
      </w:r>
      <w:r>
        <w:rPr>
          <w:spacing w:val="80"/>
        </w:rPr>
        <w:t> </w:t>
      </w:r>
      <w:r>
        <w:rPr/>
        <w:t>position</w:t>
      </w:r>
      <w:r>
        <w:rPr>
          <w:spacing w:val="80"/>
        </w:rPr>
        <w:t> </w:t>
      </w:r>
      <w:r>
        <w:rPr/>
        <w:t>within</w:t>
      </w:r>
      <w:r>
        <w:rPr>
          <w:spacing w:val="80"/>
        </w:rPr>
        <w:t> </w:t>
      </w:r>
      <w:r>
        <w:rPr/>
        <w:t>the 21st-century skills framework, as this competency plays a vital role in stimulating proactivity, cognitive independence, and students' effectiveness in accurately formulating solutions to various problems.</w:t>
      </w:r>
    </w:p>
    <w:p>
      <w:pPr>
        <w:pStyle w:val="BodyText"/>
        <w:spacing w:before="44"/>
        <w:ind w:left="0"/>
        <w:jc w:val="left"/>
      </w:pPr>
    </w:p>
    <w:p>
      <w:pPr>
        <w:pStyle w:val="Heading2"/>
      </w:pPr>
      <w:r>
        <w:rPr>
          <w:spacing w:val="-2"/>
        </w:rPr>
        <w:t>Creativity</w:t>
      </w:r>
    </w:p>
    <w:p>
      <w:pPr>
        <w:pStyle w:val="BodyText"/>
        <w:spacing w:line="276" w:lineRule="auto" w:before="44"/>
        <w:ind w:right="336" w:firstLine="705"/>
      </w:pPr>
      <w:r>
        <w:rPr/>
        <w:t>Regarding the creativity parameter, the students' average score was recorded at 3.85, representing a "good" qualification according to the data presented in Table 2. This quantification indicates that students</w:t>
      </w:r>
      <w:r>
        <w:rPr>
          <w:spacing w:val="-8"/>
        </w:rPr>
        <w:t> </w:t>
      </w:r>
      <w:r>
        <w:rPr/>
        <w:t>at</w:t>
      </w:r>
      <w:r>
        <w:rPr>
          <w:spacing w:val="-8"/>
        </w:rPr>
        <w:t> </w:t>
      </w:r>
      <w:r>
        <w:rPr/>
        <w:t>SMP</w:t>
      </w:r>
      <w:r>
        <w:rPr>
          <w:spacing w:val="-8"/>
        </w:rPr>
        <w:t> </w:t>
      </w:r>
      <w:r>
        <w:rPr/>
        <w:t>Negeri</w:t>
      </w:r>
      <w:r>
        <w:rPr>
          <w:spacing w:val="-8"/>
        </w:rPr>
        <w:t> </w:t>
      </w:r>
      <w:r>
        <w:rPr/>
        <w:t>7</w:t>
      </w:r>
      <w:r>
        <w:rPr>
          <w:spacing w:val="-8"/>
        </w:rPr>
        <w:t> </w:t>
      </w:r>
      <w:r>
        <w:rPr/>
        <w:t>Pekalongan</w:t>
      </w:r>
      <w:r>
        <w:rPr>
          <w:spacing w:val="-8"/>
        </w:rPr>
        <w:t> </w:t>
      </w:r>
      <w:r>
        <w:rPr/>
        <w:t>have</w:t>
      </w:r>
      <w:r>
        <w:rPr>
          <w:spacing w:val="-8"/>
        </w:rPr>
        <w:t> </w:t>
      </w:r>
      <w:r>
        <w:rPr/>
        <w:t>demonstrated</w:t>
      </w:r>
      <w:r>
        <w:rPr>
          <w:spacing w:val="-8"/>
        </w:rPr>
        <w:t> </w:t>
      </w:r>
      <w:r>
        <w:rPr/>
        <w:t>proficient capabilities in formulating ideas, exploring cutting-edge concepts, and producing innovative solutions throughout the instructional dynamics in the classroom. The manifestation of this creative</w:t>
      </w:r>
      <w:r>
        <w:rPr>
          <w:spacing w:val="29"/>
        </w:rPr>
        <w:t>  </w:t>
      </w:r>
      <w:r>
        <w:rPr/>
        <w:t>potential</w:t>
      </w:r>
      <w:r>
        <w:rPr>
          <w:spacing w:val="29"/>
        </w:rPr>
        <w:t>  </w:t>
      </w:r>
      <w:r>
        <w:rPr/>
        <w:t>is</w:t>
      </w:r>
      <w:r>
        <w:rPr>
          <w:spacing w:val="30"/>
        </w:rPr>
        <w:t>  </w:t>
      </w:r>
      <w:r>
        <w:rPr/>
        <w:t>reflected</w:t>
      </w:r>
      <w:r>
        <w:rPr>
          <w:spacing w:val="29"/>
        </w:rPr>
        <w:t>  </w:t>
      </w:r>
      <w:r>
        <w:rPr/>
        <w:t>in</w:t>
      </w:r>
      <w:r>
        <w:rPr>
          <w:spacing w:val="73"/>
          <w:w w:val="150"/>
        </w:rPr>
        <w:t> </w:t>
      </w:r>
      <w:r>
        <w:rPr/>
        <w:t>achievements</w:t>
      </w:r>
      <w:r>
        <w:rPr>
          <w:spacing w:val="71"/>
          <w:w w:val="150"/>
        </w:rPr>
        <w:t> </w:t>
      </w:r>
      <w:r>
        <w:rPr/>
        <w:t>across</w:t>
      </w:r>
      <w:r>
        <w:rPr>
          <w:spacing w:val="72"/>
          <w:w w:val="150"/>
        </w:rPr>
        <w:t> </w:t>
      </w:r>
      <w:r>
        <w:rPr/>
        <w:t>various</w:t>
      </w:r>
      <w:r>
        <w:rPr>
          <w:spacing w:val="72"/>
          <w:w w:val="150"/>
        </w:rPr>
        <w:t> </w:t>
      </w:r>
      <w:r>
        <w:rPr/>
        <w:t>indicators,</w:t>
      </w:r>
      <w:r>
        <w:rPr>
          <w:spacing w:val="71"/>
          <w:w w:val="150"/>
        </w:rPr>
        <w:t> </w:t>
      </w:r>
      <w:r>
        <w:rPr/>
        <w:t>including</w:t>
      </w:r>
      <w:r>
        <w:rPr>
          <w:spacing w:val="72"/>
          <w:w w:val="150"/>
        </w:rPr>
        <w:t> </w:t>
      </w:r>
      <w:r>
        <w:rPr>
          <w:spacing w:val="-5"/>
        </w:rPr>
        <w:t>the</w:t>
      </w:r>
    </w:p>
    <w:p>
      <w:pPr>
        <w:pStyle w:val="BodyText"/>
        <w:spacing w:after="0" w:line="276" w:lineRule="auto"/>
        <w:sectPr>
          <w:pgSz w:w="12240" w:h="15840"/>
          <w:pgMar w:header="1168" w:footer="1200" w:top="1360" w:bottom="1460" w:left="1080" w:right="1080"/>
        </w:sectPr>
      </w:pPr>
    </w:p>
    <w:p>
      <w:pPr>
        <w:pStyle w:val="BodyText"/>
        <w:spacing w:before="121" w:after="1"/>
        <w:ind w:left="0"/>
        <w:jc w:val="left"/>
        <w:rPr>
          <w:sz w:val="20"/>
        </w:rPr>
      </w:pPr>
    </w:p>
    <w:p>
      <w:pPr>
        <w:spacing w:line="20" w:lineRule="exact"/>
        <w:ind w:left="340" w:right="0" w:firstLine="0"/>
        <w:rPr>
          <w:sz w:val="2"/>
        </w:rPr>
      </w:pPr>
      <w:r>
        <w:rPr>
          <w:sz w:val="2"/>
        </w:rPr>
        <mc:AlternateContent>
          <mc:Choice Requires="wps">
            <w:drawing>
              <wp:inline distT="0" distB="0" distL="0" distR="0">
                <wp:extent cx="5969000" cy="12700"/>
                <wp:effectExtent l="9525" t="0" r="3175" b="6350"/>
                <wp:docPr id="10" name="Group 10"/>
                <wp:cNvGraphicFramePr>
                  <a:graphicFrameLocks/>
                </wp:cNvGraphicFramePr>
                <a:graphic>
                  <a:graphicData uri="http://schemas.microsoft.com/office/word/2010/wordprocessingGroup">
                    <wpg:wgp>
                      <wpg:cNvPr id="10" name="Group 10"/>
                      <wpg:cNvGrpSpPr/>
                      <wpg:grpSpPr>
                        <a:xfrm>
                          <a:off x="0" y="0"/>
                          <a:ext cx="5969000" cy="12700"/>
                          <a:chExt cx="5969000" cy="12700"/>
                        </a:xfrm>
                      </wpg:grpSpPr>
                      <wps:wsp>
                        <wps:cNvPr id="11" name="Graphic 11"/>
                        <wps:cNvSpPr/>
                        <wps:spPr>
                          <a:xfrm>
                            <a:off x="0" y="635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0pt;height:1pt;mso-position-horizontal-relative:char;mso-position-vertical-relative:line" id="docshapegroup5" coordorigin="0,0" coordsize="9400,20">
                <v:line style="position:absolute" from="0,10" to="9400,10" stroked="true" strokeweight="1.0pt" strokecolor="#000000">
                  <v:stroke dashstyle="solid"/>
                </v:line>
              </v:group>
            </w:pict>
          </mc:Fallback>
        </mc:AlternateContent>
      </w:r>
      <w:r>
        <w:rPr>
          <w:sz w:val="2"/>
        </w:rPr>
      </w:r>
    </w:p>
    <w:p>
      <w:pPr>
        <w:pStyle w:val="BodyText"/>
        <w:spacing w:line="276" w:lineRule="auto"/>
        <w:ind w:right="337"/>
      </w:pPr>
      <w:r>
        <w:rPr/>
        <w:t>development of idea frameworks, the construction of tangible works, and the exploration of original new topics. This empirical phenomenon confirms that the student profile is no longer merely that of passive information</w:t>
      </w:r>
      <w:r>
        <w:rPr>
          <w:spacing w:val="-7"/>
        </w:rPr>
        <w:t> </w:t>
      </w:r>
      <w:r>
        <w:rPr/>
        <w:t>recipients;</w:t>
      </w:r>
      <w:r>
        <w:rPr>
          <w:spacing w:val="-7"/>
        </w:rPr>
        <w:t> </w:t>
      </w:r>
      <w:r>
        <w:rPr/>
        <w:t>instead,</w:t>
      </w:r>
      <w:r>
        <w:rPr>
          <w:spacing w:val="-7"/>
        </w:rPr>
        <w:t> </w:t>
      </w:r>
      <w:r>
        <w:rPr/>
        <w:t>students</w:t>
      </w:r>
      <w:r>
        <w:rPr>
          <w:spacing w:val="-7"/>
        </w:rPr>
        <w:t> </w:t>
      </w:r>
      <w:r>
        <w:rPr/>
        <w:t>have</w:t>
      </w:r>
      <w:r>
        <w:rPr>
          <w:spacing w:val="-7"/>
        </w:rPr>
        <w:t> </w:t>
      </w:r>
      <w:r>
        <w:rPr/>
        <w:t>begun</w:t>
      </w:r>
      <w:r>
        <w:rPr>
          <w:spacing w:val="-7"/>
        </w:rPr>
        <w:t> </w:t>
      </w:r>
      <w:r>
        <w:rPr/>
        <w:t>to</w:t>
      </w:r>
      <w:r>
        <w:rPr>
          <w:spacing w:val="-7"/>
        </w:rPr>
        <w:t> </w:t>
      </w:r>
      <w:r>
        <w:rPr/>
        <w:t>activate</w:t>
      </w:r>
      <w:r>
        <w:rPr>
          <w:spacing w:val="-7"/>
        </w:rPr>
        <w:t> </w:t>
      </w:r>
      <w:r>
        <w:rPr/>
        <w:t>cognitive independence in constructing autonomous thoughts during the learning process. Creativity is positioned as a fundamental competency in the</w:t>
      </w:r>
      <w:r>
        <w:rPr>
          <w:spacing w:val="-6"/>
        </w:rPr>
        <w:t> </w:t>
      </w:r>
      <w:r>
        <w:rPr/>
        <w:t>21st-century</w:t>
      </w:r>
      <w:r>
        <w:rPr>
          <w:spacing w:val="-6"/>
        </w:rPr>
        <w:t> </w:t>
      </w:r>
      <w:r>
        <w:rPr/>
        <w:t>educational</w:t>
      </w:r>
      <w:r>
        <w:rPr>
          <w:spacing w:val="-6"/>
        </w:rPr>
        <w:t> </w:t>
      </w:r>
      <w:r>
        <w:rPr/>
        <w:t>paradigm,</w:t>
      </w:r>
      <w:r>
        <w:rPr>
          <w:spacing w:val="-6"/>
        </w:rPr>
        <w:t> </w:t>
      </w:r>
      <w:r>
        <w:rPr/>
        <w:t>as</w:t>
      </w:r>
      <w:r>
        <w:rPr>
          <w:spacing w:val="-6"/>
        </w:rPr>
        <w:t> </w:t>
      </w:r>
      <w:r>
        <w:rPr/>
        <w:t>students are required to respond to shifting changes and global challenges through innovative approaches. In alignment with Zubaidah’s</w:t>
      </w:r>
      <w:r>
        <w:rPr>
          <w:spacing w:val="-6"/>
        </w:rPr>
        <w:t> </w:t>
      </w:r>
      <w:r>
        <w:rPr/>
        <w:t>(2018)</w:t>
      </w:r>
      <w:r>
        <w:rPr>
          <w:spacing w:val="-6"/>
        </w:rPr>
        <w:t> </w:t>
      </w:r>
      <w:r>
        <w:rPr/>
        <w:t>postulate,</w:t>
      </w:r>
      <w:r>
        <w:rPr>
          <w:spacing w:val="-6"/>
        </w:rPr>
        <w:t> </w:t>
      </w:r>
      <w:r>
        <w:rPr/>
        <w:t>the</w:t>
      </w:r>
      <w:r>
        <w:rPr>
          <w:spacing w:val="-6"/>
        </w:rPr>
        <w:t> </w:t>
      </w:r>
      <w:r>
        <w:rPr/>
        <w:t>creativity</w:t>
      </w:r>
      <w:r>
        <w:rPr>
          <w:spacing w:val="-6"/>
        </w:rPr>
        <w:t> </w:t>
      </w:r>
      <w:r>
        <w:rPr/>
        <w:t>variable</w:t>
      </w:r>
      <w:r>
        <w:rPr>
          <w:spacing w:val="-6"/>
        </w:rPr>
        <w:t> </w:t>
      </w:r>
      <w:r>
        <w:rPr/>
        <w:t>is</w:t>
      </w:r>
      <w:r>
        <w:rPr>
          <w:spacing w:val="-6"/>
        </w:rPr>
        <w:t> </w:t>
      </w:r>
      <w:r>
        <w:rPr/>
        <w:t>an</w:t>
      </w:r>
      <w:r>
        <w:rPr>
          <w:spacing w:val="-6"/>
        </w:rPr>
        <w:t> </w:t>
      </w:r>
      <w:r>
        <w:rPr/>
        <w:t>essential pillar within the learning and innovation skills cluster, guiding students to stimulate new ideas for problem-solving. Furthermore, Syahputra (2018) adds that intellectual flexibility within creativity is an absolute prerequisite for students to navigate the changes of the Industrial Revolution 4.0. Beyond producing physical outputs, the essence of creativity encompasses cognitive flexibility, the ability to analyze problems from multiple perspectives,</w:t>
      </w:r>
      <w:r>
        <w:rPr>
          <w:spacing w:val="-7"/>
        </w:rPr>
        <w:t> </w:t>
      </w:r>
      <w:r>
        <w:rPr/>
        <w:t>and</w:t>
      </w:r>
      <w:r>
        <w:rPr>
          <w:spacing w:val="-7"/>
        </w:rPr>
        <w:t> </w:t>
      </w:r>
      <w:r>
        <w:rPr/>
        <w:t>the</w:t>
      </w:r>
      <w:r>
        <w:rPr>
          <w:spacing w:val="-7"/>
        </w:rPr>
        <w:t> </w:t>
      </w:r>
      <w:r>
        <w:rPr/>
        <w:t>courage to identify non-conventional alternative solutions.</w:t>
      </w:r>
    </w:p>
    <w:p>
      <w:pPr>
        <w:pStyle w:val="BodyText"/>
        <w:spacing w:line="276" w:lineRule="auto"/>
        <w:ind w:right="339" w:firstLine="705"/>
      </w:pPr>
      <w:r>
        <w:rPr/>
        <w:t>The instructional process at SMP Negeri 7 Pekalongan is indicated to have significantly contributed to facilitating the escalation of students' creative</w:t>
      </w:r>
      <w:r>
        <w:rPr>
          <w:spacing w:val="-7"/>
        </w:rPr>
        <w:t> </w:t>
      </w:r>
      <w:r>
        <w:rPr/>
        <w:t>potential.</w:t>
      </w:r>
      <w:r>
        <w:rPr>
          <w:spacing w:val="-7"/>
        </w:rPr>
        <w:t> </w:t>
      </w:r>
      <w:r>
        <w:rPr/>
        <w:t>This</w:t>
      </w:r>
      <w:r>
        <w:rPr>
          <w:spacing w:val="-7"/>
        </w:rPr>
        <w:t> </w:t>
      </w:r>
      <w:r>
        <w:rPr/>
        <w:t>empirical</w:t>
      </w:r>
      <w:r>
        <w:rPr>
          <w:spacing w:val="-7"/>
        </w:rPr>
        <w:t> </w:t>
      </w:r>
      <w:r>
        <w:rPr/>
        <w:t>condition is suggested to be an implication of integrating various learning instruments, collective discussion forums, and educational frameworks that provide</w:t>
      </w:r>
      <w:r>
        <w:rPr>
          <w:spacing w:val="-5"/>
        </w:rPr>
        <w:t> </w:t>
      </w:r>
      <w:r>
        <w:rPr/>
        <w:t>students</w:t>
      </w:r>
      <w:r>
        <w:rPr>
          <w:spacing w:val="-5"/>
        </w:rPr>
        <w:t> </w:t>
      </w:r>
      <w:r>
        <w:rPr/>
        <w:t>with</w:t>
      </w:r>
      <w:r>
        <w:rPr>
          <w:spacing w:val="-5"/>
        </w:rPr>
        <w:t> </w:t>
      </w:r>
      <w:r>
        <w:rPr/>
        <w:t>the</w:t>
      </w:r>
      <w:r>
        <w:rPr>
          <w:spacing w:val="-5"/>
        </w:rPr>
        <w:t> </w:t>
      </w:r>
      <w:r>
        <w:rPr/>
        <w:t>space</w:t>
      </w:r>
      <w:r>
        <w:rPr>
          <w:spacing w:val="-5"/>
        </w:rPr>
        <w:t> </w:t>
      </w:r>
      <w:r>
        <w:rPr/>
        <w:t>to</w:t>
      </w:r>
      <w:r>
        <w:rPr>
          <w:spacing w:val="-5"/>
        </w:rPr>
        <w:t> </w:t>
      </w:r>
      <w:r>
        <w:rPr/>
        <w:t>express their ideas and opinions more</w:t>
      </w:r>
      <w:r>
        <w:rPr>
          <w:spacing w:val="-5"/>
        </w:rPr>
        <w:t> </w:t>
      </w:r>
      <w:r>
        <w:rPr/>
        <w:t>autonomously.</w:t>
      </w:r>
      <w:r>
        <w:rPr>
          <w:spacing w:val="-5"/>
        </w:rPr>
        <w:t> </w:t>
      </w:r>
      <w:r>
        <w:rPr/>
        <w:t>Based</w:t>
      </w:r>
      <w:r>
        <w:rPr>
          <w:spacing w:val="-5"/>
        </w:rPr>
        <w:t> </w:t>
      </w:r>
      <w:r>
        <w:rPr/>
        <w:t>on</w:t>
      </w:r>
      <w:r>
        <w:rPr>
          <w:spacing w:val="-5"/>
        </w:rPr>
        <w:t> </w:t>
      </w:r>
      <w:r>
        <w:rPr/>
        <w:t>the</w:t>
      </w:r>
      <w:r>
        <w:rPr>
          <w:spacing w:val="-5"/>
        </w:rPr>
        <w:t> </w:t>
      </w:r>
      <w:r>
        <w:rPr/>
        <w:t>premise</w:t>
      </w:r>
      <w:r>
        <w:rPr>
          <w:spacing w:val="-5"/>
        </w:rPr>
        <w:t> </w:t>
      </w:r>
      <w:r>
        <w:rPr/>
        <w:t>proposed</w:t>
      </w:r>
      <w:r>
        <w:rPr>
          <w:spacing w:val="-5"/>
        </w:rPr>
        <w:t> </w:t>
      </w:r>
      <w:r>
        <w:rPr/>
        <w:t>by</w:t>
      </w:r>
      <w:r>
        <w:rPr>
          <w:spacing w:val="-5"/>
        </w:rPr>
        <w:t> </w:t>
      </w:r>
      <w:r>
        <w:rPr/>
        <w:t>Gürsoy</w:t>
      </w:r>
      <w:r>
        <w:rPr>
          <w:spacing w:val="-5"/>
        </w:rPr>
        <w:t> </w:t>
      </w:r>
      <w:r>
        <w:rPr/>
        <w:t>(2021), the implementation of digital media within the pedagogical sphere can accelerate students' creative exploration capacity by providing more engaging</w:t>
      </w:r>
      <w:r>
        <w:rPr>
          <w:spacing w:val="-6"/>
        </w:rPr>
        <w:t> </w:t>
      </w:r>
      <w:r>
        <w:rPr/>
        <w:t>learning</w:t>
      </w:r>
      <w:r>
        <w:rPr>
          <w:spacing w:val="-6"/>
        </w:rPr>
        <w:t> </w:t>
      </w:r>
      <w:r>
        <w:rPr/>
        <w:t>experiences</w:t>
      </w:r>
      <w:r>
        <w:rPr>
          <w:spacing w:val="-6"/>
        </w:rPr>
        <w:t> </w:t>
      </w:r>
      <w:r>
        <w:rPr/>
        <w:t>that</w:t>
      </w:r>
      <w:r>
        <w:rPr>
          <w:spacing w:val="-6"/>
        </w:rPr>
        <w:t> </w:t>
      </w:r>
      <w:r>
        <w:rPr/>
        <w:t>depart</w:t>
      </w:r>
      <w:r>
        <w:rPr>
          <w:spacing w:val="-6"/>
        </w:rPr>
        <w:t> </w:t>
      </w:r>
      <w:r>
        <w:rPr/>
        <w:t>from repetitive conventional patterns. In this context, Mulyeni et al. (2019) underscore that the application of STEM-based approaches</w:t>
      </w:r>
      <w:r>
        <w:rPr>
          <w:spacing w:val="-10"/>
        </w:rPr>
        <w:t> </w:t>
      </w:r>
      <w:r>
        <w:rPr/>
        <w:t>can</w:t>
      </w:r>
      <w:r>
        <w:rPr>
          <w:spacing w:val="-10"/>
        </w:rPr>
        <w:t> </w:t>
      </w:r>
      <w:r>
        <w:rPr/>
        <w:t>significantly</w:t>
      </w:r>
      <w:r>
        <w:rPr>
          <w:spacing w:val="-10"/>
        </w:rPr>
        <w:t> </w:t>
      </w:r>
      <w:r>
        <w:rPr/>
        <w:t>stimulate</w:t>
      </w:r>
      <w:r>
        <w:rPr>
          <w:spacing w:val="-10"/>
        </w:rPr>
        <w:t> </w:t>
      </w:r>
      <w:r>
        <w:rPr/>
        <w:t>students'</w:t>
      </w:r>
      <w:r>
        <w:rPr>
          <w:spacing w:val="-10"/>
        </w:rPr>
        <w:t> </w:t>
      </w:r>
      <w:r>
        <w:rPr/>
        <w:t>innovative</w:t>
      </w:r>
      <w:r>
        <w:rPr>
          <w:spacing w:val="-10"/>
        </w:rPr>
        <w:t> </w:t>
      </w:r>
      <w:r>
        <w:rPr/>
        <w:t>creativity. Furthermore, the findings of Mu’min et al. (2023) demonstrate that the Project-Based</w:t>
      </w:r>
      <w:r>
        <w:rPr>
          <w:spacing w:val="-5"/>
        </w:rPr>
        <w:t> </w:t>
      </w:r>
      <w:r>
        <w:rPr/>
        <w:t>Learning model offers</w:t>
      </w:r>
      <w:r>
        <w:rPr>
          <w:spacing w:val="-6"/>
        </w:rPr>
        <w:t> </w:t>
      </w:r>
      <w:r>
        <w:rPr/>
        <w:t>substantial</w:t>
      </w:r>
      <w:r>
        <w:rPr>
          <w:spacing w:val="-6"/>
        </w:rPr>
        <w:t> </w:t>
      </w:r>
      <w:r>
        <w:rPr/>
        <w:t>autonomy</w:t>
      </w:r>
      <w:r>
        <w:rPr>
          <w:spacing w:val="-6"/>
        </w:rPr>
        <w:t> </w:t>
      </w:r>
      <w:r>
        <w:rPr/>
        <w:t>for</w:t>
      </w:r>
      <w:r>
        <w:rPr>
          <w:spacing w:val="-6"/>
        </w:rPr>
        <w:t> </w:t>
      </w:r>
      <w:r>
        <w:rPr/>
        <w:t>junior</w:t>
      </w:r>
      <w:r>
        <w:rPr>
          <w:spacing w:val="-6"/>
        </w:rPr>
        <w:t> </w:t>
      </w:r>
      <w:r>
        <w:rPr/>
        <w:t>high</w:t>
      </w:r>
      <w:r>
        <w:rPr>
          <w:spacing w:val="-6"/>
        </w:rPr>
        <w:t> </w:t>
      </w:r>
      <w:r>
        <w:rPr/>
        <w:t>school</w:t>
      </w:r>
      <w:r>
        <w:rPr>
          <w:spacing w:val="-6"/>
        </w:rPr>
        <w:t> </w:t>
      </w:r>
      <w:r>
        <w:rPr/>
        <w:t>students</w:t>
      </w:r>
      <w:r>
        <w:rPr>
          <w:spacing w:val="-6"/>
        </w:rPr>
        <w:t> </w:t>
      </w:r>
      <w:r>
        <w:rPr/>
        <w:t>to</w:t>
      </w:r>
      <w:r>
        <w:rPr>
          <w:spacing w:val="-6"/>
        </w:rPr>
        <w:t> </w:t>
      </w:r>
      <w:r>
        <w:rPr/>
        <w:t>explore</w:t>
      </w:r>
      <w:r>
        <w:rPr>
          <w:spacing w:val="-6"/>
        </w:rPr>
        <w:t> </w:t>
      </w:r>
      <w:r>
        <w:rPr/>
        <w:t>their</w:t>
      </w:r>
      <w:r>
        <w:rPr>
          <w:spacing w:val="-6"/>
        </w:rPr>
        <w:t> </w:t>
      </w:r>
      <w:r>
        <w:rPr/>
        <w:t>original</w:t>
      </w:r>
      <w:r>
        <w:rPr>
          <w:spacing w:val="-6"/>
        </w:rPr>
        <w:t> </w:t>
      </w:r>
      <w:r>
        <w:rPr/>
        <w:t>ideas. The optimization of imaginative abstraction and students' innovation proficiency can be effectively achieved through the utilization of technological advancements integrated into instructional activities.</w:t>
      </w:r>
    </w:p>
    <w:p>
      <w:pPr>
        <w:pStyle w:val="BodyText"/>
        <w:spacing w:line="276" w:lineRule="auto"/>
        <w:ind w:right="337" w:firstLine="705"/>
      </w:pPr>
      <w:r>
        <w:rPr/>
        <w:t>Although the</w:t>
      </w:r>
      <w:r>
        <w:rPr>
          <w:spacing w:val="-7"/>
        </w:rPr>
        <w:t> </w:t>
      </w:r>
      <w:r>
        <w:rPr/>
        <w:t>creativity</w:t>
      </w:r>
      <w:r>
        <w:rPr>
          <w:spacing w:val="-7"/>
        </w:rPr>
        <w:t> </w:t>
      </w:r>
      <w:r>
        <w:rPr/>
        <w:t>parameter</w:t>
      </w:r>
      <w:r>
        <w:rPr>
          <w:spacing w:val="-8"/>
        </w:rPr>
        <w:t> </w:t>
      </w:r>
      <w:r>
        <w:rPr/>
        <w:t>is</w:t>
      </w:r>
      <w:r>
        <w:rPr>
          <w:spacing w:val="-7"/>
        </w:rPr>
        <w:t> </w:t>
      </w:r>
      <w:r>
        <w:rPr/>
        <w:t>currently</w:t>
      </w:r>
      <w:r>
        <w:rPr>
          <w:spacing w:val="-7"/>
        </w:rPr>
        <w:t> </w:t>
      </w:r>
      <w:r>
        <w:rPr/>
        <w:t>categorized</w:t>
      </w:r>
      <w:r>
        <w:rPr>
          <w:spacing w:val="-8"/>
        </w:rPr>
        <w:t> </w:t>
      </w:r>
      <w:r>
        <w:rPr/>
        <w:t>as</w:t>
      </w:r>
      <w:r>
        <w:rPr>
          <w:spacing w:val="-7"/>
        </w:rPr>
        <w:t> </w:t>
      </w:r>
      <w:r>
        <w:rPr/>
        <w:t>'good',</w:t>
      </w:r>
      <w:r>
        <w:rPr>
          <w:spacing w:val="-7"/>
        </w:rPr>
        <w:t> </w:t>
      </w:r>
      <w:r>
        <w:rPr/>
        <w:t>the</w:t>
      </w:r>
      <w:r>
        <w:rPr>
          <w:spacing w:val="-8"/>
        </w:rPr>
        <w:t> </w:t>
      </w:r>
      <w:r>
        <w:rPr/>
        <w:t>reinforcement</w:t>
      </w:r>
      <w:r>
        <w:rPr>
          <w:spacing w:val="-7"/>
        </w:rPr>
        <w:t> </w:t>
      </w:r>
      <w:r>
        <w:rPr/>
        <w:t>of student creativity still necessitates continuous development to ensure the attainment of more comprehensive innovation competencies. This urgency is closely linked to the position of creativity as an essential cognitive instrument for mitigating the effects of technological acceleration and future global complexities. A postulate by Koyuncuoglu (2021) asserts a positive correlation between innovation and creativity skills and leadership capabilities, as well as individual maturity in responding to social dynamics and transformations within the professional sector. As a logical consequence, educators</w:t>
      </w:r>
      <w:r>
        <w:rPr>
          <w:spacing w:val="-10"/>
        </w:rPr>
        <w:t> </w:t>
      </w:r>
      <w:r>
        <w:rPr/>
        <w:t>are</w:t>
      </w:r>
      <w:r>
        <w:rPr>
          <w:spacing w:val="-10"/>
        </w:rPr>
        <w:t> </w:t>
      </w:r>
      <w:r>
        <w:rPr/>
        <w:t>expected</w:t>
      </w:r>
      <w:r>
        <w:rPr>
          <w:spacing w:val="-10"/>
        </w:rPr>
        <w:t> </w:t>
      </w:r>
      <w:r>
        <w:rPr/>
        <w:t>to</w:t>
      </w:r>
      <w:r>
        <w:rPr>
          <w:spacing w:val="-10"/>
        </w:rPr>
        <w:t> </w:t>
      </w:r>
      <w:r>
        <w:rPr/>
        <w:t>continuously</w:t>
      </w:r>
      <w:r>
        <w:rPr>
          <w:spacing w:val="-10"/>
        </w:rPr>
        <w:t> </w:t>
      </w:r>
      <w:r>
        <w:rPr/>
        <w:t>formulate more communicative learning ecosystems, provide extensive investigation spaces, and adopt project-based</w:t>
      </w:r>
      <w:r>
        <w:rPr>
          <w:spacing w:val="52"/>
        </w:rPr>
        <w:t> </w:t>
      </w:r>
      <w:r>
        <w:rPr/>
        <w:t>learning</w:t>
      </w:r>
      <w:r>
        <w:rPr>
          <w:spacing w:val="55"/>
        </w:rPr>
        <w:t> </w:t>
      </w:r>
      <w:r>
        <w:rPr/>
        <w:t>models</w:t>
      </w:r>
      <w:r>
        <w:rPr>
          <w:spacing w:val="55"/>
        </w:rPr>
        <w:t> </w:t>
      </w:r>
      <w:r>
        <w:rPr/>
        <w:t>to</w:t>
      </w:r>
      <w:r>
        <w:rPr>
          <w:spacing w:val="55"/>
        </w:rPr>
        <w:t> </w:t>
      </w:r>
      <w:r>
        <w:rPr/>
        <w:t>cultivate</w:t>
      </w:r>
      <w:r>
        <w:rPr>
          <w:spacing w:val="55"/>
        </w:rPr>
        <w:t> </w:t>
      </w:r>
      <w:r>
        <w:rPr/>
        <w:t>students'</w:t>
      </w:r>
      <w:r>
        <w:rPr>
          <w:spacing w:val="54"/>
        </w:rPr>
        <w:t> </w:t>
      </w:r>
      <w:r>
        <w:rPr/>
        <w:t>habituation</w:t>
      </w:r>
      <w:r>
        <w:rPr>
          <w:spacing w:val="55"/>
        </w:rPr>
        <w:t> </w:t>
      </w:r>
      <w:r>
        <w:rPr/>
        <w:t>in</w:t>
      </w:r>
      <w:r>
        <w:rPr>
          <w:spacing w:val="55"/>
        </w:rPr>
        <w:t> </w:t>
      </w:r>
      <w:r>
        <w:rPr/>
        <w:t>independently</w:t>
      </w:r>
      <w:r>
        <w:rPr>
          <w:spacing w:val="41"/>
        </w:rPr>
        <w:t> </w:t>
      </w:r>
      <w:r>
        <w:rPr>
          <w:spacing w:val="-2"/>
        </w:rPr>
        <w:t>maturing</w:t>
      </w:r>
    </w:p>
    <w:p>
      <w:pPr>
        <w:pStyle w:val="BodyText"/>
        <w:spacing w:after="0" w:line="276" w:lineRule="auto"/>
        <w:sectPr>
          <w:pgSz w:w="12240" w:h="15840"/>
          <w:pgMar w:header="1168" w:footer="1200" w:top="1360" w:bottom="1400" w:left="1080" w:right="1080"/>
        </w:sectPr>
      </w:pPr>
    </w:p>
    <w:p>
      <w:pPr>
        <w:spacing w:before="234"/>
        <w:ind w:left="338" w:right="0" w:firstLine="6070"/>
        <w:jc w:val="left"/>
        <w:rPr>
          <w:rFonts w:ascii="Cambria"/>
          <w:b/>
          <w:sz w:val="20"/>
        </w:rPr>
      </w:pPr>
      <w:r>
        <w:rPr>
          <w:rFonts w:ascii="Cambria"/>
          <w:b/>
          <w:sz w:val="20"/>
        </w:rPr>
        <w:t>Indonesian</w:t>
      </w:r>
      <w:r>
        <w:rPr>
          <w:rFonts w:ascii="Cambria"/>
          <w:b/>
          <w:spacing w:val="-11"/>
          <w:sz w:val="20"/>
        </w:rPr>
        <w:t> </w:t>
      </w:r>
      <w:r>
        <w:rPr>
          <w:rFonts w:ascii="Cambria"/>
          <w:b/>
          <w:sz w:val="20"/>
        </w:rPr>
        <w:t>Science</w:t>
      </w:r>
      <w:r>
        <w:rPr>
          <w:rFonts w:ascii="Cambria"/>
          <w:b/>
          <w:spacing w:val="-9"/>
          <w:sz w:val="20"/>
        </w:rPr>
        <w:t> </w:t>
      </w:r>
      <w:r>
        <w:rPr>
          <w:rFonts w:ascii="Cambria"/>
          <w:b/>
          <w:sz w:val="20"/>
        </w:rPr>
        <w:t>Education</w:t>
      </w:r>
      <w:r>
        <w:rPr>
          <w:rFonts w:ascii="Cambria"/>
          <w:b/>
          <w:spacing w:val="-8"/>
          <w:sz w:val="20"/>
        </w:rPr>
        <w:t> </w:t>
      </w:r>
      <w:r>
        <w:rPr>
          <w:rFonts w:ascii="Cambria"/>
          <w:b/>
          <w:spacing w:val="-2"/>
          <w:sz w:val="20"/>
        </w:rPr>
        <w:t>Letter</w:t>
      </w:r>
    </w:p>
    <w:p>
      <w:pPr>
        <w:pStyle w:val="BodyText"/>
        <w:spacing w:before="10"/>
        <w:ind w:left="0"/>
        <w:jc w:val="left"/>
        <w:rPr>
          <w:rFonts w:ascii="Cambria"/>
          <w:b/>
          <w:sz w:val="20"/>
        </w:rPr>
      </w:pPr>
    </w:p>
    <w:p>
      <w:pPr>
        <w:pStyle w:val="BodyText"/>
        <w:spacing w:line="276" w:lineRule="auto"/>
        <w:ind w:right="341"/>
      </w:pPr>
      <w:r>
        <w:rPr/>
        <w:t>creative ideas. Furthermore, student creativity can flourish when the instructional process is more student-centered rather than focused on one-way material delivery. Rahmawati and Salehudin (2021) explain that</w:t>
      </w:r>
      <w:r>
        <w:rPr>
          <w:spacing w:val="-8"/>
        </w:rPr>
        <w:t> </w:t>
      </w:r>
      <w:r>
        <w:rPr/>
        <w:t>21st-century</w:t>
      </w:r>
      <w:r>
        <w:rPr>
          <w:spacing w:val="-8"/>
        </w:rPr>
        <w:t> </w:t>
      </w:r>
      <w:r>
        <w:rPr/>
        <w:t>learning</w:t>
      </w:r>
      <w:r>
        <w:rPr>
          <w:spacing w:val="-8"/>
        </w:rPr>
        <w:t> </w:t>
      </w:r>
      <w:r>
        <w:rPr/>
        <w:t>requires</w:t>
      </w:r>
      <w:r>
        <w:rPr>
          <w:spacing w:val="-8"/>
        </w:rPr>
        <w:t> </w:t>
      </w:r>
      <w:r>
        <w:rPr/>
        <w:t>active</w:t>
      </w:r>
      <w:r>
        <w:rPr>
          <w:spacing w:val="-8"/>
        </w:rPr>
        <w:t> </w:t>
      </w:r>
      <w:r>
        <w:rPr/>
        <w:t>and</w:t>
      </w:r>
      <w:r>
        <w:rPr>
          <w:spacing w:val="-8"/>
        </w:rPr>
        <w:t> </w:t>
      </w:r>
      <w:r>
        <w:rPr/>
        <w:t>innovative</w:t>
      </w:r>
      <w:r>
        <w:rPr>
          <w:spacing w:val="-8"/>
        </w:rPr>
        <w:t> </w:t>
      </w:r>
      <w:r>
        <w:rPr/>
        <w:t>environments to provide students with greater opportunities to explore their creative thinking abilities.</w:t>
      </w:r>
    </w:p>
    <w:p>
      <w:pPr>
        <w:pStyle w:val="BodyText"/>
        <w:spacing w:before="44"/>
        <w:ind w:left="0"/>
        <w:jc w:val="left"/>
      </w:pPr>
    </w:p>
    <w:p>
      <w:pPr>
        <w:pStyle w:val="Heading2"/>
      </w:pPr>
      <w:r>
        <w:rPr>
          <w:spacing w:val="-2"/>
        </w:rPr>
        <w:t>Collaboration</w:t>
      </w:r>
    </w:p>
    <w:p>
      <w:pPr>
        <w:pStyle w:val="BodyText"/>
        <w:spacing w:line="276" w:lineRule="auto" w:before="44"/>
        <w:ind w:right="336" w:firstLine="705"/>
      </w:pPr>
      <w:r>
        <w:rPr/>
        <w:t>Based on</w:t>
      </w:r>
      <w:r>
        <w:rPr>
          <w:spacing w:val="-7"/>
        </w:rPr>
        <w:t> </w:t>
      </w:r>
      <w:r>
        <w:rPr/>
        <w:t>the</w:t>
      </w:r>
      <w:r>
        <w:rPr>
          <w:spacing w:val="-7"/>
        </w:rPr>
        <w:t> </w:t>
      </w:r>
      <w:r>
        <w:rPr/>
        <w:t>data</w:t>
      </w:r>
      <w:r>
        <w:rPr>
          <w:spacing w:val="-7"/>
        </w:rPr>
        <w:t> </w:t>
      </w:r>
      <w:r>
        <w:rPr/>
        <w:t>tabulation</w:t>
      </w:r>
      <w:r>
        <w:rPr>
          <w:spacing w:val="-7"/>
        </w:rPr>
        <w:t> </w:t>
      </w:r>
      <w:r>
        <w:rPr/>
        <w:t>in</w:t>
      </w:r>
      <w:r>
        <w:rPr>
          <w:spacing w:val="-7"/>
        </w:rPr>
        <w:t> </w:t>
      </w:r>
      <w:r>
        <w:rPr/>
        <w:t>Table</w:t>
      </w:r>
      <w:r>
        <w:rPr>
          <w:spacing w:val="-7"/>
        </w:rPr>
        <w:t> </w:t>
      </w:r>
      <w:r>
        <w:rPr/>
        <w:t>2,</w:t>
      </w:r>
      <w:r>
        <w:rPr>
          <w:spacing w:val="-7"/>
        </w:rPr>
        <w:t> </w:t>
      </w:r>
      <w:r>
        <w:rPr/>
        <w:t>the</w:t>
      </w:r>
      <w:r>
        <w:rPr>
          <w:spacing w:val="-7"/>
        </w:rPr>
        <w:t> </w:t>
      </w:r>
      <w:r>
        <w:rPr/>
        <w:t>collaboration</w:t>
      </w:r>
      <w:r>
        <w:rPr>
          <w:spacing w:val="-7"/>
        </w:rPr>
        <w:t> </w:t>
      </w:r>
      <w:r>
        <w:rPr/>
        <w:t>variable</w:t>
      </w:r>
      <w:r>
        <w:rPr>
          <w:spacing w:val="-7"/>
        </w:rPr>
        <w:t> </w:t>
      </w:r>
      <w:r>
        <w:rPr/>
        <w:t>recorded</w:t>
      </w:r>
      <w:r>
        <w:rPr>
          <w:spacing w:val="-7"/>
        </w:rPr>
        <w:t> </w:t>
      </w:r>
      <w:r>
        <w:rPr/>
        <w:t>a</w:t>
      </w:r>
      <w:r>
        <w:rPr>
          <w:spacing w:val="-7"/>
        </w:rPr>
        <w:t> </w:t>
      </w:r>
      <w:r>
        <w:rPr/>
        <w:t>mean</w:t>
      </w:r>
      <w:r>
        <w:rPr>
          <w:spacing w:val="-7"/>
        </w:rPr>
        <w:t> </w:t>
      </w:r>
      <w:r>
        <w:rPr/>
        <w:t>score of 3.90, which interpretatively falls within the 'good' qualification. This achievement represents the highest score compared to other 4C dimensions, indicating that students at SMP Negeri 7 Pekalongan have proficiently internalized cooperative skills within the instructional ecosystem. The collaboration construct in this study is defined as a functional capability in group synergy, discussion dialectics, the exchange of thinking paradigms, and the distribution of collective responsibilities to solve learning</w:t>
      </w:r>
      <w:r>
        <w:rPr>
          <w:spacing w:val="-7"/>
        </w:rPr>
        <w:t> </w:t>
      </w:r>
      <w:r>
        <w:rPr/>
        <w:t>problems</w:t>
      </w:r>
      <w:r>
        <w:rPr>
          <w:spacing w:val="-7"/>
        </w:rPr>
        <w:t> </w:t>
      </w:r>
      <w:r>
        <w:rPr/>
        <w:t>collectively.</w:t>
      </w:r>
      <w:r>
        <w:rPr>
          <w:spacing w:val="-7"/>
        </w:rPr>
        <w:t> </w:t>
      </w:r>
      <w:r>
        <w:rPr/>
        <w:t>The</w:t>
      </w:r>
      <w:r>
        <w:rPr>
          <w:spacing w:val="-7"/>
        </w:rPr>
        <w:t> </w:t>
      </w:r>
      <w:r>
        <w:rPr/>
        <w:t>significance</w:t>
      </w:r>
      <w:r>
        <w:rPr>
          <w:spacing w:val="-7"/>
        </w:rPr>
        <w:t> </w:t>
      </w:r>
      <w:r>
        <w:rPr/>
        <w:t>of</w:t>
      </w:r>
      <w:r>
        <w:rPr>
          <w:spacing w:val="-7"/>
        </w:rPr>
        <w:t> </w:t>
      </w:r>
      <w:r>
        <w:rPr/>
        <w:t>this</w:t>
      </w:r>
      <w:r>
        <w:rPr>
          <w:spacing w:val="-7"/>
        </w:rPr>
        <w:t> </w:t>
      </w:r>
      <w:r>
        <w:rPr/>
        <w:t>parameter's</w:t>
      </w:r>
      <w:r>
        <w:rPr>
          <w:spacing w:val="-7"/>
        </w:rPr>
        <w:t> </w:t>
      </w:r>
      <w:r>
        <w:rPr/>
        <w:t>value provides empirical evidence that the majority of students have been able to construct constructive social interactions throughout</w:t>
      </w:r>
      <w:r>
        <w:rPr>
          <w:spacing w:val="-5"/>
        </w:rPr>
        <w:t> </w:t>
      </w:r>
      <w:r>
        <w:rPr/>
        <w:t>the</w:t>
      </w:r>
      <w:r>
        <w:rPr>
          <w:spacing w:val="-5"/>
        </w:rPr>
        <w:t> </w:t>
      </w:r>
      <w:r>
        <w:rPr/>
        <w:t>dynamics</w:t>
      </w:r>
      <w:r>
        <w:rPr>
          <w:spacing w:val="-5"/>
        </w:rPr>
        <w:t> </w:t>
      </w:r>
      <w:r>
        <w:rPr/>
        <w:t>of</w:t>
      </w:r>
      <w:r>
        <w:rPr>
          <w:spacing w:val="-5"/>
        </w:rPr>
        <w:t> </w:t>
      </w:r>
      <w:r>
        <w:rPr/>
        <w:t>the</w:t>
      </w:r>
      <w:r>
        <w:rPr>
          <w:spacing w:val="-5"/>
        </w:rPr>
        <w:t> </w:t>
      </w:r>
      <w:r>
        <w:rPr/>
        <w:t>classroom</w:t>
      </w:r>
      <w:r>
        <w:rPr>
          <w:spacing w:val="-5"/>
        </w:rPr>
        <w:t> </w:t>
      </w:r>
      <w:r>
        <w:rPr/>
        <w:t>teaching</w:t>
      </w:r>
      <w:r>
        <w:rPr>
          <w:spacing w:val="-5"/>
        </w:rPr>
        <w:t> </w:t>
      </w:r>
      <w:r>
        <w:rPr/>
        <w:t>and</w:t>
      </w:r>
      <w:r>
        <w:rPr>
          <w:spacing w:val="-5"/>
        </w:rPr>
        <w:t> </w:t>
      </w:r>
      <w:r>
        <w:rPr/>
        <w:t>learning process. The urgency of collaborative proficiency is positioned as an essential competence within the 21st-century pedagogical paradigm, given that</w:t>
      </w:r>
      <w:r>
        <w:rPr>
          <w:spacing w:val="-6"/>
        </w:rPr>
        <w:t> </w:t>
      </w:r>
      <w:r>
        <w:rPr/>
        <w:t>students</w:t>
      </w:r>
      <w:r>
        <w:rPr>
          <w:spacing w:val="-6"/>
        </w:rPr>
        <w:t> </w:t>
      </w:r>
      <w:r>
        <w:rPr/>
        <w:t>are</w:t>
      </w:r>
      <w:r>
        <w:rPr>
          <w:spacing w:val="-6"/>
        </w:rPr>
        <w:t> </w:t>
      </w:r>
      <w:r>
        <w:rPr/>
        <w:t>not</w:t>
      </w:r>
      <w:r>
        <w:rPr>
          <w:spacing w:val="-6"/>
        </w:rPr>
        <w:t> </w:t>
      </w:r>
      <w:r>
        <w:rPr/>
        <w:t>only</w:t>
      </w:r>
      <w:r>
        <w:rPr>
          <w:spacing w:val="-6"/>
        </w:rPr>
        <w:t> </w:t>
      </w:r>
      <w:r>
        <w:rPr/>
        <w:t>oriented</w:t>
      </w:r>
      <w:r>
        <w:rPr>
          <w:spacing w:val="-6"/>
        </w:rPr>
        <w:t> </w:t>
      </w:r>
      <w:r>
        <w:rPr/>
        <w:t>toward individual learning independence but also toward the ability</w:t>
      </w:r>
      <w:r>
        <w:rPr>
          <w:spacing w:val="-5"/>
        </w:rPr>
        <w:t> </w:t>
      </w:r>
      <w:r>
        <w:rPr/>
        <w:t>to</w:t>
      </w:r>
      <w:r>
        <w:rPr>
          <w:spacing w:val="-5"/>
        </w:rPr>
        <w:t> </w:t>
      </w:r>
      <w:r>
        <w:rPr/>
        <w:t>acculturate</w:t>
      </w:r>
      <w:r>
        <w:rPr>
          <w:spacing w:val="-5"/>
        </w:rPr>
        <w:t> </w:t>
      </w:r>
      <w:r>
        <w:rPr/>
        <w:t>within</w:t>
      </w:r>
      <w:r>
        <w:rPr>
          <w:spacing w:val="-5"/>
        </w:rPr>
        <w:t> </w:t>
      </w:r>
      <w:r>
        <w:rPr/>
        <w:t>team</w:t>
      </w:r>
      <w:r>
        <w:rPr>
          <w:spacing w:val="-5"/>
        </w:rPr>
        <w:t> </w:t>
      </w:r>
      <w:r>
        <w:rPr/>
        <w:t>settings to achieve synergistic targets. As outlined by Zubaidah (2018), collaboration competence is an integral part of the learning and innovation skills cluster that plays a role in accelerating the development of students' social dimensions, communication, and accountability within group contexts. Consistent with this, Lestari and Maryani (2020) explain that school-based collaboration is not merely about group work but serves as a medium for building social character and concern for collective responsibility. Through the activation of collaborative reasoning, students can sharpen their appreciation for the diversity of peers' opinions, consolidate solid cooperation, and formulate resolutions to problems through communal </w:t>
      </w:r>
      <w:r>
        <w:rPr>
          <w:spacing w:val="-2"/>
        </w:rPr>
        <w:t>measures.</w:t>
      </w:r>
    </w:p>
    <w:p>
      <w:pPr>
        <w:pStyle w:val="BodyText"/>
        <w:spacing w:line="276" w:lineRule="auto"/>
        <w:ind w:right="337" w:firstLine="705"/>
      </w:pPr>
      <w:r>
        <w:rPr/>
        <w:t>Empirical data in this study indicate that students have become habituated to instructional schemes involving group interaction and peer-to-peer dialectics. This condition is projected to be an effect of school-based instructional implementation that consistently provides opportunities for students to distribute ideas and synergize in completing academic assignments. As emphasized by Pawar et al. (2020), instructional models that actively accommodate group dynamics have</w:t>
      </w:r>
      <w:r>
        <w:rPr>
          <w:spacing w:val="-8"/>
        </w:rPr>
        <w:t> </w:t>
      </w:r>
      <w:r>
        <w:rPr/>
        <w:t>proven</w:t>
      </w:r>
      <w:r>
        <w:rPr>
          <w:spacing w:val="-8"/>
        </w:rPr>
        <w:t> </w:t>
      </w:r>
      <w:r>
        <w:rPr/>
        <w:t>capable</w:t>
      </w:r>
      <w:r>
        <w:rPr>
          <w:spacing w:val="-8"/>
        </w:rPr>
        <w:t> </w:t>
      </w:r>
      <w:r>
        <w:rPr/>
        <w:t>of</w:t>
      </w:r>
      <w:r>
        <w:rPr>
          <w:spacing w:val="-8"/>
        </w:rPr>
        <w:t> </w:t>
      </w:r>
      <w:r>
        <w:rPr/>
        <w:t>accelerating</w:t>
      </w:r>
      <w:r>
        <w:rPr>
          <w:spacing w:val="-8"/>
        </w:rPr>
        <w:t> </w:t>
      </w:r>
      <w:r>
        <w:rPr/>
        <w:t>students'</w:t>
      </w:r>
      <w:r>
        <w:rPr>
          <w:spacing w:val="-8"/>
        </w:rPr>
        <w:t> </w:t>
      </w:r>
      <w:r>
        <w:rPr/>
        <w:t>interpersonal</w:t>
      </w:r>
      <w:r>
        <w:rPr>
          <w:spacing w:val="-8"/>
        </w:rPr>
        <w:t> </w:t>
      </w:r>
      <w:r>
        <w:rPr/>
        <w:t>skills through discussion mechanisms and collective problem resolution. These cooperative activities also serve as an instrument for students to train their reasoning in decision-making, task delegation,</w:t>
      </w:r>
      <w:r>
        <w:rPr>
          <w:spacing w:val="8"/>
        </w:rPr>
        <w:t> </w:t>
      </w:r>
      <w:r>
        <w:rPr/>
        <w:t>and</w:t>
      </w:r>
      <w:r>
        <w:rPr>
          <w:spacing w:val="10"/>
        </w:rPr>
        <w:t> </w:t>
      </w:r>
      <w:r>
        <w:rPr/>
        <w:t>strengthening</w:t>
      </w:r>
      <w:r>
        <w:rPr>
          <w:spacing w:val="11"/>
        </w:rPr>
        <w:t> </w:t>
      </w:r>
      <w:r>
        <w:rPr/>
        <w:t>accountability</w:t>
      </w:r>
      <w:r>
        <w:rPr>
          <w:spacing w:val="-4"/>
        </w:rPr>
        <w:t> </w:t>
      </w:r>
      <w:r>
        <w:rPr/>
        <w:t>for</w:t>
      </w:r>
      <w:r>
        <w:rPr>
          <w:spacing w:val="-3"/>
        </w:rPr>
        <w:t> </w:t>
      </w:r>
      <w:r>
        <w:rPr/>
        <w:t>the</w:t>
      </w:r>
      <w:r>
        <w:rPr>
          <w:spacing w:val="-4"/>
        </w:rPr>
        <w:t> </w:t>
      </w:r>
      <w:r>
        <w:rPr/>
        <w:t>quality</w:t>
      </w:r>
      <w:r>
        <w:rPr>
          <w:spacing w:val="-3"/>
        </w:rPr>
        <w:t> </w:t>
      </w:r>
      <w:r>
        <w:rPr/>
        <w:t>of</w:t>
      </w:r>
      <w:r>
        <w:rPr>
          <w:spacing w:val="-4"/>
        </w:rPr>
        <w:t> </w:t>
      </w:r>
      <w:r>
        <w:rPr/>
        <w:t>their</w:t>
      </w:r>
      <w:r>
        <w:rPr>
          <w:spacing w:val="-3"/>
        </w:rPr>
        <w:t> </w:t>
      </w:r>
      <w:r>
        <w:rPr/>
        <w:t>team's</w:t>
      </w:r>
      <w:r>
        <w:rPr>
          <w:spacing w:val="-4"/>
        </w:rPr>
        <w:t> </w:t>
      </w:r>
      <w:r>
        <w:rPr/>
        <w:t>performance</w:t>
      </w:r>
      <w:r>
        <w:rPr>
          <w:spacing w:val="-3"/>
        </w:rPr>
        <w:t> </w:t>
      </w:r>
      <w:r>
        <w:rPr>
          <w:spacing w:val="-2"/>
        </w:rPr>
        <w:t>output.</w:t>
      </w:r>
    </w:p>
    <w:p>
      <w:pPr>
        <w:pStyle w:val="BodyText"/>
        <w:spacing w:after="0" w:line="276" w:lineRule="auto"/>
        <w:sectPr>
          <w:pgSz w:w="12240" w:h="15840"/>
          <w:pgMar w:header="1168" w:footer="1200" w:top="1360" w:bottom="1460" w:left="1080" w:right="1080"/>
        </w:sectPr>
      </w:pPr>
    </w:p>
    <w:p>
      <w:pPr>
        <w:pStyle w:val="BodyText"/>
        <w:spacing w:before="121" w:after="1"/>
        <w:ind w:left="0"/>
        <w:jc w:val="left"/>
        <w:rPr>
          <w:sz w:val="20"/>
        </w:rPr>
      </w:pPr>
    </w:p>
    <w:p>
      <w:pPr>
        <w:spacing w:line="20" w:lineRule="exact"/>
        <w:ind w:left="340" w:right="0" w:firstLine="0"/>
        <w:rPr>
          <w:sz w:val="2"/>
        </w:rPr>
      </w:pPr>
      <w:r>
        <w:rPr>
          <w:sz w:val="2"/>
        </w:rPr>
        <mc:AlternateContent>
          <mc:Choice Requires="wps">
            <w:drawing>
              <wp:inline distT="0" distB="0" distL="0" distR="0">
                <wp:extent cx="5969000" cy="12700"/>
                <wp:effectExtent l="9525" t="0" r="3175" b="6350"/>
                <wp:docPr id="12" name="Group 12"/>
                <wp:cNvGraphicFramePr>
                  <a:graphicFrameLocks/>
                </wp:cNvGraphicFramePr>
                <a:graphic>
                  <a:graphicData uri="http://schemas.microsoft.com/office/word/2010/wordprocessingGroup">
                    <wpg:wgp>
                      <wpg:cNvPr id="12" name="Group 12"/>
                      <wpg:cNvGrpSpPr/>
                      <wpg:grpSpPr>
                        <a:xfrm>
                          <a:off x="0" y="0"/>
                          <a:ext cx="5969000" cy="12700"/>
                          <a:chExt cx="5969000" cy="12700"/>
                        </a:xfrm>
                      </wpg:grpSpPr>
                      <wps:wsp>
                        <wps:cNvPr id="13" name="Graphic 13"/>
                        <wps:cNvSpPr/>
                        <wps:spPr>
                          <a:xfrm>
                            <a:off x="0" y="635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0pt;height:1pt;mso-position-horizontal-relative:char;mso-position-vertical-relative:line" id="docshapegroup6" coordorigin="0,0" coordsize="9400,20">
                <v:line style="position:absolute" from="0,10" to="9400,10" stroked="true" strokeweight="1.0pt" strokecolor="#000000">
                  <v:stroke dashstyle="solid"/>
                </v:line>
              </v:group>
            </w:pict>
          </mc:Fallback>
        </mc:AlternateContent>
      </w:r>
      <w:r>
        <w:rPr>
          <w:sz w:val="2"/>
        </w:rPr>
      </w:r>
    </w:p>
    <w:p>
      <w:pPr>
        <w:pStyle w:val="BodyText"/>
        <w:spacing w:line="276" w:lineRule="auto"/>
        <w:ind w:right="336"/>
      </w:pPr>
      <w:r>
        <w:rPr/>
        <w:t>Furthermore, the demonstrated effectiveness of collaboration reflects that students have attained an optimal level of social adaptation</w:t>
      </w:r>
      <w:r>
        <w:rPr>
          <w:spacing w:val="-5"/>
        </w:rPr>
        <w:t> </w:t>
      </w:r>
      <w:r>
        <w:rPr/>
        <w:t>maturity</w:t>
      </w:r>
      <w:r>
        <w:rPr>
          <w:spacing w:val="-5"/>
        </w:rPr>
        <w:t> </w:t>
      </w:r>
      <w:r>
        <w:rPr/>
        <w:t>within</w:t>
      </w:r>
      <w:r>
        <w:rPr>
          <w:spacing w:val="-5"/>
        </w:rPr>
        <w:t> </w:t>
      </w:r>
      <w:r>
        <w:rPr/>
        <w:t>the</w:t>
      </w:r>
      <w:r>
        <w:rPr>
          <w:spacing w:val="-5"/>
        </w:rPr>
        <w:t> </w:t>
      </w:r>
      <w:r>
        <w:rPr/>
        <w:t>school's</w:t>
      </w:r>
      <w:r>
        <w:rPr>
          <w:spacing w:val="-5"/>
        </w:rPr>
        <w:t> </w:t>
      </w:r>
      <w:r>
        <w:rPr/>
        <w:t>learning</w:t>
      </w:r>
      <w:r>
        <w:rPr>
          <w:spacing w:val="-5"/>
        </w:rPr>
        <w:t> </w:t>
      </w:r>
      <w:r>
        <w:rPr/>
        <w:t>environment ecosystem. Within the 21st-century educational paradigm, the capacity to work cooperatively has become a crucial variable, as current orientations in both education and the professional sector prioritize team performance</w:t>
      </w:r>
      <w:r>
        <w:rPr>
          <w:spacing w:val="-5"/>
        </w:rPr>
        <w:t> </w:t>
      </w:r>
      <w:r>
        <w:rPr/>
        <w:t>over</w:t>
      </w:r>
      <w:r>
        <w:rPr>
          <w:spacing w:val="-5"/>
        </w:rPr>
        <w:t> </w:t>
      </w:r>
      <w:r>
        <w:rPr/>
        <w:t>individual</w:t>
      </w:r>
      <w:r>
        <w:rPr>
          <w:spacing w:val="-5"/>
        </w:rPr>
        <w:t> </w:t>
      </w:r>
      <w:r>
        <w:rPr/>
        <w:t>capabilities.</w:t>
      </w:r>
      <w:r>
        <w:rPr>
          <w:spacing w:val="-5"/>
        </w:rPr>
        <w:t> </w:t>
      </w:r>
      <w:r>
        <w:rPr/>
        <w:t>Based</w:t>
      </w:r>
      <w:r>
        <w:rPr>
          <w:spacing w:val="-5"/>
        </w:rPr>
        <w:t> </w:t>
      </w:r>
      <w:r>
        <w:rPr/>
        <w:t>on</w:t>
      </w:r>
      <w:r>
        <w:rPr>
          <w:spacing w:val="-5"/>
        </w:rPr>
        <w:t> </w:t>
      </w:r>
      <w:r>
        <w:rPr/>
        <w:t>the</w:t>
      </w:r>
      <w:r>
        <w:rPr>
          <w:spacing w:val="-5"/>
        </w:rPr>
        <w:t> </w:t>
      </w:r>
      <w:r>
        <w:rPr/>
        <w:t>perspective</w:t>
      </w:r>
      <w:r>
        <w:rPr>
          <w:spacing w:val="-5"/>
        </w:rPr>
        <w:t> </w:t>
      </w:r>
      <w:r>
        <w:rPr/>
        <w:t>of</w:t>
      </w:r>
      <w:r>
        <w:rPr>
          <w:spacing w:val="-5"/>
        </w:rPr>
        <w:t> </w:t>
      </w:r>
      <w:r>
        <w:rPr/>
        <w:t>Koul et al. (2021), the mastery of collaborative reasoning occupies a position as a fundamental competency that students must acquire to mitigate the impacts of technological acceleration and increasingly dynamic global challenges.</w:t>
      </w:r>
    </w:p>
    <w:p>
      <w:pPr>
        <w:pStyle w:val="BodyText"/>
        <w:spacing w:line="276" w:lineRule="auto"/>
        <w:ind w:right="336" w:firstLine="705"/>
      </w:pPr>
      <w:r>
        <w:rPr/>
        <w:t>Although the collaboration dimension attained the highest score, the continuous development of students' collaborative abilities remains essential to ensure that all students participate actively in group activities. Under certain conditions, some students still exhibit a tendency toward passivity during discussions or lack engagement in the distribution of group tasks. Consequently, educators must cultivate a more participatory learning environment and provide equitable opportunities for every student to engage</w:t>
      </w:r>
      <w:r>
        <w:rPr>
          <w:spacing w:val="-7"/>
        </w:rPr>
        <w:t> </w:t>
      </w:r>
      <w:r>
        <w:rPr/>
        <w:t>actively</w:t>
      </w:r>
      <w:r>
        <w:rPr>
          <w:spacing w:val="-7"/>
        </w:rPr>
        <w:t> </w:t>
      </w:r>
      <w:r>
        <w:rPr/>
        <w:t>in</w:t>
      </w:r>
      <w:r>
        <w:rPr>
          <w:spacing w:val="-7"/>
        </w:rPr>
        <w:t> </w:t>
      </w:r>
      <w:r>
        <w:rPr/>
        <w:t>collaborative</w:t>
      </w:r>
      <w:r>
        <w:rPr>
          <w:spacing w:val="-7"/>
        </w:rPr>
        <w:t> </w:t>
      </w:r>
      <w:r>
        <w:rPr/>
        <w:t>endeavors. Rahmawati and Salehudin (2021) explain that 21st-century learning necessitates interactive environments to allow students</w:t>
      </w:r>
      <w:r>
        <w:rPr>
          <w:spacing w:val="-8"/>
        </w:rPr>
        <w:t> </w:t>
      </w:r>
      <w:r>
        <w:rPr/>
        <w:t>to</w:t>
      </w:r>
      <w:r>
        <w:rPr>
          <w:spacing w:val="-8"/>
        </w:rPr>
        <w:t> </w:t>
      </w:r>
      <w:r>
        <w:rPr/>
        <w:t>develop</w:t>
      </w:r>
      <w:r>
        <w:rPr>
          <w:spacing w:val="-8"/>
        </w:rPr>
        <w:t> </w:t>
      </w:r>
      <w:r>
        <w:rPr/>
        <w:t>social</w:t>
      </w:r>
      <w:r>
        <w:rPr>
          <w:spacing w:val="-8"/>
        </w:rPr>
        <w:t> </w:t>
      </w:r>
      <w:r>
        <w:rPr/>
        <w:t>and</w:t>
      </w:r>
      <w:r>
        <w:rPr>
          <w:spacing w:val="-8"/>
        </w:rPr>
        <w:t> </w:t>
      </w:r>
      <w:r>
        <w:rPr/>
        <w:t>cooperative</w:t>
      </w:r>
      <w:r>
        <w:rPr>
          <w:spacing w:val="-8"/>
        </w:rPr>
        <w:t> </w:t>
      </w:r>
      <w:r>
        <w:rPr/>
        <w:t>skills</w:t>
      </w:r>
      <w:r>
        <w:rPr>
          <w:spacing w:val="-8"/>
        </w:rPr>
        <w:t> </w:t>
      </w:r>
      <w:r>
        <w:rPr/>
        <w:t>optimally.</w:t>
      </w:r>
      <w:r>
        <w:rPr>
          <w:spacing w:val="-8"/>
        </w:rPr>
        <w:t> </w:t>
      </w:r>
      <w:r>
        <w:rPr/>
        <w:t>Strengthening these</w:t>
      </w:r>
      <w:r>
        <w:rPr>
          <w:spacing w:val="80"/>
        </w:rPr>
        <w:t> </w:t>
      </w:r>
      <w:r>
        <w:rPr/>
        <w:t>skills</w:t>
      </w:r>
      <w:r>
        <w:rPr>
          <w:spacing w:val="80"/>
        </w:rPr>
        <w:t> </w:t>
      </w:r>
      <w:r>
        <w:rPr/>
        <w:t>can</w:t>
      </w:r>
      <w:r>
        <w:rPr>
          <w:spacing w:val="80"/>
        </w:rPr>
        <w:t> </w:t>
      </w:r>
      <w:r>
        <w:rPr/>
        <w:t>be</w:t>
      </w:r>
      <w:r>
        <w:rPr>
          <w:spacing w:val="80"/>
        </w:rPr>
        <w:t> </w:t>
      </w:r>
      <w:r>
        <w:rPr/>
        <w:t>achieved</w:t>
      </w:r>
      <w:r>
        <w:rPr>
          <w:spacing w:val="40"/>
        </w:rPr>
        <w:t> </w:t>
      </w:r>
      <w:r>
        <w:rPr/>
        <w:t>through</w:t>
      </w:r>
      <w:r>
        <w:rPr>
          <w:spacing w:val="40"/>
        </w:rPr>
        <w:t> </w:t>
      </w:r>
      <w:r>
        <w:rPr/>
        <w:t>the</w:t>
      </w:r>
      <w:r>
        <w:rPr>
          <w:spacing w:val="40"/>
        </w:rPr>
        <w:t> </w:t>
      </w:r>
      <w:r>
        <w:rPr/>
        <w:t>application</w:t>
      </w:r>
      <w:r>
        <w:rPr>
          <w:spacing w:val="40"/>
        </w:rPr>
        <w:t> </w:t>
      </w:r>
      <w:r>
        <w:rPr/>
        <w:t>of</w:t>
      </w:r>
      <w:r>
        <w:rPr>
          <w:spacing w:val="40"/>
        </w:rPr>
        <w:t> </w:t>
      </w:r>
      <w:r>
        <w:rPr/>
        <w:t>instructional</w:t>
      </w:r>
      <w:r>
        <w:rPr>
          <w:spacing w:val="40"/>
        </w:rPr>
        <w:t> </w:t>
      </w:r>
      <w:r>
        <w:rPr/>
        <w:t>models</w:t>
      </w:r>
      <w:r>
        <w:rPr>
          <w:spacing w:val="40"/>
        </w:rPr>
        <w:t> </w:t>
      </w:r>
      <w:r>
        <w:rPr/>
        <w:t>such</w:t>
      </w:r>
      <w:r>
        <w:rPr>
          <w:spacing w:val="40"/>
        </w:rPr>
        <w:t> </w:t>
      </w:r>
      <w:r>
        <w:rPr/>
        <w:t>as project-based learning, problem-based learning, or group discussion activities that require the active involvement of all members. To mitigate student passivity, Widiana et al. (2023) suggest implementing heterogeneous grouping to ensure more dynamic interaction. This argument is further supported by Anazifa and Abu (2017), who state that active involvement in a team directly sharpens negotiation and conflict management skills among students.</w:t>
      </w:r>
    </w:p>
    <w:p>
      <w:pPr>
        <w:pStyle w:val="BodyText"/>
        <w:spacing w:before="42"/>
        <w:ind w:left="0"/>
        <w:jc w:val="left"/>
      </w:pPr>
    </w:p>
    <w:p>
      <w:pPr>
        <w:pStyle w:val="Heading2"/>
      </w:pPr>
      <w:r>
        <w:rPr>
          <w:spacing w:val="-2"/>
        </w:rPr>
        <w:t>Communication</w:t>
      </w:r>
    </w:p>
    <w:p>
      <w:pPr>
        <w:pStyle w:val="BodyText"/>
        <w:spacing w:line="276" w:lineRule="auto" w:before="44"/>
        <w:ind w:right="337" w:firstLine="705"/>
      </w:pPr>
      <w:r>
        <w:rPr/>
        <w:t>Regarding the communication dimension, students achieved a mean score of 3.80, placing it</w:t>
      </w:r>
      <w:r>
        <w:rPr>
          <w:spacing w:val="-5"/>
        </w:rPr>
        <w:t> </w:t>
      </w:r>
      <w:r>
        <w:rPr/>
        <w:t>in</w:t>
      </w:r>
      <w:r>
        <w:rPr>
          <w:spacing w:val="-5"/>
        </w:rPr>
        <w:t> </w:t>
      </w:r>
      <w:r>
        <w:rPr/>
        <w:t>the</w:t>
      </w:r>
      <w:r>
        <w:rPr>
          <w:spacing w:val="-5"/>
        </w:rPr>
        <w:t> </w:t>
      </w:r>
      <w:r>
        <w:rPr/>
        <w:t>"good"</w:t>
      </w:r>
      <w:r>
        <w:rPr>
          <w:spacing w:val="-5"/>
        </w:rPr>
        <w:t> </w:t>
      </w:r>
      <w:r>
        <w:rPr/>
        <w:t>category</w:t>
      </w:r>
      <w:r>
        <w:rPr>
          <w:spacing w:val="-5"/>
        </w:rPr>
        <w:t> </w:t>
      </w:r>
      <w:r>
        <w:rPr/>
        <w:t>based</w:t>
      </w:r>
      <w:r>
        <w:rPr>
          <w:spacing w:val="-5"/>
        </w:rPr>
        <w:t> </w:t>
      </w:r>
      <w:r>
        <w:rPr/>
        <w:t>on</w:t>
      </w:r>
      <w:r>
        <w:rPr>
          <w:spacing w:val="-5"/>
        </w:rPr>
        <w:t> </w:t>
      </w:r>
      <w:r>
        <w:rPr/>
        <w:t>the</w:t>
      </w:r>
      <w:r>
        <w:rPr>
          <w:spacing w:val="-5"/>
        </w:rPr>
        <w:t> </w:t>
      </w:r>
      <w:r>
        <w:rPr/>
        <w:t>results</w:t>
      </w:r>
      <w:r>
        <w:rPr>
          <w:spacing w:val="-5"/>
        </w:rPr>
        <w:t> </w:t>
      </w:r>
      <w:r>
        <w:rPr/>
        <w:t>presented</w:t>
      </w:r>
      <w:r>
        <w:rPr>
          <w:spacing w:val="-5"/>
        </w:rPr>
        <w:t> </w:t>
      </w:r>
      <w:r>
        <w:rPr/>
        <w:t>in</w:t>
      </w:r>
      <w:r>
        <w:rPr>
          <w:spacing w:val="-5"/>
        </w:rPr>
        <w:t> </w:t>
      </w:r>
      <w:r>
        <w:rPr/>
        <w:t>Table</w:t>
      </w:r>
      <w:r>
        <w:rPr>
          <w:spacing w:val="-5"/>
        </w:rPr>
        <w:t> </w:t>
      </w:r>
      <w:r>
        <w:rPr/>
        <w:t>2.</w:t>
      </w:r>
      <w:r>
        <w:rPr>
          <w:spacing w:val="-5"/>
        </w:rPr>
        <w:t> </w:t>
      </w:r>
      <w:r>
        <w:rPr/>
        <w:t>Although</w:t>
      </w:r>
      <w:r>
        <w:rPr>
          <w:spacing w:val="-5"/>
        </w:rPr>
        <w:t> </w:t>
      </w:r>
      <w:r>
        <w:rPr/>
        <w:t>classified</w:t>
      </w:r>
      <w:r>
        <w:rPr>
          <w:spacing w:val="-5"/>
        </w:rPr>
        <w:t> </w:t>
      </w:r>
      <w:r>
        <w:rPr/>
        <w:t>as good, the communication aspect represents the lowest mean score compared to the other 4C components. These results indicate that students' communication skills still require further attention to ensure optimal development. In this study, communication proficiency encompasses the ability to articulate ideas, speak or deliver presentations, read information, and comprehend communication within various instructional contexts. The relatively lower mean score in this</w:t>
      </w:r>
      <w:r>
        <w:rPr>
          <w:spacing w:val="-5"/>
        </w:rPr>
        <w:t> </w:t>
      </w:r>
      <w:r>
        <w:rPr/>
        <w:t>aspect</w:t>
      </w:r>
      <w:r>
        <w:rPr>
          <w:spacing w:val="-5"/>
        </w:rPr>
        <w:t> </w:t>
      </w:r>
      <w:r>
        <w:rPr/>
        <w:t>indicates</w:t>
      </w:r>
      <w:r>
        <w:rPr>
          <w:spacing w:val="-5"/>
        </w:rPr>
        <w:t> </w:t>
      </w:r>
      <w:r>
        <w:rPr/>
        <w:t>that</w:t>
      </w:r>
      <w:r>
        <w:rPr>
          <w:spacing w:val="-5"/>
        </w:rPr>
        <w:t> </w:t>
      </w:r>
      <w:r>
        <w:rPr/>
        <w:t>a</w:t>
      </w:r>
      <w:r>
        <w:rPr>
          <w:spacing w:val="-5"/>
        </w:rPr>
        <w:t> </w:t>
      </w:r>
      <w:r>
        <w:rPr/>
        <w:t>portion</w:t>
      </w:r>
      <w:r>
        <w:rPr>
          <w:spacing w:val="-5"/>
        </w:rPr>
        <w:t> </w:t>
      </w:r>
      <w:r>
        <w:rPr/>
        <w:t>of</w:t>
      </w:r>
      <w:r>
        <w:rPr>
          <w:spacing w:val="-5"/>
        </w:rPr>
        <w:t> </w:t>
      </w:r>
      <w:r>
        <w:rPr/>
        <w:t>the</w:t>
      </w:r>
      <w:r>
        <w:rPr>
          <w:spacing w:val="-5"/>
        </w:rPr>
        <w:t> </w:t>
      </w:r>
      <w:r>
        <w:rPr/>
        <w:t>student</w:t>
      </w:r>
      <w:r>
        <w:rPr>
          <w:spacing w:val="-5"/>
        </w:rPr>
        <w:t> </w:t>
      </w:r>
      <w:r>
        <w:rPr/>
        <w:t>population</w:t>
      </w:r>
      <w:r>
        <w:rPr>
          <w:spacing w:val="-5"/>
        </w:rPr>
        <w:t> </w:t>
      </w:r>
      <w:r>
        <w:rPr/>
        <w:t>still</w:t>
      </w:r>
      <w:r>
        <w:rPr>
          <w:spacing w:val="-5"/>
        </w:rPr>
        <w:t> </w:t>
      </w:r>
      <w:r>
        <w:rPr/>
        <w:t>faces</w:t>
      </w:r>
      <w:r>
        <w:rPr>
          <w:spacing w:val="-5"/>
        </w:rPr>
        <w:t> </w:t>
      </w:r>
      <w:r>
        <w:rPr/>
        <w:t>challenges when required to express opinions or speak before</w:t>
      </w:r>
      <w:r>
        <w:rPr>
          <w:spacing w:val="-5"/>
        </w:rPr>
        <w:t> </w:t>
      </w:r>
      <w:r>
        <w:rPr/>
        <w:t>the</w:t>
      </w:r>
      <w:r>
        <w:rPr>
          <w:spacing w:val="-5"/>
        </w:rPr>
        <w:t> </w:t>
      </w:r>
      <w:r>
        <w:rPr/>
        <w:t>class.</w:t>
      </w:r>
      <w:r>
        <w:rPr>
          <w:spacing w:val="-5"/>
        </w:rPr>
        <w:t> </w:t>
      </w:r>
      <w:r>
        <w:rPr/>
        <w:t>Such</w:t>
      </w:r>
      <w:r>
        <w:rPr>
          <w:spacing w:val="-5"/>
        </w:rPr>
        <w:t> </w:t>
      </w:r>
      <w:r>
        <w:rPr/>
        <w:t>conditions</w:t>
      </w:r>
      <w:r>
        <w:rPr>
          <w:spacing w:val="-5"/>
        </w:rPr>
        <w:t> </w:t>
      </w:r>
      <w:r>
        <w:rPr/>
        <w:t>may</w:t>
      </w:r>
      <w:r>
        <w:rPr>
          <w:spacing w:val="-5"/>
        </w:rPr>
        <w:t> </w:t>
      </w:r>
      <w:r>
        <w:rPr/>
        <w:t>be</w:t>
      </w:r>
      <w:r>
        <w:rPr>
          <w:spacing w:val="-5"/>
        </w:rPr>
        <w:t> </w:t>
      </w:r>
      <w:r>
        <w:rPr/>
        <w:t>attributed to a lack of self-confidence, insufficient courage to propose ideas, or limited experience in performing direct presentations. This situation is consistent with the findings of Rambe et al. (2023), who identified that oral communication barriers in</w:t>
      </w:r>
      <w:r>
        <w:rPr>
          <w:spacing w:val="-4"/>
        </w:rPr>
        <w:t> </w:t>
      </w:r>
      <w:r>
        <w:rPr/>
        <w:t>junior</w:t>
      </w:r>
      <w:r>
        <w:rPr>
          <w:spacing w:val="-4"/>
        </w:rPr>
        <w:t> </w:t>
      </w:r>
      <w:r>
        <w:rPr/>
        <w:t>high</w:t>
      </w:r>
      <w:r>
        <w:rPr>
          <w:spacing w:val="-4"/>
        </w:rPr>
        <w:t> </w:t>
      </w:r>
      <w:r>
        <w:rPr/>
        <w:t>school</w:t>
      </w:r>
      <w:r>
        <w:rPr>
          <w:spacing w:val="-4"/>
        </w:rPr>
        <w:t> </w:t>
      </w:r>
      <w:r>
        <w:rPr/>
        <w:t>students</w:t>
      </w:r>
      <w:r>
        <w:rPr>
          <w:spacing w:val="-4"/>
        </w:rPr>
        <w:t> </w:t>
      </w:r>
      <w:r>
        <w:rPr/>
        <w:t>are</w:t>
      </w:r>
      <w:r>
        <w:rPr>
          <w:spacing w:val="-4"/>
        </w:rPr>
        <w:t> </w:t>
      </w:r>
      <w:r>
        <w:rPr/>
        <w:t>often rooted</w:t>
      </w:r>
      <w:r>
        <w:rPr>
          <w:spacing w:val="-5"/>
        </w:rPr>
        <w:t> </w:t>
      </w:r>
      <w:r>
        <w:rPr/>
        <w:t>in</w:t>
      </w:r>
      <w:r>
        <w:rPr>
          <w:spacing w:val="-5"/>
        </w:rPr>
        <w:t> </w:t>
      </w:r>
      <w:r>
        <w:rPr/>
        <w:t>high</w:t>
      </w:r>
      <w:r>
        <w:rPr>
          <w:spacing w:val="-5"/>
        </w:rPr>
        <w:t> </w:t>
      </w:r>
      <w:r>
        <w:rPr/>
        <w:t>levels</w:t>
      </w:r>
      <w:r>
        <w:rPr>
          <w:spacing w:val="-5"/>
        </w:rPr>
        <w:t> </w:t>
      </w:r>
      <w:r>
        <w:rPr/>
        <w:t>of</w:t>
      </w:r>
      <w:r>
        <w:rPr>
          <w:spacing w:val="-4"/>
        </w:rPr>
        <w:t> </w:t>
      </w:r>
      <w:r>
        <w:rPr/>
        <w:t>public</w:t>
      </w:r>
      <w:r>
        <w:rPr>
          <w:spacing w:val="-5"/>
        </w:rPr>
        <w:t> </w:t>
      </w:r>
      <w:r>
        <w:rPr/>
        <w:t>speaking</w:t>
      </w:r>
      <w:r>
        <w:rPr>
          <w:spacing w:val="-5"/>
        </w:rPr>
        <w:t> </w:t>
      </w:r>
      <w:r>
        <w:rPr/>
        <w:t>anxiety.</w:t>
      </w:r>
      <w:r>
        <w:rPr>
          <w:spacing w:val="-5"/>
        </w:rPr>
        <w:t> </w:t>
      </w:r>
      <w:r>
        <w:rPr/>
        <w:t>Consequently,</w:t>
      </w:r>
      <w:r>
        <w:rPr>
          <w:spacing w:val="-5"/>
        </w:rPr>
        <w:t> </w:t>
      </w:r>
      <w:r>
        <w:rPr/>
        <w:t>Afandi</w:t>
      </w:r>
      <w:r>
        <w:rPr>
          <w:spacing w:val="-4"/>
        </w:rPr>
        <w:t> </w:t>
      </w:r>
      <w:r>
        <w:rPr/>
        <w:t>et</w:t>
      </w:r>
      <w:r>
        <w:rPr>
          <w:spacing w:val="-5"/>
        </w:rPr>
        <w:t> </w:t>
      </w:r>
      <w:r>
        <w:rPr/>
        <w:t>al.</w:t>
      </w:r>
      <w:r>
        <w:rPr>
          <w:spacing w:val="-5"/>
        </w:rPr>
        <w:t> </w:t>
      </w:r>
      <w:r>
        <w:rPr/>
        <w:t>(2019)</w:t>
      </w:r>
      <w:r>
        <w:rPr>
          <w:spacing w:val="-5"/>
        </w:rPr>
        <w:t> </w:t>
      </w:r>
      <w:r>
        <w:rPr/>
        <w:t>emphasize</w:t>
      </w:r>
      <w:r>
        <w:rPr>
          <w:spacing w:val="-4"/>
        </w:rPr>
        <w:t> </w:t>
      </w:r>
      <w:r>
        <w:rPr>
          <w:spacing w:val="-5"/>
        </w:rPr>
        <w:t>the</w:t>
      </w:r>
    </w:p>
    <w:p>
      <w:pPr>
        <w:pStyle w:val="BodyText"/>
        <w:spacing w:after="0" w:line="276" w:lineRule="auto"/>
        <w:sectPr>
          <w:pgSz w:w="12240" w:h="15840"/>
          <w:pgMar w:header="1168" w:footer="1200" w:top="1360" w:bottom="1400" w:left="1080" w:right="1080"/>
        </w:sectPr>
      </w:pPr>
    </w:p>
    <w:p>
      <w:pPr>
        <w:spacing w:before="234"/>
        <w:ind w:left="338" w:right="0" w:firstLine="6070"/>
        <w:jc w:val="left"/>
        <w:rPr>
          <w:rFonts w:ascii="Cambria"/>
          <w:b/>
          <w:sz w:val="20"/>
        </w:rPr>
      </w:pPr>
      <w:r>
        <w:rPr>
          <w:rFonts w:ascii="Cambria"/>
          <w:b/>
          <w:sz w:val="20"/>
        </w:rPr>
        <w:t>Indonesian</w:t>
      </w:r>
      <w:r>
        <w:rPr>
          <w:rFonts w:ascii="Cambria"/>
          <w:b/>
          <w:spacing w:val="-11"/>
          <w:sz w:val="20"/>
        </w:rPr>
        <w:t> </w:t>
      </w:r>
      <w:r>
        <w:rPr>
          <w:rFonts w:ascii="Cambria"/>
          <w:b/>
          <w:sz w:val="20"/>
        </w:rPr>
        <w:t>Science</w:t>
      </w:r>
      <w:r>
        <w:rPr>
          <w:rFonts w:ascii="Cambria"/>
          <w:b/>
          <w:spacing w:val="-9"/>
          <w:sz w:val="20"/>
        </w:rPr>
        <w:t> </w:t>
      </w:r>
      <w:r>
        <w:rPr>
          <w:rFonts w:ascii="Cambria"/>
          <w:b/>
          <w:sz w:val="20"/>
        </w:rPr>
        <w:t>Education</w:t>
      </w:r>
      <w:r>
        <w:rPr>
          <w:rFonts w:ascii="Cambria"/>
          <w:b/>
          <w:spacing w:val="-8"/>
          <w:sz w:val="20"/>
        </w:rPr>
        <w:t> </w:t>
      </w:r>
      <w:r>
        <w:rPr>
          <w:rFonts w:ascii="Cambria"/>
          <w:b/>
          <w:spacing w:val="-2"/>
          <w:sz w:val="20"/>
        </w:rPr>
        <w:t>Letter</w:t>
      </w:r>
    </w:p>
    <w:p>
      <w:pPr>
        <w:pStyle w:val="BodyText"/>
        <w:spacing w:before="10"/>
        <w:ind w:left="0"/>
        <w:jc w:val="left"/>
        <w:rPr>
          <w:rFonts w:ascii="Cambria"/>
          <w:b/>
          <w:sz w:val="20"/>
        </w:rPr>
      </w:pPr>
    </w:p>
    <w:p>
      <w:pPr>
        <w:pStyle w:val="BodyText"/>
        <w:spacing w:line="276" w:lineRule="auto"/>
        <w:ind w:right="341"/>
      </w:pPr>
      <w:r>
        <w:rPr/>
        <w:t>necessity of assessment</w:t>
      </w:r>
      <w:r>
        <w:rPr>
          <w:spacing w:val="-5"/>
        </w:rPr>
        <w:t> </w:t>
      </w:r>
      <w:r>
        <w:rPr/>
        <w:t>frameworks</w:t>
      </w:r>
      <w:r>
        <w:rPr>
          <w:spacing w:val="-5"/>
        </w:rPr>
        <w:t> </w:t>
      </w:r>
      <w:r>
        <w:rPr/>
        <w:t>that</w:t>
      </w:r>
      <w:r>
        <w:rPr>
          <w:spacing w:val="-5"/>
        </w:rPr>
        <w:t> </w:t>
      </w:r>
      <w:r>
        <w:rPr/>
        <w:t>evaluate</w:t>
      </w:r>
      <w:r>
        <w:rPr>
          <w:spacing w:val="-5"/>
        </w:rPr>
        <w:t> </w:t>
      </w:r>
      <w:r>
        <w:rPr/>
        <w:t>not</w:t>
      </w:r>
      <w:r>
        <w:rPr>
          <w:spacing w:val="-5"/>
        </w:rPr>
        <w:t> </w:t>
      </w:r>
      <w:r>
        <w:rPr/>
        <w:t>only</w:t>
      </w:r>
      <w:r>
        <w:rPr>
          <w:spacing w:val="-5"/>
        </w:rPr>
        <w:t> </w:t>
      </w:r>
      <w:r>
        <w:rPr/>
        <w:t>the</w:t>
      </w:r>
      <w:r>
        <w:rPr>
          <w:spacing w:val="-5"/>
        </w:rPr>
        <w:t> </w:t>
      </w:r>
      <w:r>
        <w:rPr/>
        <w:t>final</w:t>
      </w:r>
      <w:r>
        <w:rPr>
          <w:spacing w:val="-5"/>
        </w:rPr>
        <w:t> </w:t>
      </w:r>
      <w:r>
        <w:rPr/>
        <w:t>output</w:t>
      </w:r>
      <w:r>
        <w:rPr>
          <w:spacing w:val="-5"/>
        </w:rPr>
        <w:t> </w:t>
      </w:r>
      <w:r>
        <w:rPr/>
        <w:t>but</w:t>
      </w:r>
      <w:r>
        <w:rPr>
          <w:spacing w:val="-5"/>
        </w:rPr>
        <w:t> </w:t>
      </w:r>
      <w:r>
        <w:rPr/>
        <w:t>also</w:t>
      </w:r>
      <w:r>
        <w:rPr>
          <w:spacing w:val="-5"/>
        </w:rPr>
        <w:t> </w:t>
      </w:r>
      <w:r>
        <w:rPr/>
        <w:t>the</w:t>
      </w:r>
      <w:r>
        <w:rPr>
          <w:spacing w:val="-5"/>
        </w:rPr>
        <w:t> </w:t>
      </w:r>
      <w:r>
        <w:rPr/>
        <w:t>courage displayed during the communication process. Kennedy and Sundberg (2020) assert that communication proficiency is a vital 21st-century skill, as it enables students to effectively convey information,</w:t>
      </w:r>
      <w:r>
        <w:rPr>
          <w:spacing w:val="-9"/>
        </w:rPr>
        <w:t> </w:t>
      </w:r>
      <w:r>
        <w:rPr/>
        <w:t>engage</w:t>
      </w:r>
      <w:r>
        <w:rPr>
          <w:spacing w:val="-9"/>
        </w:rPr>
        <w:t> </w:t>
      </w:r>
      <w:r>
        <w:rPr/>
        <w:t>in</w:t>
      </w:r>
      <w:r>
        <w:rPr>
          <w:spacing w:val="-9"/>
        </w:rPr>
        <w:t> </w:t>
      </w:r>
      <w:r>
        <w:rPr/>
        <w:t>discussions,</w:t>
      </w:r>
      <w:r>
        <w:rPr>
          <w:spacing w:val="-9"/>
        </w:rPr>
        <w:t> </w:t>
      </w:r>
      <w:r>
        <w:rPr/>
        <w:t>and</w:t>
      </w:r>
      <w:r>
        <w:rPr>
          <w:spacing w:val="-9"/>
        </w:rPr>
        <w:t> </w:t>
      </w:r>
      <w:r>
        <w:rPr/>
        <w:t>establish</w:t>
      </w:r>
      <w:r>
        <w:rPr>
          <w:spacing w:val="-9"/>
        </w:rPr>
        <w:t> </w:t>
      </w:r>
      <w:r>
        <w:rPr/>
        <w:t>social</w:t>
      </w:r>
      <w:r>
        <w:rPr>
          <w:spacing w:val="-9"/>
        </w:rPr>
        <w:t> </w:t>
      </w:r>
      <w:r>
        <w:rPr/>
        <w:t>interactions.</w:t>
      </w:r>
      <w:r>
        <w:rPr>
          <w:spacing w:val="-9"/>
        </w:rPr>
        <w:t> </w:t>
      </w:r>
      <w:r>
        <w:rPr/>
        <w:t>Furthermore,</w:t>
      </w:r>
      <w:r>
        <w:rPr>
          <w:spacing w:val="-9"/>
        </w:rPr>
        <w:t> </w:t>
      </w:r>
      <w:r>
        <w:rPr/>
        <w:t>strong communication skills facilitate active engagement in the learning process and enhance collaborative abilities with others.</w:t>
      </w:r>
    </w:p>
    <w:p>
      <w:pPr>
        <w:pStyle w:val="BodyText"/>
        <w:spacing w:line="276" w:lineRule="auto"/>
        <w:ind w:right="336" w:firstLine="705"/>
      </w:pPr>
      <w:r>
        <w:rPr/>
        <w:t>Furthermore, the communication dimension is not limited solely to verbal capabilities but also integrates proficiency in data assimilation and the articulate transformation of messages to others. Within the 21st-century pedagogical ecosystem, students</w:t>
      </w:r>
      <w:r>
        <w:rPr>
          <w:spacing w:val="-6"/>
        </w:rPr>
        <w:t> </w:t>
      </w:r>
      <w:r>
        <w:rPr/>
        <w:t>are</w:t>
      </w:r>
      <w:r>
        <w:rPr>
          <w:spacing w:val="-6"/>
        </w:rPr>
        <w:t> </w:t>
      </w:r>
      <w:r>
        <w:rPr/>
        <w:t>positioned</w:t>
      </w:r>
      <w:r>
        <w:rPr>
          <w:spacing w:val="-6"/>
        </w:rPr>
        <w:t> </w:t>
      </w:r>
      <w:r>
        <w:rPr/>
        <w:t>to implement effective communication strategies, through both oral and written modalities, to optimally express their thought constructions. The argument</w:t>
      </w:r>
      <w:r>
        <w:rPr>
          <w:spacing w:val="-6"/>
        </w:rPr>
        <w:t> </w:t>
      </w:r>
      <w:r>
        <w:rPr/>
        <w:t>by</w:t>
      </w:r>
      <w:r>
        <w:rPr>
          <w:spacing w:val="-6"/>
        </w:rPr>
        <w:t> </w:t>
      </w:r>
      <w:r>
        <w:rPr/>
        <w:t>Zubaidah</w:t>
      </w:r>
      <w:r>
        <w:rPr>
          <w:spacing w:val="-6"/>
        </w:rPr>
        <w:t> </w:t>
      </w:r>
      <w:r>
        <w:rPr/>
        <w:t>(2018)</w:t>
      </w:r>
      <w:r>
        <w:rPr>
          <w:spacing w:val="-6"/>
        </w:rPr>
        <w:t> </w:t>
      </w:r>
      <w:r>
        <w:rPr/>
        <w:t>reinforces</w:t>
      </w:r>
      <w:r>
        <w:rPr>
          <w:spacing w:val="-6"/>
        </w:rPr>
        <w:t> </w:t>
      </w:r>
      <w:r>
        <w:rPr/>
        <w:t>that communication competence occupies a crucial position within the</w:t>
      </w:r>
      <w:r>
        <w:rPr>
          <w:spacing w:val="-4"/>
        </w:rPr>
        <w:t> </w:t>
      </w:r>
      <w:r>
        <w:rPr/>
        <w:t>4C</w:t>
      </w:r>
      <w:r>
        <w:rPr>
          <w:spacing w:val="-4"/>
        </w:rPr>
        <w:t> </w:t>
      </w:r>
      <w:r>
        <w:rPr/>
        <w:t>framework</w:t>
      </w:r>
      <w:r>
        <w:rPr>
          <w:spacing w:val="-4"/>
        </w:rPr>
        <w:t> </w:t>
      </w:r>
      <w:r>
        <w:rPr/>
        <w:t>due</w:t>
      </w:r>
      <w:r>
        <w:rPr>
          <w:spacing w:val="-4"/>
        </w:rPr>
        <w:t> </w:t>
      </w:r>
      <w:r>
        <w:rPr/>
        <w:t>to</w:t>
      </w:r>
      <w:r>
        <w:rPr>
          <w:spacing w:val="-4"/>
        </w:rPr>
        <w:t> </w:t>
      </w:r>
      <w:r>
        <w:rPr/>
        <w:t>its</w:t>
      </w:r>
      <w:r>
        <w:rPr>
          <w:spacing w:val="-4"/>
        </w:rPr>
        <w:t> </w:t>
      </w:r>
      <w:r>
        <w:rPr/>
        <w:t>vital role in facilitating collaboration dynamics, problem resolution, and</w:t>
      </w:r>
      <w:r>
        <w:rPr>
          <w:spacing w:val="-5"/>
        </w:rPr>
        <w:t> </w:t>
      </w:r>
      <w:r>
        <w:rPr/>
        <w:t>the</w:t>
      </w:r>
      <w:r>
        <w:rPr>
          <w:spacing w:val="-5"/>
        </w:rPr>
        <w:t> </w:t>
      </w:r>
      <w:r>
        <w:rPr/>
        <w:t>circulation</w:t>
      </w:r>
      <w:r>
        <w:rPr>
          <w:spacing w:val="-5"/>
        </w:rPr>
        <w:t> </w:t>
      </w:r>
      <w:r>
        <w:rPr/>
        <w:t>of</w:t>
      </w:r>
      <w:r>
        <w:rPr>
          <w:spacing w:val="-5"/>
        </w:rPr>
        <w:t> </w:t>
      </w:r>
      <w:r>
        <w:rPr/>
        <w:t>knowledge throughout learning interactions. Empirical data from this investigation reveal that</w:t>
      </w:r>
      <w:r>
        <w:rPr>
          <w:spacing w:val="-7"/>
        </w:rPr>
        <w:t> </w:t>
      </w:r>
      <w:r>
        <w:rPr/>
        <w:t>the</w:t>
      </w:r>
      <w:r>
        <w:rPr>
          <w:spacing w:val="-7"/>
        </w:rPr>
        <w:t> </w:t>
      </w:r>
      <w:r>
        <w:rPr/>
        <w:t>research subjects at SMP Negeri 7 Pekalongan have fundamentally accommodated a relatively</w:t>
      </w:r>
      <w:r>
        <w:rPr>
          <w:spacing w:val="-6"/>
        </w:rPr>
        <w:t> </w:t>
      </w:r>
      <w:r>
        <w:rPr/>
        <w:t>proficient basis of communication skills, particularly at the cognitive level in interpreting information and material literacy. Nevertheless, acceleration in the realm of verbal communication—such as public speaking before a classroom audience and the spontaneous articulation of ideas—still requires continuous development.</w:t>
      </w:r>
      <w:r>
        <w:rPr>
          <w:spacing w:val="40"/>
        </w:rPr>
        <w:t> </w:t>
      </w:r>
      <w:r>
        <w:rPr/>
        <w:t>This phenomenon is confirmed to be consistent with the analysis by Putri et al. (2024), which identifies that barriers</w:t>
      </w:r>
      <w:r>
        <w:rPr>
          <w:spacing w:val="-4"/>
        </w:rPr>
        <w:t> </w:t>
      </w:r>
      <w:r>
        <w:rPr/>
        <w:t>in</w:t>
      </w:r>
      <w:r>
        <w:rPr>
          <w:spacing w:val="-4"/>
        </w:rPr>
        <w:t> </w:t>
      </w:r>
      <w:r>
        <w:rPr/>
        <w:t>oral</w:t>
      </w:r>
      <w:r>
        <w:rPr>
          <w:spacing w:val="-4"/>
        </w:rPr>
        <w:t> </w:t>
      </w:r>
      <w:r>
        <w:rPr/>
        <w:t>communication</w:t>
      </w:r>
      <w:r>
        <w:rPr>
          <w:spacing w:val="-4"/>
        </w:rPr>
        <w:t> </w:t>
      </w:r>
      <w:r>
        <w:rPr/>
        <w:t>performance remain a fundamental problem in the escalation of students' learning and innovation skills. There are indications that the</w:t>
      </w:r>
      <w:r>
        <w:rPr>
          <w:spacing w:val="-6"/>
        </w:rPr>
        <w:t> </w:t>
      </w:r>
      <w:r>
        <w:rPr/>
        <w:t>majority</w:t>
      </w:r>
      <w:r>
        <w:rPr>
          <w:spacing w:val="-6"/>
        </w:rPr>
        <w:t> </w:t>
      </w:r>
      <w:r>
        <w:rPr/>
        <w:t>of</w:t>
      </w:r>
      <w:r>
        <w:rPr>
          <w:spacing w:val="-6"/>
        </w:rPr>
        <w:t> </w:t>
      </w:r>
      <w:r>
        <w:rPr/>
        <w:t>students</w:t>
      </w:r>
      <w:r>
        <w:rPr>
          <w:spacing w:val="-6"/>
        </w:rPr>
        <w:t> </w:t>
      </w:r>
      <w:r>
        <w:rPr/>
        <w:t>still</w:t>
      </w:r>
      <w:r>
        <w:rPr>
          <w:spacing w:val="-6"/>
        </w:rPr>
        <w:t> </w:t>
      </w:r>
      <w:r>
        <w:rPr/>
        <w:t>experience</w:t>
      </w:r>
      <w:r>
        <w:rPr>
          <w:spacing w:val="-6"/>
        </w:rPr>
        <w:t> </w:t>
      </w:r>
      <w:r>
        <w:rPr/>
        <w:t>psychological</w:t>
      </w:r>
      <w:r>
        <w:rPr>
          <w:spacing w:val="-6"/>
        </w:rPr>
        <w:t> </w:t>
      </w:r>
      <w:r>
        <w:rPr/>
        <w:t>obstacles</w:t>
      </w:r>
      <w:r>
        <w:rPr>
          <w:spacing w:val="-6"/>
        </w:rPr>
        <w:t> </w:t>
      </w:r>
      <w:r>
        <w:rPr/>
        <w:t>in</w:t>
      </w:r>
      <w:r>
        <w:rPr>
          <w:spacing w:val="-6"/>
        </w:rPr>
        <w:t> </w:t>
      </w:r>
      <w:r>
        <w:rPr/>
        <w:t>the form of a self-confidence deficit when required to conduct public presentations or explicitly communicate their arguments.</w:t>
      </w:r>
    </w:p>
    <w:p>
      <w:pPr>
        <w:pStyle w:val="BodyText"/>
        <w:spacing w:line="276" w:lineRule="auto"/>
        <w:ind w:right="336" w:firstLine="705"/>
      </w:pPr>
      <w:r>
        <w:rPr/>
        <w:t>The development of communication skills can be achieved through various instructional activities that provide students with opportunities for more active speaking and discussion. According to Rahmawati and Salehudin (2021), 21st-century learning must be designed to be interactive and student-centered to grant students broader opportunities to practice their communication proficiency. Educators can implement activities such as group presentations, classroom discussions, simple debates, and project-based learning to habituate students in articulating ideas, asking questions, and providing opinions throughout the instructional</w:t>
      </w:r>
      <w:r>
        <w:rPr>
          <w:spacing w:val="40"/>
        </w:rPr>
        <w:t> </w:t>
      </w:r>
      <w:r>
        <w:rPr/>
        <w:t>process. Furthermore, the utilization of technology and digital media can be leveraged to enhance students' communication skills. Gürsoy (2021) explains that the use of digital</w:t>
      </w:r>
      <w:r>
        <w:rPr>
          <w:spacing w:val="-4"/>
        </w:rPr>
        <w:t> </w:t>
      </w:r>
      <w:r>
        <w:rPr/>
        <w:t>media</w:t>
      </w:r>
      <w:r>
        <w:rPr>
          <w:spacing w:val="-4"/>
        </w:rPr>
        <w:t> </w:t>
      </w:r>
      <w:r>
        <w:rPr/>
        <w:t>in education can create a more interactive learning environment, enabling students to be more confident in expressing their ideas and participating actively in the learning process. Additionally,</w:t>
      </w:r>
      <w:r>
        <w:rPr>
          <w:spacing w:val="21"/>
        </w:rPr>
        <w:t> </w:t>
      </w:r>
      <w:r>
        <w:rPr/>
        <w:t>Septikasari</w:t>
      </w:r>
      <w:r>
        <w:rPr>
          <w:spacing w:val="24"/>
        </w:rPr>
        <w:t> </w:t>
      </w:r>
      <w:r>
        <w:rPr/>
        <w:t>and</w:t>
      </w:r>
      <w:r>
        <w:rPr>
          <w:spacing w:val="23"/>
        </w:rPr>
        <w:t> </w:t>
      </w:r>
      <w:r>
        <w:rPr/>
        <w:t>Frasandy</w:t>
      </w:r>
      <w:r>
        <w:rPr>
          <w:spacing w:val="11"/>
        </w:rPr>
        <w:t> </w:t>
      </w:r>
      <w:r>
        <w:rPr/>
        <w:t>(2018)</w:t>
      </w:r>
      <w:r>
        <w:rPr>
          <w:spacing w:val="10"/>
        </w:rPr>
        <w:t> </w:t>
      </w:r>
      <w:r>
        <w:rPr/>
        <w:t>suggest</w:t>
      </w:r>
      <w:r>
        <w:rPr>
          <w:spacing w:val="11"/>
        </w:rPr>
        <w:t> </w:t>
      </w:r>
      <w:r>
        <w:rPr/>
        <w:t>that</w:t>
      </w:r>
      <w:r>
        <w:rPr>
          <w:spacing w:val="10"/>
        </w:rPr>
        <w:t> </w:t>
      </w:r>
      <w:r>
        <w:rPr/>
        <w:t>teachers</w:t>
      </w:r>
      <w:r>
        <w:rPr>
          <w:spacing w:val="11"/>
        </w:rPr>
        <w:t> </w:t>
      </w:r>
      <w:r>
        <w:rPr/>
        <w:t>adopt</w:t>
      </w:r>
      <w:r>
        <w:rPr>
          <w:spacing w:val="10"/>
        </w:rPr>
        <w:t> </w:t>
      </w:r>
      <w:r>
        <w:rPr/>
        <w:t>dialectical</w:t>
      </w:r>
      <w:r>
        <w:rPr>
          <w:spacing w:val="11"/>
        </w:rPr>
        <w:t> </w:t>
      </w:r>
      <w:r>
        <w:rPr>
          <w:spacing w:val="-2"/>
        </w:rPr>
        <w:t>discussion</w:t>
      </w:r>
    </w:p>
    <w:p>
      <w:pPr>
        <w:pStyle w:val="BodyText"/>
        <w:spacing w:after="0" w:line="276" w:lineRule="auto"/>
        <w:sectPr>
          <w:pgSz w:w="12240" w:h="15840"/>
          <w:pgMar w:header="1168" w:footer="1200" w:top="1360" w:bottom="1460" w:left="1080" w:right="1080"/>
        </w:sectPr>
      </w:pPr>
    </w:p>
    <w:p>
      <w:pPr>
        <w:pStyle w:val="BodyText"/>
        <w:spacing w:before="121" w:after="1"/>
        <w:ind w:left="0"/>
        <w:jc w:val="left"/>
        <w:rPr>
          <w:sz w:val="20"/>
        </w:rPr>
      </w:pPr>
    </w:p>
    <w:p>
      <w:pPr>
        <w:spacing w:line="20" w:lineRule="exact"/>
        <w:ind w:left="340" w:right="0" w:firstLine="0"/>
        <w:rPr>
          <w:sz w:val="2"/>
        </w:rPr>
      </w:pPr>
      <w:r>
        <w:rPr>
          <w:sz w:val="2"/>
        </w:rPr>
        <mc:AlternateContent>
          <mc:Choice Requires="wps">
            <w:drawing>
              <wp:inline distT="0" distB="0" distL="0" distR="0">
                <wp:extent cx="5969000" cy="12700"/>
                <wp:effectExtent l="9525" t="0" r="3175" b="6350"/>
                <wp:docPr id="14" name="Group 14"/>
                <wp:cNvGraphicFramePr>
                  <a:graphicFrameLocks/>
                </wp:cNvGraphicFramePr>
                <a:graphic>
                  <a:graphicData uri="http://schemas.microsoft.com/office/word/2010/wordprocessingGroup">
                    <wpg:wgp>
                      <wpg:cNvPr id="14" name="Group 14"/>
                      <wpg:cNvGrpSpPr/>
                      <wpg:grpSpPr>
                        <a:xfrm>
                          <a:off x="0" y="0"/>
                          <a:ext cx="5969000" cy="12700"/>
                          <a:chExt cx="5969000" cy="12700"/>
                        </a:xfrm>
                      </wpg:grpSpPr>
                      <wps:wsp>
                        <wps:cNvPr id="15" name="Graphic 15"/>
                        <wps:cNvSpPr/>
                        <wps:spPr>
                          <a:xfrm>
                            <a:off x="0" y="635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0pt;height:1pt;mso-position-horizontal-relative:char;mso-position-vertical-relative:line" id="docshapegroup7" coordorigin="0,0" coordsize="9400,20">
                <v:line style="position:absolute" from="0,10" to="9400,10" stroked="true" strokeweight="1.0pt" strokecolor="#000000">
                  <v:stroke dashstyle="solid"/>
                </v:line>
              </v:group>
            </w:pict>
          </mc:Fallback>
        </mc:AlternateContent>
      </w:r>
      <w:r>
        <w:rPr>
          <w:sz w:val="2"/>
        </w:rPr>
      </w:r>
    </w:p>
    <w:p>
      <w:pPr>
        <w:pStyle w:val="BodyText"/>
        <w:spacing w:line="276" w:lineRule="auto"/>
        <w:ind w:right="338"/>
      </w:pPr>
      <w:r>
        <w:rPr/>
        <w:t>methods to stimulate courage in expressing opinions. Furthermore, Maulana et al. (2022) demonstrate that the use of interactive media, such as podcasts, can serve as an effective alternative to reduce speech anxiety and improve students' speaking fluency.”</w:t>
      </w:r>
    </w:p>
    <w:p>
      <w:pPr>
        <w:pStyle w:val="BodyText"/>
        <w:spacing w:line="276" w:lineRule="auto"/>
        <w:ind w:right="336" w:firstLine="705"/>
      </w:pPr>
      <w:r>
        <w:rPr/>
        <w:t>Broadly speaking, the analytical results across all 4C components at SMP Negeri 7 Pekalongan confirm that students have established a</w:t>
      </w:r>
      <w:r>
        <w:rPr>
          <w:spacing w:val="-8"/>
        </w:rPr>
        <w:t> </w:t>
      </w:r>
      <w:r>
        <w:rPr/>
        <w:t>sufficiently</w:t>
      </w:r>
      <w:r>
        <w:rPr>
          <w:spacing w:val="-8"/>
        </w:rPr>
        <w:t> </w:t>
      </w:r>
      <w:r>
        <w:rPr/>
        <w:t>robust</w:t>
      </w:r>
      <w:r>
        <w:rPr>
          <w:spacing w:val="-8"/>
        </w:rPr>
        <w:t> </w:t>
      </w:r>
      <w:r>
        <w:rPr/>
        <w:t>foundation</w:t>
      </w:r>
      <w:r>
        <w:rPr>
          <w:spacing w:val="-8"/>
        </w:rPr>
        <w:t> </w:t>
      </w:r>
      <w:r>
        <w:rPr/>
        <w:t>in</w:t>
      </w:r>
      <w:r>
        <w:rPr>
          <w:spacing w:val="-8"/>
        </w:rPr>
        <w:t> </w:t>
      </w:r>
      <w:r>
        <w:rPr/>
        <w:t>mastering 4C skills. Although variations in scores exist among specific indicators, the average scores consistently falling within the "good" category demonstrate that the adaptation process to modern educational requirements has been effectively implemented at</w:t>
      </w:r>
      <w:r>
        <w:rPr>
          <w:spacing w:val="-6"/>
        </w:rPr>
        <w:t> </w:t>
      </w:r>
      <w:r>
        <w:rPr/>
        <w:t>the</w:t>
      </w:r>
      <w:r>
        <w:rPr>
          <w:spacing w:val="-6"/>
        </w:rPr>
        <w:t> </w:t>
      </w:r>
      <w:r>
        <w:rPr/>
        <w:t>institution.</w:t>
      </w:r>
      <w:r>
        <w:rPr>
          <w:spacing w:val="-6"/>
        </w:rPr>
        <w:t> </w:t>
      </w:r>
      <w:r>
        <w:rPr/>
        <w:t>Another pivotal factor supporting this achievement is the students' proficiency in utilizing technological tools and</w:t>
      </w:r>
      <w:r>
        <w:rPr>
          <w:spacing w:val="-5"/>
        </w:rPr>
        <w:t> </w:t>
      </w:r>
      <w:r>
        <w:rPr/>
        <w:t>their</w:t>
      </w:r>
      <w:r>
        <w:rPr>
          <w:spacing w:val="-5"/>
        </w:rPr>
        <w:t> </w:t>
      </w:r>
      <w:r>
        <w:rPr/>
        <w:t>autonomy</w:t>
      </w:r>
      <w:r>
        <w:rPr>
          <w:spacing w:val="-5"/>
        </w:rPr>
        <w:t> </w:t>
      </w:r>
      <w:r>
        <w:rPr/>
        <w:t>in</w:t>
      </w:r>
      <w:r>
        <w:rPr>
          <w:spacing w:val="-5"/>
        </w:rPr>
        <w:t> </w:t>
      </w:r>
      <w:r>
        <w:rPr/>
        <w:t>accessing</w:t>
      </w:r>
      <w:r>
        <w:rPr>
          <w:spacing w:val="-5"/>
        </w:rPr>
        <w:t> </w:t>
      </w:r>
      <w:r>
        <w:rPr/>
        <w:t>various</w:t>
      </w:r>
      <w:r>
        <w:rPr>
          <w:spacing w:val="-5"/>
        </w:rPr>
        <w:t> </w:t>
      </w:r>
      <w:r>
        <w:rPr/>
        <w:t>digital</w:t>
      </w:r>
      <w:r>
        <w:rPr>
          <w:spacing w:val="-5"/>
        </w:rPr>
        <w:t> </w:t>
      </w:r>
      <w:r>
        <w:rPr/>
        <w:t>information</w:t>
      </w:r>
      <w:r>
        <w:rPr>
          <w:spacing w:val="-5"/>
        </w:rPr>
        <w:t> </w:t>
      </w:r>
      <w:r>
        <w:rPr/>
        <w:t>sources</w:t>
      </w:r>
      <w:r>
        <w:rPr>
          <w:spacing w:val="-5"/>
        </w:rPr>
        <w:t> </w:t>
      </w:r>
      <w:r>
        <w:rPr/>
        <w:t>to</w:t>
      </w:r>
      <w:r>
        <w:rPr>
          <w:spacing w:val="-5"/>
        </w:rPr>
        <w:t> </w:t>
      </w:r>
      <w:r>
        <w:rPr/>
        <w:t>enrich</w:t>
      </w:r>
      <w:r>
        <w:rPr>
          <w:spacing w:val="-5"/>
        </w:rPr>
        <w:t> </w:t>
      </w:r>
      <w:r>
        <w:rPr/>
        <w:t>their</w:t>
      </w:r>
      <w:r>
        <w:rPr>
          <w:spacing w:val="-5"/>
        </w:rPr>
        <w:t> </w:t>
      </w:r>
      <w:r>
        <w:rPr/>
        <w:t>learning perspectives. This readiness in digital literacy constitutes a crucial</w:t>
      </w:r>
      <w:r>
        <w:rPr>
          <w:spacing w:val="-4"/>
        </w:rPr>
        <w:t> </w:t>
      </w:r>
      <w:r>
        <w:rPr/>
        <w:t>asset</w:t>
      </w:r>
      <w:r>
        <w:rPr>
          <w:spacing w:val="-4"/>
        </w:rPr>
        <w:t> </w:t>
      </w:r>
      <w:r>
        <w:rPr/>
        <w:t>and</w:t>
      </w:r>
      <w:r>
        <w:rPr>
          <w:spacing w:val="-4"/>
        </w:rPr>
        <w:t> </w:t>
      </w:r>
      <w:r>
        <w:rPr/>
        <w:t>an</w:t>
      </w:r>
      <w:r>
        <w:rPr>
          <w:spacing w:val="-4"/>
        </w:rPr>
        <w:t> </w:t>
      </w:r>
      <w:r>
        <w:rPr/>
        <w:t>inseparable</w:t>
      </w:r>
      <w:r>
        <w:rPr>
          <w:spacing w:val="-4"/>
        </w:rPr>
        <w:t> </w:t>
      </w:r>
      <w:r>
        <w:rPr/>
        <w:t>part of 21st-century skill development, enabling students to remain relevant amidst rapid scientific and technological progress (Koul et al., 2021). As a conclusion to this results and discussion section, the students' success in attaining the "good" category across all 4C dimensions is expected to encourage educators to persistently innovate their teaching methodologies. The primary focus for subsequent initiatives should be on reinforcing aspects with relatively lower scores, specifically oral communication skills and self-confidence in presentations, to foster a more balanced development of student competencies (Kennedy &amp; Sundberg, 2020). In alignment with the findings of Putri et al. (2024), the provision of more specific attention and guidance for students who still encounter difficulties is vital to ensure that every individual is equally prepared to realize their future aspirations.</w:t>
      </w:r>
    </w:p>
    <w:p>
      <w:pPr>
        <w:pStyle w:val="Heading1"/>
        <w:spacing w:before="291"/>
      </w:pPr>
      <w:r>
        <w:rPr>
          <w:spacing w:val="-2"/>
        </w:rPr>
        <w:t>CONCLUSION</w:t>
      </w:r>
    </w:p>
    <w:p>
      <w:pPr>
        <w:pStyle w:val="BodyText"/>
        <w:spacing w:line="276" w:lineRule="auto" w:before="44"/>
        <w:ind w:right="339" w:firstLine="705"/>
      </w:pPr>
      <w:r>
        <w:rPr/>
        <w:t>Based on the analysis, it can be concluded that students at SMP Negeri 7 Pekalongan have established a robust foundation in 21st-century skills (4C), with all dimensions classified within the "Good" category. The collaboration dimension emerged as the students' primary strength with a mean score of 3.90, followed by critical thinking (3.86) and creativity (3.85). Conversely, the communication dimension (3.80) necessitates targeted attention, particularly concerning the low levels of student self-confidence during oral presentations. Accordingly,</w:t>
      </w:r>
      <w:r>
        <w:rPr>
          <w:spacing w:val="-6"/>
        </w:rPr>
        <w:t> </w:t>
      </w:r>
      <w:r>
        <w:rPr/>
        <w:t>it</w:t>
      </w:r>
      <w:r>
        <w:rPr>
          <w:spacing w:val="-6"/>
        </w:rPr>
        <w:t> </w:t>
      </w:r>
      <w:r>
        <w:rPr/>
        <w:t>is recommended that the school further integrate active learning methodologies, such as classroom discussions and group presentations, to optimize students' communication and creativity competencies, ensuring they are competitively prepared to address global challenges.</w:t>
      </w:r>
    </w:p>
    <w:p>
      <w:pPr>
        <w:pStyle w:val="BodyText"/>
        <w:ind w:left="0"/>
        <w:jc w:val="left"/>
      </w:pPr>
    </w:p>
    <w:p>
      <w:pPr>
        <w:pStyle w:val="Heading1"/>
      </w:pPr>
      <w:r>
        <w:rPr>
          <w:spacing w:val="-2"/>
        </w:rPr>
        <w:t>REFERENCES</w:t>
      </w:r>
    </w:p>
    <w:p>
      <w:pPr>
        <w:spacing w:before="0"/>
        <w:ind w:left="908" w:right="340" w:hanging="570"/>
        <w:jc w:val="both"/>
        <w:rPr>
          <w:sz w:val="24"/>
        </w:rPr>
      </w:pPr>
      <w:r>
        <w:rPr>
          <w:sz w:val="24"/>
        </w:rPr>
        <w:t>Afandi, A., Sajidan, S., Akhyar, M., &amp; Suryani, N. (2019). Pre-service science teachers' 21st century skills: The contribution of gender and types of colleges. </w:t>
      </w:r>
      <w:r>
        <w:rPr>
          <w:i/>
          <w:sz w:val="24"/>
        </w:rPr>
        <w:t>Journal for the </w:t>
      </w:r>
      <w:r>
        <w:rPr>
          <w:i/>
          <w:sz w:val="24"/>
        </w:rPr>
        <w:t>Education of Gifted Young Scientists</w:t>
      </w:r>
      <w:r>
        <w:rPr>
          <w:sz w:val="24"/>
        </w:rPr>
        <w:t>, 7(4), 911-929.</w:t>
      </w:r>
    </w:p>
    <w:p>
      <w:pPr>
        <w:spacing w:after="0"/>
        <w:jc w:val="both"/>
        <w:rPr>
          <w:sz w:val="24"/>
        </w:rPr>
        <w:sectPr>
          <w:pgSz w:w="12240" w:h="15840"/>
          <w:pgMar w:header="1168" w:footer="1200" w:top="1360" w:bottom="1400" w:left="1080" w:right="1080"/>
        </w:sectPr>
      </w:pPr>
    </w:p>
    <w:p>
      <w:pPr>
        <w:spacing w:before="234"/>
        <w:ind w:left="338" w:right="0" w:firstLine="6070"/>
        <w:jc w:val="left"/>
        <w:rPr>
          <w:rFonts w:ascii="Cambria"/>
          <w:b/>
          <w:sz w:val="20"/>
        </w:rPr>
      </w:pPr>
      <w:r>
        <w:rPr>
          <w:rFonts w:ascii="Cambria"/>
          <w:b/>
          <w:sz w:val="20"/>
        </w:rPr>
        <w:t>Indonesian</w:t>
      </w:r>
      <w:r>
        <w:rPr>
          <w:rFonts w:ascii="Cambria"/>
          <w:b/>
          <w:spacing w:val="-11"/>
          <w:sz w:val="20"/>
        </w:rPr>
        <w:t> </w:t>
      </w:r>
      <w:r>
        <w:rPr>
          <w:rFonts w:ascii="Cambria"/>
          <w:b/>
          <w:sz w:val="20"/>
        </w:rPr>
        <w:t>Science</w:t>
      </w:r>
      <w:r>
        <w:rPr>
          <w:rFonts w:ascii="Cambria"/>
          <w:b/>
          <w:spacing w:val="-9"/>
          <w:sz w:val="20"/>
        </w:rPr>
        <w:t> </w:t>
      </w:r>
      <w:r>
        <w:rPr>
          <w:rFonts w:ascii="Cambria"/>
          <w:b/>
          <w:sz w:val="20"/>
        </w:rPr>
        <w:t>Education</w:t>
      </w:r>
      <w:r>
        <w:rPr>
          <w:rFonts w:ascii="Cambria"/>
          <w:b/>
          <w:spacing w:val="-8"/>
          <w:sz w:val="20"/>
        </w:rPr>
        <w:t> </w:t>
      </w:r>
      <w:r>
        <w:rPr>
          <w:rFonts w:ascii="Cambria"/>
          <w:b/>
          <w:spacing w:val="-2"/>
          <w:sz w:val="20"/>
        </w:rPr>
        <w:t>Letter</w:t>
      </w:r>
    </w:p>
    <w:p>
      <w:pPr>
        <w:pStyle w:val="BodyText"/>
        <w:spacing w:before="10"/>
        <w:ind w:left="0"/>
        <w:jc w:val="left"/>
        <w:rPr>
          <w:rFonts w:ascii="Cambria"/>
          <w:b/>
          <w:sz w:val="20"/>
        </w:rPr>
      </w:pPr>
    </w:p>
    <w:p>
      <w:pPr>
        <w:pStyle w:val="BodyText"/>
        <w:ind w:left="908" w:right="340" w:hanging="570"/>
      </w:pPr>
      <w:r>
        <w:rPr/>
        <w:t>Anazifa, R. D., &amp; Abu, N. J. (2017). Project-based learning and</w:t>
      </w:r>
      <w:r>
        <w:rPr>
          <w:spacing w:val="-5"/>
        </w:rPr>
        <w:t> </w:t>
      </w:r>
      <w:r>
        <w:rPr/>
        <w:t>problem-based</w:t>
      </w:r>
      <w:r>
        <w:rPr>
          <w:spacing w:val="-5"/>
        </w:rPr>
        <w:t> </w:t>
      </w:r>
      <w:r>
        <w:rPr/>
        <w:t>learning:</w:t>
      </w:r>
      <w:r>
        <w:rPr>
          <w:spacing w:val="-5"/>
        </w:rPr>
        <w:t> </w:t>
      </w:r>
      <w:r>
        <w:rPr/>
        <w:t>Are</w:t>
      </w:r>
      <w:r>
        <w:rPr>
          <w:spacing w:val="-5"/>
        </w:rPr>
        <w:t> </w:t>
      </w:r>
      <w:r>
        <w:rPr/>
        <w:t>they effective</w:t>
      </w:r>
      <w:r>
        <w:rPr>
          <w:spacing w:val="40"/>
        </w:rPr>
        <w:t> </w:t>
      </w:r>
      <w:r>
        <w:rPr/>
        <w:t>to</w:t>
      </w:r>
      <w:r>
        <w:rPr>
          <w:spacing w:val="40"/>
        </w:rPr>
        <w:t> </w:t>
      </w:r>
      <w:r>
        <w:rPr/>
        <w:t>improve</w:t>
      </w:r>
      <w:r>
        <w:rPr>
          <w:spacing w:val="40"/>
        </w:rPr>
        <w:t> </w:t>
      </w:r>
      <w:r>
        <w:rPr/>
        <w:t>student's</w:t>
      </w:r>
      <w:r>
        <w:rPr>
          <w:spacing w:val="40"/>
        </w:rPr>
        <w:t> </w:t>
      </w:r>
      <w:r>
        <w:rPr/>
        <w:t>thinking</w:t>
      </w:r>
      <w:r>
        <w:rPr>
          <w:spacing w:val="40"/>
        </w:rPr>
        <w:t> </w:t>
      </w:r>
      <w:r>
        <w:rPr/>
        <w:t>skills?</w:t>
      </w:r>
      <w:r>
        <w:rPr>
          <w:spacing w:val="40"/>
        </w:rPr>
        <w:t> </w:t>
      </w:r>
      <w:r>
        <w:rPr>
          <w:i/>
        </w:rPr>
        <w:t>Jurnal</w:t>
      </w:r>
      <w:r>
        <w:rPr>
          <w:i/>
          <w:spacing w:val="40"/>
        </w:rPr>
        <w:t> </w:t>
      </w:r>
      <w:r>
        <w:rPr>
          <w:i/>
        </w:rPr>
        <w:t>Pendidikan</w:t>
      </w:r>
      <w:r>
        <w:rPr>
          <w:i/>
          <w:spacing w:val="40"/>
        </w:rPr>
        <w:t> </w:t>
      </w:r>
      <w:r>
        <w:rPr>
          <w:i/>
        </w:rPr>
        <w:t>IPA</w:t>
      </w:r>
      <w:r>
        <w:rPr>
          <w:i/>
          <w:spacing w:val="40"/>
        </w:rPr>
        <w:t> </w:t>
      </w:r>
      <w:r>
        <w:rPr>
          <w:i/>
        </w:rPr>
        <w:t>Indonesia</w:t>
      </w:r>
      <w:r>
        <w:rPr/>
        <w:t>,</w:t>
      </w:r>
      <w:r>
        <w:rPr>
          <w:spacing w:val="40"/>
        </w:rPr>
        <w:t> </w:t>
      </w:r>
      <w:r>
        <w:rPr/>
        <w:t>6(2), </w:t>
      </w:r>
      <w:r>
        <w:rPr>
          <w:spacing w:val="-2"/>
        </w:rPr>
        <w:t>346-355</w:t>
      </w:r>
    </w:p>
    <w:p>
      <w:pPr>
        <w:pStyle w:val="BodyText"/>
      </w:pPr>
      <w:r>
        <w:rPr/>
        <w:t>Gürsoy,</w:t>
      </w:r>
      <w:r>
        <w:rPr>
          <w:spacing w:val="67"/>
        </w:rPr>
        <w:t> </w:t>
      </w:r>
      <w:r>
        <w:rPr/>
        <w:t>G.</w:t>
      </w:r>
      <w:r>
        <w:rPr>
          <w:spacing w:val="70"/>
        </w:rPr>
        <w:t> </w:t>
      </w:r>
      <w:r>
        <w:rPr/>
        <w:t>(2021).</w:t>
      </w:r>
      <w:r>
        <w:rPr>
          <w:spacing w:val="70"/>
        </w:rPr>
        <w:t> </w:t>
      </w:r>
      <w:r>
        <w:rPr/>
        <w:t>Digital</w:t>
      </w:r>
      <w:r>
        <w:rPr>
          <w:spacing w:val="69"/>
        </w:rPr>
        <w:t> </w:t>
      </w:r>
      <w:r>
        <w:rPr/>
        <w:t>storytelling:</w:t>
      </w:r>
      <w:r>
        <w:rPr>
          <w:spacing w:val="70"/>
        </w:rPr>
        <w:t> </w:t>
      </w:r>
      <w:r>
        <w:rPr/>
        <w:t>Developing</w:t>
      </w:r>
      <w:r>
        <w:rPr>
          <w:spacing w:val="70"/>
        </w:rPr>
        <w:t> </w:t>
      </w:r>
      <w:r>
        <w:rPr/>
        <w:t>21st</w:t>
      </w:r>
      <w:r>
        <w:rPr>
          <w:spacing w:val="55"/>
        </w:rPr>
        <w:t> </w:t>
      </w:r>
      <w:r>
        <w:rPr/>
        <w:t>century</w:t>
      </w:r>
      <w:r>
        <w:rPr>
          <w:spacing w:val="55"/>
        </w:rPr>
        <w:t> </w:t>
      </w:r>
      <w:r>
        <w:rPr/>
        <w:t>skills</w:t>
      </w:r>
      <w:r>
        <w:rPr>
          <w:spacing w:val="55"/>
        </w:rPr>
        <w:t> </w:t>
      </w:r>
      <w:r>
        <w:rPr/>
        <w:t>in</w:t>
      </w:r>
      <w:r>
        <w:rPr>
          <w:spacing w:val="55"/>
        </w:rPr>
        <w:t> </w:t>
      </w:r>
      <w:r>
        <w:rPr/>
        <w:t>science</w:t>
      </w:r>
      <w:r>
        <w:rPr>
          <w:spacing w:val="56"/>
        </w:rPr>
        <w:t> </w:t>
      </w:r>
      <w:r>
        <w:rPr>
          <w:spacing w:val="-2"/>
        </w:rPr>
        <w:t>education.</w:t>
      </w:r>
    </w:p>
    <w:p>
      <w:pPr>
        <w:spacing w:before="0"/>
        <w:ind w:left="908" w:right="0" w:firstLine="0"/>
        <w:jc w:val="both"/>
        <w:rPr>
          <w:sz w:val="24"/>
        </w:rPr>
      </w:pPr>
      <w:r>
        <w:rPr>
          <w:i/>
          <w:sz w:val="24"/>
        </w:rPr>
        <w:t>European</w:t>
      </w:r>
      <w:r>
        <w:rPr>
          <w:i/>
          <w:spacing w:val="-3"/>
          <w:sz w:val="24"/>
        </w:rPr>
        <w:t> </w:t>
      </w:r>
      <w:r>
        <w:rPr>
          <w:i/>
          <w:sz w:val="24"/>
        </w:rPr>
        <w:t>Journal</w:t>
      </w:r>
      <w:r>
        <w:rPr>
          <w:i/>
          <w:spacing w:val="-2"/>
          <w:sz w:val="24"/>
        </w:rPr>
        <w:t> </w:t>
      </w:r>
      <w:r>
        <w:rPr>
          <w:i/>
          <w:sz w:val="24"/>
        </w:rPr>
        <w:t>of</w:t>
      </w:r>
      <w:r>
        <w:rPr>
          <w:i/>
          <w:spacing w:val="-2"/>
          <w:sz w:val="24"/>
        </w:rPr>
        <w:t> </w:t>
      </w:r>
      <w:r>
        <w:rPr>
          <w:i/>
          <w:sz w:val="24"/>
        </w:rPr>
        <w:t>Educational</w:t>
      </w:r>
      <w:r>
        <w:rPr>
          <w:i/>
          <w:spacing w:val="-3"/>
          <w:sz w:val="24"/>
        </w:rPr>
        <w:t> </w:t>
      </w:r>
      <w:r>
        <w:rPr>
          <w:i/>
          <w:sz w:val="24"/>
        </w:rPr>
        <w:t>Research,</w:t>
      </w:r>
      <w:r>
        <w:rPr>
          <w:i/>
          <w:spacing w:val="-2"/>
          <w:sz w:val="24"/>
        </w:rPr>
        <w:t> </w:t>
      </w:r>
      <w:r>
        <w:rPr>
          <w:sz w:val="24"/>
        </w:rPr>
        <w:t>10(1),</w:t>
      </w:r>
      <w:r>
        <w:rPr>
          <w:spacing w:val="-2"/>
          <w:sz w:val="24"/>
        </w:rPr>
        <w:t> </w:t>
      </w:r>
      <w:r>
        <w:rPr>
          <w:sz w:val="24"/>
        </w:rPr>
        <w:t>97–</w:t>
      </w:r>
      <w:r>
        <w:rPr>
          <w:spacing w:val="-4"/>
          <w:sz w:val="24"/>
        </w:rPr>
        <w:t>113.</w:t>
      </w:r>
    </w:p>
    <w:p>
      <w:pPr>
        <w:pStyle w:val="BodyText"/>
      </w:pPr>
      <w:r>
        <w:rPr/>
        <w:t>Hidayah,</w:t>
      </w:r>
      <w:r>
        <w:rPr>
          <w:spacing w:val="39"/>
        </w:rPr>
        <w:t> </w:t>
      </w:r>
      <w:r>
        <w:rPr/>
        <w:t>R.,</w:t>
      </w:r>
      <w:r>
        <w:rPr>
          <w:spacing w:val="41"/>
        </w:rPr>
        <w:t> </w:t>
      </w:r>
      <w:r>
        <w:rPr/>
        <w:t>Salimi,</w:t>
      </w:r>
      <w:r>
        <w:rPr>
          <w:spacing w:val="41"/>
        </w:rPr>
        <w:t> </w:t>
      </w:r>
      <w:r>
        <w:rPr/>
        <w:t>M.,</w:t>
      </w:r>
      <w:r>
        <w:rPr>
          <w:spacing w:val="42"/>
        </w:rPr>
        <w:t> </w:t>
      </w:r>
      <w:r>
        <w:rPr/>
        <w:t>&amp;</w:t>
      </w:r>
      <w:r>
        <w:rPr>
          <w:spacing w:val="41"/>
        </w:rPr>
        <w:t> </w:t>
      </w:r>
      <w:r>
        <w:rPr/>
        <w:t>Susiani,</w:t>
      </w:r>
      <w:r>
        <w:rPr>
          <w:spacing w:val="41"/>
        </w:rPr>
        <w:t> </w:t>
      </w:r>
      <w:r>
        <w:rPr/>
        <w:t>T.</w:t>
      </w:r>
      <w:r>
        <w:rPr>
          <w:spacing w:val="42"/>
        </w:rPr>
        <w:t> </w:t>
      </w:r>
      <w:r>
        <w:rPr/>
        <w:t>S.</w:t>
      </w:r>
      <w:r>
        <w:rPr>
          <w:spacing w:val="41"/>
        </w:rPr>
        <w:t> </w:t>
      </w:r>
      <w:r>
        <w:rPr/>
        <w:t>(2020).</w:t>
      </w:r>
      <w:r>
        <w:rPr>
          <w:spacing w:val="41"/>
        </w:rPr>
        <w:t> </w:t>
      </w:r>
      <w:r>
        <w:rPr/>
        <w:t>Critical</w:t>
      </w:r>
      <w:r>
        <w:rPr>
          <w:spacing w:val="42"/>
        </w:rPr>
        <w:t> </w:t>
      </w:r>
      <w:r>
        <w:rPr/>
        <w:t>thinking</w:t>
      </w:r>
      <w:r>
        <w:rPr>
          <w:spacing w:val="26"/>
        </w:rPr>
        <w:t> </w:t>
      </w:r>
      <w:r>
        <w:rPr/>
        <w:t>skill:</w:t>
      </w:r>
      <w:r>
        <w:rPr>
          <w:spacing w:val="27"/>
        </w:rPr>
        <w:t> </w:t>
      </w:r>
      <w:r>
        <w:rPr/>
        <w:t>Concept</w:t>
      </w:r>
      <w:r>
        <w:rPr>
          <w:spacing w:val="27"/>
        </w:rPr>
        <w:t> </w:t>
      </w:r>
      <w:r>
        <w:rPr/>
        <w:t>and</w:t>
      </w:r>
      <w:r>
        <w:rPr>
          <w:spacing w:val="27"/>
        </w:rPr>
        <w:t> </w:t>
      </w:r>
      <w:r>
        <w:rPr>
          <w:spacing w:val="-2"/>
        </w:rPr>
        <w:t>indicators.</w:t>
      </w:r>
    </w:p>
    <w:p>
      <w:pPr>
        <w:spacing w:before="0"/>
        <w:ind w:left="908" w:right="0" w:firstLine="0"/>
        <w:jc w:val="both"/>
        <w:rPr>
          <w:sz w:val="24"/>
        </w:rPr>
      </w:pPr>
      <w:r>
        <w:rPr>
          <w:i/>
          <w:sz w:val="24"/>
        </w:rPr>
        <w:t>Jurnal</w:t>
      </w:r>
      <w:r>
        <w:rPr>
          <w:i/>
          <w:spacing w:val="-6"/>
          <w:sz w:val="24"/>
        </w:rPr>
        <w:t> </w:t>
      </w:r>
      <w:r>
        <w:rPr>
          <w:i/>
          <w:sz w:val="24"/>
        </w:rPr>
        <w:t>Taman</w:t>
      </w:r>
      <w:r>
        <w:rPr>
          <w:i/>
          <w:spacing w:val="-5"/>
          <w:sz w:val="24"/>
        </w:rPr>
        <w:t> </w:t>
      </w:r>
      <w:r>
        <w:rPr>
          <w:i/>
          <w:sz w:val="24"/>
        </w:rPr>
        <w:t>Cendekia</w:t>
      </w:r>
      <w:r>
        <w:rPr>
          <w:sz w:val="24"/>
        </w:rPr>
        <w:t>,</w:t>
      </w:r>
      <w:r>
        <w:rPr>
          <w:spacing w:val="-5"/>
          <w:sz w:val="24"/>
        </w:rPr>
        <w:t> </w:t>
      </w:r>
      <w:r>
        <w:rPr>
          <w:sz w:val="24"/>
        </w:rPr>
        <w:t>4(2),</w:t>
      </w:r>
      <w:r>
        <w:rPr>
          <w:spacing w:val="-5"/>
          <w:sz w:val="24"/>
        </w:rPr>
        <w:t> </w:t>
      </w:r>
      <w:r>
        <w:rPr>
          <w:sz w:val="24"/>
        </w:rPr>
        <w:t>497-</w:t>
      </w:r>
      <w:r>
        <w:rPr>
          <w:spacing w:val="-4"/>
          <w:sz w:val="24"/>
        </w:rPr>
        <w:t>506.</w:t>
      </w:r>
    </w:p>
    <w:p>
      <w:pPr>
        <w:spacing w:before="0"/>
        <w:ind w:left="908" w:right="338" w:hanging="570"/>
        <w:jc w:val="both"/>
        <w:rPr>
          <w:sz w:val="24"/>
        </w:rPr>
      </w:pPr>
      <w:r>
        <w:rPr>
          <w:sz w:val="24"/>
        </w:rPr>
        <w:t>Irwansyah, M., &amp; Perkasa, M.</w:t>
      </w:r>
      <w:r>
        <w:rPr>
          <w:spacing w:val="-5"/>
          <w:sz w:val="24"/>
        </w:rPr>
        <w:t> </w:t>
      </w:r>
      <w:r>
        <w:rPr>
          <w:sz w:val="24"/>
        </w:rPr>
        <w:t>(2022).</w:t>
      </w:r>
      <w:r>
        <w:rPr>
          <w:spacing w:val="-5"/>
          <w:sz w:val="24"/>
        </w:rPr>
        <w:t> </w:t>
      </w:r>
      <w:r>
        <w:rPr>
          <w:i/>
          <w:sz w:val="24"/>
        </w:rPr>
        <w:t>Scientific</w:t>
      </w:r>
      <w:r>
        <w:rPr>
          <w:i/>
          <w:spacing w:val="-5"/>
          <w:sz w:val="24"/>
        </w:rPr>
        <w:t> </w:t>
      </w:r>
      <w:r>
        <w:rPr>
          <w:i/>
          <w:sz w:val="24"/>
        </w:rPr>
        <w:t>approach</w:t>
      </w:r>
      <w:r>
        <w:rPr>
          <w:i/>
          <w:spacing w:val="-5"/>
          <w:sz w:val="24"/>
        </w:rPr>
        <w:t> </w:t>
      </w:r>
      <w:r>
        <w:rPr>
          <w:i/>
          <w:sz w:val="24"/>
        </w:rPr>
        <w:t>dalam</w:t>
      </w:r>
      <w:r>
        <w:rPr>
          <w:i/>
          <w:spacing w:val="-5"/>
          <w:sz w:val="24"/>
        </w:rPr>
        <w:t> </w:t>
      </w:r>
      <w:r>
        <w:rPr>
          <w:i/>
          <w:sz w:val="24"/>
        </w:rPr>
        <w:t>pembelajaran</w:t>
      </w:r>
      <w:r>
        <w:rPr>
          <w:i/>
          <w:spacing w:val="-5"/>
          <w:sz w:val="24"/>
        </w:rPr>
        <w:t> </w:t>
      </w:r>
      <w:r>
        <w:rPr>
          <w:i/>
          <w:sz w:val="24"/>
        </w:rPr>
        <w:t>abad</w:t>
      </w:r>
      <w:r>
        <w:rPr>
          <w:i/>
          <w:spacing w:val="-5"/>
          <w:sz w:val="24"/>
        </w:rPr>
        <w:t> </w:t>
      </w:r>
      <w:r>
        <w:rPr>
          <w:i/>
          <w:sz w:val="24"/>
        </w:rPr>
        <w:t>21</w:t>
      </w:r>
      <w:r>
        <w:rPr>
          <w:sz w:val="24"/>
        </w:rPr>
        <w:t>.</w:t>
      </w:r>
      <w:r>
        <w:rPr>
          <w:spacing w:val="-5"/>
          <w:sz w:val="24"/>
        </w:rPr>
        <w:t> </w:t>
      </w:r>
      <w:r>
        <w:rPr>
          <w:sz w:val="24"/>
        </w:rPr>
        <w:t>Penerbit </w:t>
      </w:r>
      <w:r>
        <w:rPr>
          <w:spacing w:val="-4"/>
          <w:sz w:val="24"/>
        </w:rPr>
        <w:t>NEM.</w:t>
      </w:r>
    </w:p>
    <w:p>
      <w:pPr>
        <w:spacing w:before="0"/>
        <w:ind w:left="338" w:right="0" w:firstLine="0"/>
        <w:jc w:val="both"/>
        <w:rPr>
          <w:sz w:val="24"/>
        </w:rPr>
      </w:pPr>
      <w:r>
        <w:rPr>
          <w:sz w:val="24"/>
        </w:rPr>
        <w:t>Kennedy,</w:t>
      </w:r>
      <w:r>
        <w:rPr>
          <w:spacing w:val="-10"/>
          <w:sz w:val="24"/>
        </w:rPr>
        <w:t> </w:t>
      </w:r>
      <w:r>
        <w:rPr>
          <w:sz w:val="24"/>
        </w:rPr>
        <w:t>T.</w:t>
      </w:r>
      <w:r>
        <w:rPr>
          <w:spacing w:val="-8"/>
          <w:sz w:val="24"/>
        </w:rPr>
        <w:t> </w:t>
      </w:r>
      <w:r>
        <w:rPr>
          <w:sz w:val="24"/>
        </w:rPr>
        <w:t>J.,</w:t>
      </w:r>
      <w:r>
        <w:rPr>
          <w:spacing w:val="-7"/>
          <w:sz w:val="24"/>
        </w:rPr>
        <w:t> </w:t>
      </w:r>
      <w:r>
        <w:rPr>
          <w:sz w:val="24"/>
        </w:rPr>
        <w:t>&amp;</w:t>
      </w:r>
      <w:r>
        <w:rPr>
          <w:spacing w:val="-8"/>
          <w:sz w:val="24"/>
        </w:rPr>
        <w:t> </w:t>
      </w:r>
      <w:r>
        <w:rPr>
          <w:sz w:val="24"/>
        </w:rPr>
        <w:t>Sundberg,</w:t>
      </w:r>
      <w:r>
        <w:rPr>
          <w:spacing w:val="-8"/>
          <w:sz w:val="24"/>
        </w:rPr>
        <w:t> </w:t>
      </w:r>
      <w:r>
        <w:rPr>
          <w:sz w:val="24"/>
        </w:rPr>
        <w:t>C.</w:t>
      </w:r>
      <w:r>
        <w:rPr>
          <w:spacing w:val="-7"/>
          <w:sz w:val="24"/>
        </w:rPr>
        <w:t> </w:t>
      </w:r>
      <w:r>
        <w:rPr>
          <w:sz w:val="24"/>
        </w:rPr>
        <w:t>W.</w:t>
      </w:r>
      <w:r>
        <w:rPr>
          <w:spacing w:val="-8"/>
          <w:sz w:val="24"/>
        </w:rPr>
        <w:t> </w:t>
      </w:r>
      <w:r>
        <w:rPr>
          <w:sz w:val="24"/>
        </w:rPr>
        <w:t>(2020).</w:t>
      </w:r>
      <w:r>
        <w:rPr>
          <w:spacing w:val="-8"/>
          <w:sz w:val="24"/>
        </w:rPr>
        <w:t> </w:t>
      </w:r>
      <w:r>
        <w:rPr>
          <w:i/>
          <w:sz w:val="24"/>
        </w:rPr>
        <w:t>21st</w:t>
      </w:r>
      <w:r>
        <w:rPr>
          <w:i/>
          <w:spacing w:val="-7"/>
          <w:sz w:val="24"/>
        </w:rPr>
        <w:t> </w:t>
      </w:r>
      <w:r>
        <w:rPr>
          <w:i/>
          <w:sz w:val="24"/>
        </w:rPr>
        <w:t>century</w:t>
      </w:r>
      <w:r>
        <w:rPr>
          <w:i/>
          <w:spacing w:val="-8"/>
          <w:sz w:val="24"/>
        </w:rPr>
        <w:t> </w:t>
      </w:r>
      <w:r>
        <w:rPr>
          <w:i/>
          <w:sz w:val="24"/>
        </w:rPr>
        <w:t>skills</w:t>
      </w:r>
      <w:r>
        <w:rPr>
          <w:sz w:val="24"/>
        </w:rPr>
        <w:t>.</w:t>
      </w:r>
      <w:r>
        <w:rPr>
          <w:spacing w:val="-7"/>
          <w:sz w:val="24"/>
        </w:rPr>
        <w:t> </w:t>
      </w:r>
      <w:r>
        <w:rPr>
          <w:spacing w:val="-2"/>
          <w:sz w:val="24"/>
        </w:rPr>
        <w:t>Springer.</w:t>
      </w:r>
    </w:p>
    <w:p>
      <w:pPr>
        <w:spacing w:before="0"/>
        <w:ind w:left="338" w:right="0" w:firstLine="0"/>
        <w:jc w:val="both"/>
        <w:rPr>
          <w:sz w:val="24"/>
        </w:rPr>
      </w:pPr>
      <w:r>
        <w:rPr>
          <w:sz w:val="24"/>
        </w:rPr>
        <w:t>Koul,</w:t>
      </w:r>
      <w:r>
        <w:rPr>
          <w:spacing w:val="-7"/>
          <w:sz w:val="24"/>
        </w:rPr>
        <w:t> </w:t>
      </w:r>
      <w:r>
        <w:rPr>
          <w:sz w:val="24"/>
        </w:rPr>
        <w:t>R.</w:t>
      </w:r>
      <w:r>
        <w:rPr>
          <w:spacing w:val="-5"/>
          <w:sz w:val="24"/>
        </w:rPr>
        <w:t> </w:t>
      </w:r>
      <w:r>
        <w:rPr>
          <w:sz w:val="24"/>
        </w:rPr>
        <w:t>B.,</w:t>
      </w:r>
      <w:r>
        <w:rPr>
          <w:spacing w:val="-4"/>
          <w:sz w:val="24"/>
        </w:rPr>
        <w:t> </w:t>
      </w:r>
      <w:r>
        <w:rPr>
          <w:sz w:val="24"/>
        </w:rPr>
        <w:t>Sheffield,</w:t>
      </w:r>
      <w:r>
        <w:rPr>
          <w:spacing w:val="-5"/>
          <w:sz w:val="24"/>
        </w:rPr>
        <w:t> </w:t>
      </w:r>
      <w:r>
        <w:rPr>
          <w:sz w:val="24"/>
        </w:rPr>
        <w:t>R.,</w:t>
      </w:r>
      <w:r>
        <w:rPr>
          <w:spacing w:val="-5"/>
          <w:sz w:val="24"/>
        </w:rPr>
        <w:t> </w:t>
      </w:r>
      <w:r>
        <w:rPr>
          <w:sz w:val="24"/>
        </w:rPr>
        <w:t>&amp;</w:t>
      </w:r>
      <w:r>
        <w:rPr>
          <w:spacing w:val="-4"/>
          <w:sz w:val="24"/>
        </w:rPr>
        <w:t> </w:t>
      </w:r>
      <w:r>
        <w:rPr>
          <w:sz w:val="24"/>
        </w:rPr>
        <w:t>McIlvenny,</w:t>
      </w:r>
      <w:r>
        <w:rPr>
          <w:spacing w:val="-5"/>
          <w:sz w:val="24"/>
        </w:rPr>
        <w:t> </w:t>
      </w:r>
      <w:r>
        <w:rPr>
          <w:sz w:val="24"/>
        </w:rPr>
        <w:t>L.</w:t>
      </w:r>
      <w:r>
        <w:rPr>
          <w:spacing w:val="-5"/>
          <w:sz w:val="24"/>
        </w:rPr>
        <w:t> </w:t>
      </w:r>
      <w:r>
        <w:rPr>
          <w:sz w:val="24"/>
        </w:rPr>
        <w:t>(2021).</w:t>
      </w:r>
      <w:r>
        <w:rPr>
          <w:spacing w:val="-4"/>
          <w:sz w:val="24"/>
        </w:rPr>
        <w:t> </w:t>
      </w:r>
      <w:r>
        <w:rPr>
          <w:i/>
          <w:sz w:val="24"/>
        </w:rPr>
        <w:t>Teaching</w:t>
      </w:r>
      <w:r>
        <w:rPr>
          <w:i/>
          <w:spacing w:val="-5"/>
          <w:sz w:val="24"/>
        </w:rPr>
        <w:t> </w:t>
      </w:r>
      <w:r>
        <w:rPr>
          <w:i/>
          <w:sz w:val="24"/>
        </w:rPr>
        <w:t>21st</w:t>
      </w:r>
      <w:r>
        <w:rPr>
          <w:i/>
          <w:spacing w:val="-5"/>
          <w:sz w:val="24"/>
        </w:rPr>
        <w:t> </w:t>
      </w:r>
      <w:r>
        <w:rPr>
          <w:i/>
          <w:sz w:val="24"/>
        </w:rPr>
        <w:t>century</w:t>
      </w:r>
      <w:r>
        <w:rPr>
          <w:i/>
          <w:spacing w:val="-4"/>
          <w:sz w:val="24"/>
        </w:rPr>
        <w:t> </w:t>
      </w:r>
      <w:r>
        <w:rPr>
          <w:i/>
          <w:sz w:val="24"/>
        </w:rPr>
        <w:t>skills.</w:t>
      </w:r>
      <w:r>
        <w:rPr>
          <w:i/>
          <w:spacing w:val="-5"/>
          <w:sz w:val="24"/>
        </w:rPr>
        <w:t> </w:t>
      </w:r>
      <w:r>
        <w:rPr>
          <w:sz w:val="24"/>
        </w:rPr>
        <w:t>Springer</w:t>
      </w:r>
      <w:r>
        <w:rPr>
          <w:spacing w:val="-4"/>
          <w:sz w:val="24"/>
        </w:rPr>
        <w:t> </w:t>
      </w:r>
      <w:r>
        <w:rPr>
          <w:spacing w:val="-2"/>
          <w:sz w:val="24"/>
        </w:rPr>
        <w:t>Singapore.</w:t>
      </w:r>
    </w:p>
    <w:p>
      <w:pPr>
        <w:spacing w:before="0"/>
        <w:ind w:left="908" w:right="337" w:hanging="570"/>
        <w:jc w:val="both"/>
        <w:rPr>
          <w:sz w:val="24"/>
        </w:rPr>
      </w:pPr>
      <w:r>
        <w:rPr>
          <w:sz w:val="24"/>
        </w:rPr>
        <w:t>Koyuncuoglu, D. (2021). An investigation of potential leadership and innovation skills of university students. </w:t>
      </w:r>
      <w:r>
        <w:rPr>
          <w:i/>
          <w:sz w:val="24"/>
        </w:rPr>
        <w:t>International Journal of Education in Mathematics, Science and Technology, </w:t>
      </w:r>
      <w:r>
        <w:rPr>
          <w:sz w:val="24"/>
        </w:rPr>
        <w:t>9(1), 103-115.</w:t>
      </w:r>
    </w:p>
    <w:p>
      <w:pPr>
        <w:pStyle w:val="BodyText"/>
        <w:ind w:left="908" w:right="346" w:hanging="570"/>
      </w:pPr>
      <w:r>
        <w:rPr/>
        <w:t>Lestari, P., &amp; Maryani, E. (2020). Penguatan keterampilan kolaborasi dalam pembelajaran IPS </w:t>
      </w:r>
      <w:r>
        <w:rPr/>
        <w:t>di sekolah menengah pertama. </w:t>
      </w:r>
      <w:r>
        <w:rPr>
          <w:i/>
        </w:rPr>
        <w:t>Jurnal Pendidikan Ilmu Sosial</w:t>
      </w:r>
      <w:r>
        <w:rPr/>
        <w:t>, 29(1), 32-41.</w:t>
      </w:r>
    </w:p>
    <w:p>
      <w:pPr>
        <w:pStyle w:val="BodyText"/>
        <w:ind w:left="908" w:right="342" w:hanging="570"/>
      </w:pPr>
      <w:r>
        <w:rPr/>
        <w:t>Mardhiyah, R. H., Aldriani, S. N. F., Chitta, F., &amp; Zulfikar, M. R. (2021). Pentingnya keterampilan belajar di abad 21 sebagai perancangan inovasi pembelajaran. </w:t>
      </w:r>
      <w:r>
        <w:rPr>
          <w:i/>
        </w:rPr>
        <w:t>Jurnal Pendidikan</w:t>
      </w:r>
      <w:r>
        <w:rPr/>
        <w:t>, 12(1),</w:t>
      </w:r>
      <w:r>
        <w:rPr>
          <w:spacing w:val="40"/>
        </w:rPr>
        <w:t> </w:t>
      </w:r>
      <w:r>
        <w:rPr>
          <w:spacing w:val="-2"/>
        </w:rPr>
        <w:t>29-40.</w:t>
      </w:r>
    </w:p>
    <w:p>
      <w:pPr>
        <w:pStyle w:val="BodyText"/>
        <w:ind w:left="908" w:right="339" w:hanging="570"/>
      </w:pPr>
      <w:r>
        <w:rPr/>
        <w:t>Maulana, I., Rusman, R., &amp; Ardiansyah, A. (2022). Penggunaan media podcast untuk meningkatkan keterampilan berbicara dan kepercayaan diri siswa. </w:t>
      </w:r>
      <w:r>
        <w:rPr>
          <w:i/>
        </w:rPr>
        <w:t>Jurnal Teknologi Pendidikan, </w:t>
      </w:r>
      <w:r>
        <w:rPr/>
        <w:t>11(2), 145-158.</w:t>
      </w:r>
    </w:p>
    <w:p>
      <w:pPr>
        <w:pStyle w:val="BodyText"/>
        <w:ind w:left="908" w:right="350" w:hanging="570"/>
      </w:pPr>
      <w:r>
        <w:rPr/>
        <w:t>Mu’min, I., Wahyuni, S., &amp; Rosidi, I. (2023). Pengaruh model project based learning terhadap keterampilan berpikir kreatif siswa SMP. </w:t>
      </w:r>
      <w:r>
        <w:rPr>
          <w:i/>
        </w:rPr>
        <w:t>Jurnal Pendidikan Sains Indonesia</w:t>
      </w:r>
      <w:r>
        <w:rPr/>
        <w:t>, 11(1), 88-97.</w:t>
      </w:r>
    </w:p>
    <w:p>
      <w:pPr>
        <w:spacing w:before="0"/>
        <w:ind w:left="908" w:right="336" w:hanging="570"/>
        <w:jc w:val="both"/>
        <w:rPr>
          <w:sz w:val="24"/>
        </w:rPr>
      </w:pPr>
      <w:r>
        <w:rPr>
          <w:sz w:val="24"/>
        </w:rPr>
        <w:t>Mulyeni, T., Jamaris, M., &amp; Supriyati, Y. (2019). Improving creative thinking skills through direct instruction based on 21st century learning. </w:t>
      </w:r>
      <w:r>
        <w:rPr>
          <w:i/>
          <w:sz w:val="24"/>
        </w:rPr>
        <w:t>Journal of Applied Science, Engineering, Technology, and Education</w:t>
      </w:r>
      <w:r>
        <w:rPr>
          <w:sz w:val="24"/>
        </w:rPr>
        <w:t>, 1(2), 146-152.</w:t>
      </w:r>
    </w:p>
    <w:p>
      <w:pPr>
        <w:spacing w:before="0"/>
        <w:ind w:left="908" w:right="349" w:hanging="570"/>
        <w:jc w:val="both"/>
        <w:rPr>
          <w:sz w:val="24"/>
        </w:rPr>
      </w:pPr>
      <w:r>
        <w:rPr>
          <w:sz w:val="24"/>
        </w:rPr>
        <w:t>Pawar, R., Kulkarni, S., &amp; Patil, S. (2020). Project based learning: An innovative approach for integrating 21st century skills. </w:t>
      </w:r>
      <w:r>
        <w:rPr>
          <w:i/>
          <w:sz w:val="24"/>
        </w:rPr>
        <w:t>Journal of Engineering Education Transformations</w:t>
      </w:r>
      <w:r>
        <w:rPr>
          <w:sz w:val="24"/>
        </w:rPr>
        <w:t>, 58-63.</w:t>
      </w:r>
    </w:p>
    <w:p>
      <w:pPr>
        <w:spacing w:before="0"/>
        <w:ind w:left="908" w:right="336" w:hanging="570"/>
        <w:jc w:val="both"/>
        <w:rPr>
          <w:sz w:val="24"/>
        </w:rPr>
      </w:pPr>
      <w:r>
        <w:rPr>
          <w:sz w:val="24"/>
        </w:rPr>
        <w:t>Pratama, G. S., &amp; Retnawati, H. (2019). Urgency of 21st century skills and</w:t>
      </w:r>
      <w:r>
        <w:rPr>
          <w:spacing w:val="-5"/>
          <w:sz w:val="24"/>
        </w:rPr>
        <w:t> </w:t>
      </w:r>
      <w:r>
        <w:rPr>
          <w:sz w:val="24"/>
        </w:rPr>
        <w:t>content</w:t>
      </w:r>
      <w:r>
        <w:rPr>
          <w:spacing w:val="-5"/>
          <w:sz w:val="24"/>
        </w:rPr>
        <w:t> </w:t>
      </w:r>
      <w:r>
        <w:rPr>
          <w:sz w:val="24"/>
        </w:rPr>
        <w:t>complexity</w:t>
      </w:r>
      <w:r>
        <w:rPr>
          <w:spacing w:val="-5"/>
          <w:sz w:val="24"/>
        </w:rPr>
        <w:t> </w:t>
      </w:r>
      <w:r>
        <w:rPr>
          <w:sz w:val="24"/>
        </w:rPr>
        <w:t>in junior high school mathematics. </w:t>
      </w:r>
      <w:r>
        <w:rPr>
          <w:i/>
          <w:sz w:val="24"/>
        </w:rPr>
        <w:t>Journal of Physics: Conference Series</w:t>
      </w:r>
      <w:r>
        <w:rPr>
          <w:sz w:val="24"/>
        </w:rPr>
        <w:t>, 1320(1), 012097.</w:t>
      </w:r>
    </w:p>
    <w:p>
      <w:pPr>
        <w:pStyle w:val="BodyText"/>
        <w:ind w:left="908" w:right="346" w:hanging="570"/>
      </w:pPr>
      <w:r>
        <w:rPr/>
        <w:t>Putri, A., Anas, N., &amp; Adlini, M. N. (2023). Analisis keterampilan abad 21 siswa dalam pembelajaran biologi. Pendekar: </w:t>
      </w:r>
      <w:r>
        <w:rPr>
          <w:i/>
        </w:rPr>
        <w:t>Jurnal Pendidikan Berkarakter</w:t>
      </w:r>
      <w:r>
        <w:rPr/>
        <w:t>, 1(5), 01-17.</w:t>
      </w:r>
    </w:p>
    <w:p>
      <w:pPr>
        <w:pStyle w:val="BodyText"/>
        <w:ind w:left="908" w:right="337" w:hanging="570"/>
      </w:pPr>
      <w:r>
        <w:rPr/>
        <w:t>Putri, R. A., Samudra, A. A., &amp; Junaidi, S. (2024). Analysis of students’ learning skills and innovation skills at SMK Negeri 2 Padang Panjang. </w:t>
      </w:r>
      <w:r>
        <w:rPr>
          <w:i/>
        </w:rPr>
        <w:t>Journal of Educational Sciences</w:t>
      </w:r>
      <w:r>
        <w:rPr/>
        <w:t>, 8(2), </w:t>
      </w:r>
      <w:r>
        <w:rPr>
          <w:spacing w:val="-2"/>
        </w:rPr>
        <w:t>259-269.</w:t>
      </w:r>
    </w:p>
    <w:p>
      <w:pPr>
        <w:spacing w:before="0"/>
        <w:ind w:left="908" w:right="343" w:hanging="570"/>
        <w:jc w:val="both"/>
        <w:rPr>
          <w:sz w:val="24"/>
        </w:rPr>
      </w:pPr>
      <w:r>
        <w:rPr>
          <w:sz w:val="24"/>
        </w:rPr>
        <w:t>Rahmawati, Y. P., &amp; Salehudin, M. (2021). Optimalisasi pembelajaran abad 21 pada SMP dan SMA. </w:t>
      </w:r>
      <w:r>
        <w:rPr>
          <w:i/>
          <w:sz w:val="24"/>
        </w:rPr>
        <w:t>Journal of Instructional and Development Researches</w:t>
      </w:r>
      <w:r>
        <w:rPr>
          <w:sz w:val="24"/>
        </w:rPr>
        <w:t>, 1(3), 112-122.</w:t>
      </w:r>
    </w:p>
    <w:p>
      <w:pPr>
        <w:spacing w:before="0"/>
        <w:ind w:left="908" w:right="344" w:hanging="570"/>
        <w:jc w:val="both"/>
        <w:rPr>
          <w:sz w:val="24"/>
        </w:rPr>
      </w:pPr>
      <w:r>
        <w:rPr>
          <w:sz w:val="24"/>
        </w:rPr>
        <w:t>Rambe, S., Nasution, M., &amp; Siregar, H. (2023). Analisis kemampuan komunikasi matematis dan kepercayaan</w:t>
      </w:r>
      <w:r>
        <w:rPr>
          <w:spacing w:val="-11"/>
          <w:sz w:val="24"/>
        </w:rPr>
        <w:t> </w:t>
      </w:r>
      <w:r>
        <w:rPr>
          <w:sz w:val="24"/>
        </w:rPr>
        <w:t>diri</w:t>
      </w:r>
      <w:r>
        <w:rPr>
          <w:spacing w:val="-8"/>
          <w:sz w:val="24"/>
        </w:rPr>
        <w:t> </w:t>
      </w:r>
      <w:r>
        <w:rPr>
          <w:sz w:val="24"/>
        </w:rPr>
        <w:t>siswa</w:t>
      </w:r>
      <w:r>
        <w:rPr>
          <w:spacing w:val="-8"/>
          <w:sz w:val="24"/>
        </w:rPr>
        <w:t> </w:t>
      </w:r>
      <w:r>
        <w:rPr>
          <w:sz w:val="24"/>
        </w:rPr>
        <w:t>SMP.</w:t>
      </w:r>
      <w:r>
        <w:rPr>
          <w:spacing w:val="-9"/>
          <w:sz w:val="24"/>
        </w:rPr>
        <w:t> </w:t>
      </w:r>
      <w:r>
        <w:rPr>
          <w:i/>
          <w:sz w:val="24"/>
        </w:rPr>
        <w:t>Jurnal</w:t>
      </w:r>
      <w:r>
        <w:rPr>
          <w:i/>
          <w:spacing w:val="-8"/>
          <w:sz w:val="24"/>
        </w:rPr>
        <w:t> </w:t>
      </w:r>
      <w:r>
        <w:rPr>
          <w:i/>
          <w:sz w:val="24"/>
        </w:rPr>
        <w:t>Cendekia:</w:t>
      </w:r>
      <w:r>
        <w:rPr>
          <w:i/>
          <w:spacing w:val="-8"/>
          <w:sz w:val="24"/>
        </w:rPr>
        <w:t> </w:t>
      </w:r>
      <w:r>
        <w:rPr>
          <w:i/>
          <w:sz w:val="24"/>
        </w:rPr>
        <w:t>Jurnal</w:t>
      </w:r>
      <w:r>
        <w:rPr>
          <w:i/>
          <w:spacing w:val="-9"/>
          <w:sz w:val="24"/>
        </w:rPr>
        <w:t> </w:t>
      </w:r>
      <w:r>
        <w:rPr>
          <w:i/>
          <w:sz w:val="24"/>
        </w:rPr>
        <w:t>Pendidikan</w:t>
      </w:r>
      <w:r>
        <w:rPr>
          <w:i/>
          <w:spacing w:val="-8"/>
          <w:sz w:val="24"/>
        </w:rPr>
        <w:t> </w:t>
      </w:r>
      <w:r>
        <w:rPr>
          <w:i/>
          <w:sz w:val="24"/>
        </w:rPr>
        <w:t>Matematika</w:t>
      </w:r>
      <w:r>
        <w:rPr>
          <w:sz w:val="24"/>
        </w:rPr>
        <w:t>,</w:t>
      </w:r>
      <w:r>
        <w:rPr>
          <w:spacing w:val="-8"/>
          <w:sz w:val="24"/>
        </w:rPr>
        <w:t> </w:t>
      </w:r>
      <w:r>
        <w:rPr>
          <w:sz w:val="24"/>
        </w:rPr>
        <w:t>7(1),</w:t>
      </w:r>
      <w:r>
        <w:rPr>
          <w:spacing w:val="-8"/>
          <w:sz w:val="24"/>
        </w:rPr>
        <w:t> </w:t>
      </w:r>
      <w:r>
        <w:rPr>
          <w:sz w:val="24"/>
        </w:rPr>
        <w:t>234-</w:t>
      </w:r>
      <w:r>
        <w:rPr>
          <w:spacing w:val="-4"/>
          <w:sz w:val="24"/>
        </w:rPr>
        <w:t>245.</w:t>
      </w:r>
    </w:p>
    <w:p>
      <w:pPr>
        <w:spacing w:after="0"/>
        <w:jc w:val="both"/>
        <w:rPr>
          <w:sz w:val="24"/>
        </w:rPr>
        <w:sectPr>
          <w:pgSz w:w="12240" w:h="15840"/>
          <w:pgMar w:header="1168" w:footer="1200" w:top="1360" w:bottom="1460" w:left="1080" w:right="1080"/>
        </w:sectPr>
      </w:pPr>
    </w:p>
    <w:p>
      <w:pPr>
        <w:pStyle w:val="BodyText"/>
        <w:spacing w:before="121" w:after="1"/>
        <w:ind w:left="0"/>
        <w:jc w:val="left"/>
        <w:rPr>
          <w:sz w:val="20"/>
        </w:rPr>
      </w:pPr>
    </w:p>
    <w:p>
      <w:pPr>
        <w:spacing w:line="20" w:lineRule="exact"/>
        <w:ind w:left="340" w:right="0" w:firstLine="0"/>
        <w:rPr>
          <w:sz w:val="2"/>
        </w:rPr>
      </w:pPr>
      <w:r>
        <w:rPr>
          <w:sz w:val="2"/>
        </w:rPr>
        <mc:AlternateContent>
          <mc:Choice Requires="wps">
            <w:drawing>
              <wp:inline distT="0" distB="0" distL="0" distR="0">
                <wp:extent cx="5969000" cy="12700"/>
                <wp:effectExtent l="9525" t="0" r="3175" b="6350"/>
                <wp:docPr id="16" name="Group 16"/>
                <wp:cNvGraphicFramePr>
                  <a:graphicFrameLocks/>
                </wp:cNvGraphicFramePr>
                <a:graphic>
                  <a:graphicData uri="http://schemas.microsoft.com/office/word/2010/wordprocessingGroup">
                    <wpg:wgp>
                      <wpg:cNvPr id="16" name="Group 16"/>
                      <wpg:cNvGrpSpPr/>
                      <wpg:grpSpPr>
                        <a:xfrm>
                          <a:off x="0" y="0"/>
                          <a:ext cx="5969000" cy="12700"/>
                          <a:chExt cx="5969000" cy="12700"/>
                        </a:xfrm>
                      </wpg:grpSpPr>
                      <wps:wsp>
                        <wps:cNvPr id="17" name="Graphic 17"/>
                        <wps:cNvSpPr/>
                        <wps:spPr>
                          <a:xfrm>
                            <a:off x="0" y="6350"/>
                            <a:ext cx="5969000" cy="1270"/>
                          </a:xfrm>
                          <a:custGeom>
                            <a:avLst/>
                            <a:gdLst/>
                            <a:ahLst/>
                            <a:cxnLst/>
                            <a:rect l="l" t="t" r="r" b="b"/>
                            <a:pathLst>
                              <a:path w="5969000" h="0">
                                <a:moveTo>
                                  <a:pt x="0" y="0"/>
                                </a:moveTo>
                                <a:lnTo>
                                  <a:pt x="5968999"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70pt;height:1pt;mso-position-horizontal-relative:char;mso-position-vertical-relative:line" id="docshapegroup8" coordorigin="0,0" coordsize="9400,20">
                <v:line style="position:absolute" from="0,10" to="9400,10" stroked="true" strokeweight="1.0pt" strokecolor="#000000">
                  <v:stroke dashstyle="solid"/>
                </v:line>
              </v:group>
            </w:pict>
          </mc:Fallback>
        </mc:AlternateContent>
      </w:r>
      <w:r>
        <w:rPr>
          <w:sz w:val="2"/>
        </w:rPr>
      </w:r>
    </w:p>
    <w:p>
      <w:pPr>
        <w:pStyle w:val="BodyText"/>
      </w:pPr>
      <w:r>
        <w:rPr/>
        <w:t>Redhana,</w:t>
      </w:r>
      <w:r>
        <w:rPr>
          <w:spacing w:val="36"/>
        </w:rPr>
        <w:t> </w:t>
      </w:r>
      <w:r>
        <w:rPr/>
        <w:t>I.</w:t>
      </w:r>
      <w:r>
        <w:rPr>
          <w:spacing w:val="36"/>
        </w:rPr>
        <w:t> </w:t>
      </w:r>
      <w:r>
        <w:rPr/>
        <w:t>W.</w:t>
      </w:r>
      <w:r>
        <w:rPr>
          <w:spacing w:val="37"/>
        </w:rPr>
        <w:t> </w:t>
      </w:r>
      <w:r>
        <w:rPr/>
        <w:t>(2019).</w:t>
      </w:r>
      <w:r>
        <w:rPr>
          <w:spacing w:val="22"/>
        </w:rPr>
        <w:t> </w:t>
      </w:r>
      <w:r>
        <w:rPr/>
        <w:t>Mengembangkan</w:t>
      </w:r>
      <w:r>
        <w:rPr>
          <w:spacing w:val="23"/>
        </w:rPr>
        <w:t> </w:t>
      </w:r>
      <w:r>
        <w:rPr/>
        <w:t>keterampilan</w:t>
      </w:r>
      <w:r>
        <w:rPr>
          <w:spacing w:val="22"/>
        </w:rPr>
        <w:t> </w:t>
      </w:r>
      <w:r>
        <w:rPr/>
        <w:t>abad</w:t>
      </w:r>
      <w:r>
        <w:rPr>
          <w:spacing w:val="23"/>
        </w:rPr>
        <w:t> </w:t>
      </w:r>
      <w:r>
        <w:rPr/>
        <w:t>ke-21</w:t>
      </w:r>
      <w:r>
        <w:rPr>
          <w:spacing w:val="22"/>
        </w:rPr>
        <w:t> </w:t>
      </w:r>
      <w:r>
        <w:rPr/>
        <w:t>dalam</w:t>
      </w:r>
      <w:r>
        <w:rPr>
          <w:spacing w:val="23"/>
        </w:rPr>
        <w:t> </w:t>
      </w:r>
      <w:r>
        <w:rPr/>
        <w:t>pembelajaran</w:t>
      </w:r>
      <w:r>
        <w:rPr>
          <w:spacing w:val="23"/>
        </w:rPr>
        <w:t> </w:t>
      </w:r>
      <w:r>
        <w:rPr>
          <w:spacing w:val="-2"/>
        </w:rPr>
        <w:t>kimia.</w:t>
      </w:r>
    </w:p>
    <w:p>
      <w:pPr>
        <w:spacing w:before="0"/>
        <w:ind w:left="908" w:right="0" w:firstLine="0"/>
        <w:jc w:val="both"/>
        <w:rPr>
          <w:sz w:val="24"/>
        </w:rPr>
      </w:pPr>
      <w:r>
        <w:rPr>
          <w:i/>
          <w:sz w:val="24"/>
        </w:rPr>
        <w:t>Jurnal</w:t>
      </w:r>
      <w:r>
        <w:rPr>
          <w:i/>
          <w:spacing w:val="-3"/>
          <w:sz w:val="24"/>
        </w:rPr>
        <w:t> </w:t>
      </w:r>
      <w:r>
        <w:rPr>
          <w:i/>
          <w:sz w:val="24"/>
        </w:rPr>
        <w:t>Inovasi</w:t>
      </w:r>
      <w:r>
        <w:rPr>
          <w:i/>
          <w:spacing w:val="-3"/>
          <w:sz w:val="24"/>
        </w:rPr>
        <w:t> </w:t>
      </w:r>
      <w:r>
        <w:rPr>
          <w:i/>
          <w:sz w:val="24"/>
        </w:rPr>
        <w:t>Pendidikan</w:t>
      </w:r>
      <w:r>
        <w:rPr>
          <w:i/>
          <w:spacing w:val="-3"/>
          <w:sz w:val="24"/>
        </w:rPr>
        <w:t> </w:t>
      </w:r>
      <w:r>
        <w:rPr>
          <w:i/>
          <w:sz w:val="24"/>
        </w:rPr>
        <w:t>Kimia,</w:t>
      </w:r>
      <w:r>
        <w:rPr>
          <w:i/>
          <w:spacing w:val="-3"/>
          <w:sz w:val="24"/>
        </w:rPr>
        <w:t> </w:t>
      </w:r>
      <w:r>
        <w:rPr>
          <w:sz w:val="24"/>
        </w:rPr>
        <w:t>13(1),</w:t>
      </w:r>
      <w:r>
        <w:rPr>
          <w:spacing w:val="-3"/>
          <w:sz w:val="24"/>
        </w:rPr>
        <w:t> </w:t>
      </w:r>
      <w:r>
        <w:rPr>
          <w:sz w:val="24"/>
        </w:rPr>
        <w:t>2239-</w:t>
      </w:r>
      <w:r>
        <w:rPr>
          <w:spacing w:val="-2"/>
          <w:sz w:val="24"/>
        </w:rPr>
        <w:t>2253.</w:t>
      </w:r>
    </w:p>
    <w:p>
      <w:pPr>
        <w:pStyle w:val="BodyText"/>
        <w:ind w:left="908" w:right="342" w:hanging="570"/>
      </w:pPr>
      <w:r>
        <w:rPr/>
        <w:t>Rohmah, H. N., Suherman, A., &amp; Utami, I.</w:t>
      </w:r>
      <w:r>
        <w:rPr>
          <w:spacing w:val="-4"/>
        </w:rPr>
        <w:t> </w:t>
      </w:r>
      <w:r>
        <w:rPr/>
        <w:t>S.</w:t>
      </w:r>
      <w:r>
        <w:rPr>
          <w:spacing w:val="-4"/>
        </w:rPr>
        <w:t> </w:t>
      </w:r>
      <w:r>
        <w:rPr/>
        <w:t>(2021).</w:t>
      </w:r>
      <w:r>
        <w:rPr>
          <w:spacing w:val="-4"/>
        </w:rPr>
        <w:t> </w:t>
      </w:r>
      <w:r>
        <w:rPr/>
        <w:t>Penerapan</w:t>
      </w:r>
      <w:r>
        <w:rPr>
          <w:spacing w:val="-4"/>
        </w:rPr>
        <w:t> </w:t>
      </w:r>
      <w:r>
        <w:rPr/>
        <w:t>problem</w:t>
      </w:r>
      <w:r>
        <w:rPr>
          <w:spacing w:val="-4"/>
        </w:rPr>
        <w:t> </w:t>
      </w:r>
      <w:r>
        <w:rPr/>
        <w:t>based</w:t>
      </w:r>
      <w:r>
        <w:rPr>
          <w:spacing w:val="-4"/>
        </w:rPr>
        <w:t> </w:t>
      </w:r>
      <w:r>
        <w:rPr/>
        <w:t>learning</w:t>
      </w:r>
      <w:r>
        <w:rPr>
          <w:spacing w:val="-4"/>
        </w:rPr>
        <w:t> </w:t>
      </w:r>
      <w:r>
        <w:rPr/>
        <w:t>berbasis STEM pada materi alat</w:t>
      </w:r>
      <w:r>
        <w:rPr>
          <w:spacing w:val="-6"/>
        </w:rPr>
        <w:t> </w:t>
      </w:r>
      <w:r>
        <w:rPr/>
        <w:t>optik</w:t>
      </w:r>
      <w:r>
        <w:rPr>
          <w:spacing w:val="-6"/>
        </w:rPr>
        <w:t> </w:t>
      </w:r>
      <w:r>
        <w:rPr/>
        <w:t>untuk</w:t>
      </w:r>
      <w:r>
        <w:rPr>
          <w:spacing w:val="-6"/>
        </w:rPr>
        <w:t> </w:t>
      </w:r>
      <w:r>
        <w:rPr/>
        <w:t>meningkatkan</w:t>
      </w:r>
      <w:r>
        <w:rPr>
          <w:spacing w:val="-6"/>
        </w:rPr>
        <w:t> </w:t>
      </w:r>
      <w:r>
        <w:rPr/>
        <w:t>kemampuan</w:t>
      </w:r>
      <w:r>
        <w:rPr>
          <w:spacing w:val="-6"/>
        </w:rPr>
        <w:t> </w:t>
      </w:r>
      <w:r>
        <w:rPr/>
        <w:t>berpikir</w:t>
      </w:r>
      <w:r>
        <w:rPr>
          <w:spacing w:val="-6"/>
        </w:rPr>
        <w:t> </w:t>
      </w:r>
      <w:r>
        <w:rPr/>
        <w:t>kritis</w:t>
      </w:r>
      <w:r>
        <w:rPr>
          <w:spacing w:val="-6"/>
        </w:rPr>
        <w:t> </w:t>
      </w:r>
      <w:r>
        <w:rPr/>
        <w:t>peserta</w:t>
      </w:r>
      <w:r>
        <w:rPr>
          <w:spacing w:val="-6"/>
        </w:rPr>
        <w:t> </w:t>
      </w:r>
      <w:r>
        <w:rPr/>
        <w:t>didik. </w:t>
      </w:r>
      <w:r>
        <w:rPr>
          <w:i/>
        </w:rPr>
        <w:t>Jurnal Penelitian Pembelajaran Fisika, </w:t>
      </w:r>
      <w:r>
        <w:rPr/>
        <w:t>12(2), 117-123.</w:t>
      </w:r>
    </w:p>
    <w:p>
      <w:pPr>
        <w:pStyle w:val="BodyText"/>
        <w:ind w:left="908" w:right="340" w:hanging="570"/>
      </w:pPr>
      <w:r>
        <w:rPr/>
        <w:t>Rusmansyah, R., Yuanita,</w:t>
      </w:r>
      <w:r>
        <w:rPr>
          <w:spacing w:val="-6"/>
        </w:rPr>
        <w:t> </w:t>
      </w:r>
      <w:r>
        <w:rPr/>
        <w:t>L.,</w:t>
      </w:r>
      <w:r>
        <w:rPr>
          <w:spacing w:val="-6"/>
        </w:rPr>
        <w:t> </w:t>
      </w:r>
      <w:r>
        <w:rPr/>
        <w:t>Ibrahim,</w:t>
      </w:r>
      <w:r>
        <w:rPr>
          <w:spacing w:val="-6"/>
        </w:rPr>
        <w:t> </w:t>
      </w:r>
      <w:r>
        <w:rPr/>
        <w:t>M.,</w:t>
      </w:r>
      <w:r>
        <w:rPr>
          <w:spacing w:val="-6"/>
        </w:rPr>
        <w:t> </w:t>
      </w:r>
      <w:r>
        <w:rPr/>
        <w:t>Prahani,</w:t>
      </w:r>
      <w:r>
        <w:rPr>
          <w:spacing w:val="-6"/>
        </w:rPr>
        <w:t> </w:t>
      </w:r>
      <w:r>
        <w:rPr/>
        <w:t>B.</w:t>
      </w:r>
      <w:r>
        <w:rPr>
          <w:spacing w:val="-6"/>
        </w:rPr>
        <w:t> </w:t>
      </w:r>
      <w:r>
        <w:rPr/>
        <w:t>K.,</w:t>
      </w:r>
      <w:r>
        <w:rPr>
          <w:spacing w:val="-6"/>
        </w:rPr>
        <w:t> </w:t>
      </w:r>
      <w:r>
        <w:rPr/>
        <w:t>&amp;</w:t>
      </w:r>
      <w:r>
        <w:rPr>
          <w:spacing w:val="-6"/>
        </w:rPr>
        <w:t> </w:t>
      </w:r>
      <w:r>
        <w:rPr/>
        <w:t>Erman,</w:t>
      </w:r>
      <w:r>
        <w:rPr>
          <w:spacing w:val="-6"/>
        </w:rPr>
        <w:t> </w:t>
      </w:r>
      <w:r>
        <w:rPr/>
        <w:t>E.</w:t>
      </w:r>
      <w:r>
        <w:rPr>
          <w:spacing w:val="-6"/>
        </w:rPr>
        <w:t> </w:t>
      </w:r>
      <w:r>
        <w:rPr/>
        <w:t>(2021).</w:t>
      </w:r>
      <w:r>
        <w:rPr>
          <w:spacing w:val="-6"/>
        </w:rPr>
        <w:t> </w:t>
      </w:r>
      <w:r>
        <w:rPr/>
        <w:t>Innovative</w:t>
      </w:r>
      <w:r>
        <w:rPr>
          <w:spacing w:val="-6"/>
        </w:rPr>
        <w:t> </w:t>
      </w:r>
      <w:r>
        <w:rPr/>
        <w:t>chemistry learning model: Improving critical thinking skills and self-efficacy of pre-service chemistry teachers. </w:t>
      </w:r>
      <w:r>
        <w:rPr>
          <w:i/>
        </w:rPr>
        <w:t>Journal of Baltic Science Education</w:t>
      </w:r>
      <w:r>
        <w:rPr/>
        <w:t>, 18(1), 104-115.</w:t>
      </w:r>
    </w:p>
    <w:p>
      <w:pPr>
        <w:spacing w:before="0"/>
        <w:ind w:left="908" w:right="347" w:hanging="570"/>
        <w:jc w:val="both"/>
        <w:rPr>
          <w:sz w:val="24"/>
        </w:rPr>
      </w:pPr>
      <w:r>
        <w:rPr>
          <w:sz w:val="24"/>
        </w:rPr>
        <w:t>Sari, D. M. M., &amp; Wardhani, A. K. (2020). Critical thinking as learning and innovation skill in </w:t>
      </w:r>
      <w:r>
        <w:rPr>
          <w:sz w:val="24"/>
        </w:rPr>
        <w:t>the 21st century. </w:t>
      </w:r>
      <w:r>
        <w:rPr>
          <w:i/>
          <w:sz w:val="24"/>
        </w:rPr>
        <w:t>Journal of English Language and Pedagogy</w:t>
      </w:r>
      <w:r>
        <w:rPr>
          <w:sz w:val="24"/>
        </w:rPr>
        <w:t>, 3(2), 27-34.</w:t>
      </w:r>
    </w:p>
    <w:p>
      <w:pPr>
        <w:spacing w:before="0"/>
        <w:ind w:left="908" w:right="337" w:hanging="570"/>
        <w:jc w:val="both"/>
        <w:rPr>
          <w:sz w:val="24"/>
        </w:rPr>
      </w:pPr>
      <w:r>
        <w:rPr>
          <w:sz w:val="24"/>
        </w:rPr>
        <w:t>Septikasari, R., &amp; Frasandy, R. N. (2018). Keterampilan 4C dan akselerasi pendidikan di era revolusi industri 4.0. </w:t>
      </w:r>
      <w:r>
        <w:rPr>
          <w:i/>
          <w:sz w:val="24"/>
        </w:rPr>
        <w:t>Jurnal Tarbiyah: Jurnal Ilmiah Pendidikan</w:t>
      </w:r>
      <w:r>
        <w:rPr>
          <w:sz w:val="24"/>
        </w:rPr>
        <w:t>, 7(2), 112-122.</w:t>
      </w:r>
    </w:p>
    <w:p>
      <w:pPr>
        <w:spacing w:before="0"/>
        <w:ind w:left="908" w:right="349" w:hanging="570"/>
        <w:jc w:val="both"/>
        <w:rPr>
          <w:sz w:val="24"/>
        </w:rPr>
      </w:pPr>
      <w:r>
        <w:rPr>
          <w:sz w:val="24"/>
        </w:rPr>
        <w:t>Silber-Varod, V., Eshet-Alkalai, Y., &amp; Geri, N. (2019). Tracing research trends of 21st-century learning skills. </w:t>
      </w:r>
      <w:r>
        <w:rPr>
          <w:i/>
          <w:sz w:val="24"/>
        </w:rPr>
        <w:t>British Journal of Educational Technology</w:t>
      </w:r>
      <w:r>
        <w:rPr>
          <w:sz w:val="24"/>
        </w:rPr>
        <w:t>, 50(6), 3099-3118.</w:t>
      </w:r>
    </w:p>
    <w:p>
      <w:pPr>
        <w:spacing w:before="0"/>
        <w:ind w:left="908" w:right="345" w:hanging="570"/>
        <w:jc w:val="both"/>
        <w:rPr>
          <w:sz w:val="24"/>
        </w:rPr>
      </w:pPr>
      <w:r>
        <w:rPr>
          <w:sz w:val="24"/>
        </w:rPr>
        <w:t>Sugiyono, P. D. (2017). </w:t>
      </w:r>
      <w:r>
        <w:rPr>
          <w:i/>
          <w:sz w:val="24"/>
        </w:rPr>
        <w:t>Metode penelitian bisnis: pendekatan kuantitatif, kualitatif, kombinasi, dan R&amp;D</w:t>
      </w:r>
      <w:r>
        <w:rPr>
          <w:sz w:val="24"/>
        </w:rPr>
        <w:t>. Penerbit CV. Alfabeta: Bandung, 225(87), 48-61.</w:t>
      </w:r>
    </w:p>
    <w:p>
      <w:pPr>
        <w:spacing w:before="0"/>
        <w:ind w:left="338" w:right="0" w:firstLine="0"/>
        <w:jc w:val="both"/>
        <w:rPr>
          <w:sz w:val="24"/>
        </w:rPr>
      </w:pPr>
      <w:r>
        <w:rPr>
          <w:sz w:val="24"/>
        </w:rPr>
        <w:t>Syafei,</w:t>
      </w:r>
      <w:r>
        <w:rPr>
          <w:spacing w:val="-4"/>
          <w:sz w:val="24"/>
        </w:rPr>
        <w:t> </w:t>
      </w:r>
      <w:r>
        <w:rPr>
          <w:sz w:val="24"/>
        </w:rPr>
        <w:t>I.</w:t>
      </w:r>
      <w:r>
        <w:rPr>
          <w:spacing w:val="-3"/>
          <w:sz w:val="24"/>
        </w:rPr>
        <w:t> </w:t>
      </w:r>
      <w:r>
        <w:rPr>
          <w:sz w:val="24"/>
        </w:rPr>
        <w:t>(2025).</w:t>
      </w:r>
      <w:r>
        <w:rPr>
          <w:spacing w:val="-3"/>
          <w:sz w:val="24"/>
        </w:rPr>
        <w:t> </w:t>
      </w:r>
      <w:r>
        <w:rPr>
          <w:i/>
          <w:sz w:val="24"/>
        </w:rPr>
        <w:t>Metodologi</w:t>
      </w:r>
      <w:r>
        <w:rPr>
          <w:i/>
          <w:spacing w:val="-3"/>
          <w:sz w:val="24"/>
        </w:rPr>
        <w:t> </w:t>
      </w:r>
      <w:r>
        <w:rPr>
          <w:i/>
          <w:sz w:val="24"/>
        </w:rPr>
        <w:t>penelitian</w:t>
      </w:r>
      <w:r>
        <w:rPr>
          <w:i/>
          <w:spacing w:val="-3"/>
          <w:sz w:val="24"/>
        </w:rPr>
        <w:t> </w:t>
      </w:r>
      <w:r>
        <w:rPr>
          <w:i/>
          <w:sz w:val="24"/>
        </w:rPr>
        <w:t>pendidikan</w:t>
      </w:r>
      <w:r>
        <w:rPr>
          <w:sz w:val="24"/>
        </w:rPr>
        <w:t>.</w:t>
      </w:r>
      <w:r>
        <w:rPr>
          <w:spacing w:val="-3"/>
          <w:sz w:val="24"/>
        </w:rPr>
        <w:t> </w:t>
      </w:r>
      <w:r>
        <w:rPr>
          <w:sz w:val="24"/>
        </w:rPr>
        <w:t>Cv</w:t>
      </w:r>
      <w:r>
        <w:rPr>
          <w:spacing w:val="-3"/>
          <w:sz w:val="24"/>
        </w:rPr>
        <w:t> </w:t>
      </w:r>
      <w:r>
        <w:rPr>
          <w:sz w:val="24"/>
        </w:rPr>
        <w:t>Widina</w:t>
      </w:r>
      <w:r>
        <w:rPr>
          <w:spacing w:val="-3"/>
          <w:sz w:val="24"/>
        </w:rPr>
        <w:t> </w:t>
      </w:r>
      <w:r>
        <w:rPr>
          <w:sz w:val="24"/>
        </w:rPr>
        <w:t>Media</w:t>
      </w:r>
      <w:r>
        <w:rPr>
          <w:spacing w:val="-3"/>
          <w:sz w:val="24"/>
        </w:rPr>
        <w:t> </w:t>
      </w:r>
      <w:r>
        <w:rPr>
          <w:spacing w:val="-2"/>
          <w:sz w:val="24"/>
        </w:rPr>
        <w:t>Utama.</w:t>
      </w:r>
    </w:p>
    <w:p>
      <w:pPr>
        <w:spacing w:before="0"/>
        <w:ind w:left="908" w:right="347" w:hanging="570"/>
        <w:jc w:val="both"/>
        <w:rPr>
          <w:sz w:val="24"/>
        </w:rPr>
      </w:pPr>
      <w:r>
        <w:rPr>
          <w:sz w:val="24"/>
        </w:rPr>
        <w:t>Syahputra, E. (2018). Pembelajaran abad 21 dan implementasinya di Indonesia. </w:t>
      </w:r>
      <w:r>
        <w:rPr>
          <w:i/>
          <w:sz w:val="24"/>
        </w:rPr>
        <w:t>Prosiding Seminar Nasional Pendidikan Matematika</w:t>
      </w:r>
      <w:r>
        <w:rPr>
          <w:sz w:val="24"/>
        </w:rPr>
        <w:t>, 1(1), 1-13.</w:t>
      </w:r>
    </w:p>
    <w:p>
      <w:pPr>
        <w:pStyle w:val="BodyText"/>
        <w:ind w:left="908" w:right="336" w:hanging="570"/>
      </w:pPr>
      <w:r>
        <w:rPr/>
        <w:t>Widiana, I. W., Tegeh, I. M., &amp;</w:t>
      </w:r>
      <w:r>
        <w:rPr>
          <w:spacing w:val="-9"/>
        </w:rPr>
        <w:t> </w:t>
      </w:r>
      <w:r>
        <w:rPr/>
        <w:t>Pudjawan,</w:t>
      </w:r>
      <w:r>
        <w:rPr>
          <w:spacing w:val="-9"/>
        </w:rPr>
        <w:t> </w:t>
      </w:r>
      <w:r>
        <w:rPr/>
        <w:t>K.</w:t>
      </w:r>
      <w:r>
        <w:rPr>
          <w:spacing w:val="-9"/>
        </w:rPr>
        <w:t> </w:t>
      </w:r>
      <w:r>
        <w:rPr/>
        <w:t>(2023).</w:t>
      </w:r>
      <w:r>
        <w:rPr>
          <w:spacing w:val="-9"/>
        </w:rPr>
        <w:t> </w:t>
      </w:r>
      <w:r>
        <w:rPr/>
        <w:t>Pengaruh</w:t>
      </w:r>
      <w:r>
        <w:rPr>
          <w:spacing w:val="-9"/>
        </w:rPr>
        <w:t> </w:t>
      </w:r>
      <w:r>
        <w:rPr/>
        <w:t>metode</w:t>
      </w:r>
      <w:r>
        <w:rPr>
          <w:spacing w:val="-9"/>
        </w:rPr>
        <w:t> </w:t>
      </w:r>
      <w:r>
        <w:rPr/>
        <w:t>kerja</w:t>
      </w:r>
      <w:r>
        <w:rPr>
          <w:spacing w:val="-9"/>
        </w:rPr>
        <w:t> </w:t>
      </w:r>
      <w:r>
        <w:rPr/>
        <w:t>kelompok</w:t>
      </w:r>
      <w:r>
        <w:rPr>
          <w:spacing w:val="-9"/>
        </w:rPr>
        <w:t> </w:t>
      </w:r>
      <w:r>
        <w:rPr/>
        <w:t>heterogen terhadap keterampilan kolaboratif dan hasil belajar siswa. </w:t>
      </w:r>
      <w:r>
        <w:rPr>
          <w:i/>
        </w:rPr>
        <w:t>Jurnal Ilmiah Sekolah Dasar, </w:t>
      </w:r>
      <w:r>
        <w:rPr/>
        <w:t>7(2), 312-320.</w:t>
      </w:r>
    </w:p>
    <w:p>
      <w:pPr>
        <w:spacing w:before="0"/>
        <w:ind w:left="908" w:right="339" w:hanging="570"/>
        <w:jc w:val="both"/>
        <w:rPr>
          <w:sz w:val="24"/>
        </w:rPr>
      </w:pPr>
      <w:r>
        <w:rPr>
          <w:sz w:val="24"/>
        </w:rPr>
        <w:t>Zubaidah, S. (2018). Mengenal 4C: Learning and Innovation Skills untuk Menghadapi Era</w:t>
      </w:r>
      <w:r>
        <w:rPr>
          <w:spacing w:val="40"/>
          <w:sz w:val="24"/>
        </w:rPr>
        <w:t> </w:t>
      </w:r>
      <w:r>
        <w:rPr>
          <w:sz w:val="24"/>
        </w:rPr>
        <w:t>Revolusi Industri 4.0. </w:t>
      </w:r>
      <w:r>
        <w:rPr>
          <w:i/>
          <w:sz w:val="24"/>
        </w:rPr>
        <w:t>In 2nd Science Education National Conference </w:t>
      </w:r>
      <w:r>
        <w:rPr>
          <w:sz w:val="24"/>
        </w:rPr>
        <w:t>13(2), 1-18.</w:t>
      </w:r>
    </w:p>
    <w:sectPr>
      <w:pgSz w:w="12240" w:h="15840"/>
      <w:pgMar w:header="1168" w:footer="1200" w:top="1360" w:bottom="140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13"/>
      </w:rPr>
    </w:pPr>
    <w:r>
      <w:rPr>
        <w:sz w:val="13"/>
      </w:rPr>
      <mc:AlternateContent>
        <mc:Choice Requires="wps">
          <w:drawing>
            <wp:anchor distT="0" distB="0" distL="0" distR="0" allowOverlap="1" layoutInCell="1" locked="0" behindDoc="1" simplePos="0" relativeHeight="487421440">
              <wp:simplePos x="0" y="0"/>
              <wp:positionH relativeFrom="page">
                <wp:posOffset>909954</wp:posOffset>
              </wp:positionH>
              <wp:positionV relativeFrom="page">
                <wp:posOffset>9135123</wp:posOffset>
              </wp:positionV>
              <wp:extent cx="5943600"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943600" cy="1270"/>
                      </a:xfrm>
                      <a:custGeom>
                        <a:avLst/>
                        <a:gdLst/>
                        <a:ahLst/>
                        <a:cxnLst/>
                        <a:rect l="l" t="t" r="r" b="b"/>
                        <a:pathLst>
                          <a:path w="5943600" h="0">
                            <a:moveTo>
                              <a:pt x="0" y="0"/>
                            </a:moveTo>
                            <a:lnTo>
                              <a:pt x="594360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895040" from="71.649994pt,719.301025pt" to="539.649994pt,719.301025pt" stroked="true" strokeweight="1.5pt" strokecolor="#000000">
              <v:stroke dashstyle="solid"/>
              <w10:wrap type="none"/>
            </v:lin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420928">
              <wp:simplePos x="0" y="0"/>
              <wp:positionH relativeFrom="page">
                <wp:posOffset>862330</wp:posOffset>
              </wp:positionH>
              <wp:positionV relativeFrom="page">
                <wp:posOffset>712785</wp:posOffset>
              </wp:positionV>
              <wp:extent cx="287655" cy="16891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87655" cy="168910"/>
                      </a:xfrm>
                      <a:prstGeom prst="rect">
                        <a:avLst/>
                      </a:prstGeom>
                    </wps:spPr>
                    <wps:txbx>
                      <w:txbxContent>
                        <w:p>
                          <w:pPr>
                            <w:spacing w:before="11"/>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293</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7.900002pt;margin-top:56.124878pt;width:22.65pt;height:13.3pt;mso-position-horizontal-relative:page;mso-position-vertical-relative:page;z-index:-15895552" type="#_x0000_t202" id="docshape2" filled="false" stroked="false">
              <v:textbox inset="0,0,0,0">
                <w:txbxContent>
                  <w:p>
                    <w:pPr>
                      <w:spacing w:before="11"/>
                      <w:ind w:left="60" w:right="0" w:firstLine="0"/>
                      <w:jc w:val="left"/>
                      <w:rPr>
                        <w:rFonts w:ascii="Times New Roman"/>
                        <w:sz w:val="20"/>
                      </w:rPr>
                    </w:pPr>
                    <w:r>
                      <w:rPr>
                        <w:rFonts w:ascii="Times New Roman"/>
                        <w:spacing w:val="-5"/>
                        <w:sz w:val="20"/>
                      </w:rPr>
                      <w:fldChar w:fldCharType="begin"/>
                    </w:r>
                    <w:r>
                      <w:rPr>
                        <w:rFonts w:ascii="Times New Roman"/>
                        <w:spacing w:val="-5"/>
                        <w:sz w:val="20"/>
                      </w:rPr>
                      <w:instrText> PAGE </w:instrText>
                    </w:r>
                    <w:r>
                      <w:rPr>
                        <w:rFonts w:ascii="Times New Roman"/>
                        <w:spacing w:val="-5"/>
                        <w:sz w:val="20"/>
                      </w:rPr>
                      <w:fldChar w:fldCharType="separate"/>
                    </w:r>
                    <w:r>
                      <w:rPr>
                        <w:rFonts w:ascii="Times New Roman"/>
                        <w:spacing w:val="-5"/>
                        <w:sz w:val="20"/>
                      </w:rPr>
                      <w:t>293</w:t>
                    </w:r>
                    <w:r>
                      <w:rPr>
                        <w:rFonts w:ascii="Times New Roman"/>
                        <w:spacing w:val="-5"/>
                        <w:sz w:val="20"/>
                      </w:rPr>
                      <w:fldChar w:fldCharType="end"/>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338"/>
      <w:jc w:val="both"/>
    </w:pPr>
    <w:rPr>
      <w:rFonts w:ascii="Calibri" w:hAnsi="Calibri" w:eastAsia="Calibri" w:cs="Calibri"/>
      <w:sz w:val="24"/>
      <w:szCs w:val="24"/>
      <w:lang w:val="en-US" w:eastAsia="en-US" w:bidi="ar-SA"/>
    </w:rPr>
  </w:style>
  <w:style w:styleId="Heading1" w:type="paragraph">
    <w:name w:val="Heading 1"/>
    <w:basedOn w:val="Normal"/>
    <w:uiPriority w:val="1"/>
    <w:qFormat/>
    <w:pPr>
      <w:ind w:left="338"/>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ind w:left="338"/>
      <w:outlineLvl w:val="2"/>
    </w:pPr>
    <w:rPr>
      <w:rFonts w:ascii="Calibri" w:hAnsi="Calibri" w:eastAsia="Calibri" w:cs="Calibri"/>
      <w:b/>
      <w:bCs/>
      <w:sz w:val="24"/>
      <w:szCs w:val="24"/>
      <w:lang w:val="en-US" w:eastAsia="en-US" w:bidi="ar-SA"/>
    </w:rPr>
  </w:style>
  <w:style w:styleId="Title" w:type="paragraph">
    <w:name w:val="Title"/>
    <w:basedOn w:val="Normal"/>
    <w:uiPriority w:val="1"/>
    <w:qFormat/>
    <w:pPr>
      <w:ind w:left="213" w:right="47"/>
      <w:jc w:val="center"/>
    </w:pPr>
    <w:rPr>
      <w:rFonts w:ascii="Calibri" w:hAnsi="Calibri" w:eastAsia="Calibri" w:cs="Calibri"/>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mailto:frisdaafriani@students.unnes.ac.id"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PUNYA FRISDA ARTIKEL.docx</dc:title>
  <dcterms:created xsi:type="dcterms:W3CDTF">2026-08-08T02:49:15Z</dcterms:created>
  <dcterms:modified xsi:type="dcterms:W3CDTF">2026-08-08T02:49:15Z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2026-08-08T00:00:00Z</vt:filetime>
  </property>
  <property fmtid="{D5CDD505-2E9C-101B-9397-08002B2CF9AE}" pid="4" name="Producer">
    <vt:lpwstr>Skia/PDF m151 Google Docs Renderer</vt:lpwstr>
  </property>
  <property fmtid="{D5CDD505-2E9C-101B-9397-08002B2CF9AE}" pid="5" name="LastSaved">
    <vt:filetime>2026-08-08T00:00:00Z</vt:filetime>
  </property>
</Properties>
</file>