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6"/>
      </w:tblGrid>
      <w:tr w:rsidR="00015DBE" w:rsidRPr="005E0481" w14:paraId="160D4FD5" w14:textId="77777777">
        <w:tblPrEx>
          <w:tblCellMar>
            <w:top w:w="0" w:type="dxa"/>
            <w:bottom w:w="0" w:type="dxa"/>
          </w:tblCellMar>
        </w:tblPrEx>
        <w:tc>
          <w:tcPr>
            <w:tcW w:w="9406" w:type="dxa"/>
            <w:tcBorders>
              <w:top w:val="nil"/>
              <w:left w:val="nil"/>
              <w:bottom w:val="nil"/>
              <w:right w:val="nil"/>
            </w:tcBorders>
            <w:tcMar>
              <w:top w:w="80" w:type="dxa"/>
              <w:left w:w="100" w:type="dxa"/>
              <w:bottom w:w="80" w:type="dxa"/>
              <w:right w:w="100" w:type="dxa"/>
            </w:tcMar>
          </w:tcPr>
          <w:p w14:paraId="6F3A7E69" w14:textId="77777777" w:rsidR="00015DBE" w:rsidRPr="005E0481" w:rsidRDefault="00E43BD1">
            <w:pPr>
              <w:spacing w:before="120" w:after="200"/>
              <w:jc w:val="center"/>
              <w:rPr>
                <w:lang w:val="id-ID"/>
              </w:rPr>
            </w:pPr>
            <w:r w:rsidRPr="005E0481">
              <w:rPr>
                <w:rFonts w:ascii="Calibri" w:eastAsia="Calibri" w:hAnsi="Calibri" w:cs="Calibri"/>
                <w:b/>
                <w:bCs/>
                <w:sz w:val="28"/>
                <w:szCs w:val="28"/>
                <w:lang w:val="id-ID"/>
              </w:rPr>
              <w:t>Laboratory Safety Analysis of SMPIT Izzatul Islam Students in the Implementation of Science Practicum</w:t>
            </w:r>
          </w:p>
          <w:p w14:paraId="32106739" w14:textId="77777777" w:rsidR="00015DBE" w:rsidRPr="005E0481" w:rsidRDefault="00E43BD1">
            <w:pPr>
              <w:spacing w:after="120"/>
              <w:jc w:val="center"/>
              <w:rPr>
                <w:lang w:val="id-ID"/>
              </w:rPr>
            </w:pPr>
            <w:r w:rsidRPr="005E0481">
              <w:rPr>
                <w:rFonts w:ascii="Calibri" w:eastAsia="Calibri" w:hAnsi="Calibri" w:cs="Calibri"/>
                <w:b/>
                <w:bCs/>
                <w:sz w:val="24"/>
                <w:szCs w:val="24"/>
                <w:lang w:val="id-ID"/>
              </w:rPr>
              <w:t>Nur Baythi Alief Pasha R</w:t>
            </w:r>
            <w:r w:rsidRPr="005E0481">
              <w:rPr>
                <w:rFonts w:ascii="Calibri" w:eastAsia="Calibri" w:hAnsi="Calibri" w:cs="Calibri"/>
                <w:b/>
                <w:bCs/>
                <w:sz w:val="24"/>
                <w:szCs w:val="24"/>
                <w:vertAlign w:val="superscript"/>
                <w:lang w:val="id-ID"/>
              </w:rPr>
              <w:t>1,*</w:t>
            </w:r>
          </w:p>
          <w:p w14:paraId="3A54D0E5" w14:textId="77777777" w:rsidR="00015DBE" w:rsidRPr="005E0481" w:rsidRDefault="00E43BD1">
            <w:pPr>
              <w:spacing w:after="60"/>
              <w:jc w:val="center"/>
              <w:rPr>
                <w:lang w:val="id-ID"/>
              </w:rPr>
            </w:pPr>
            <w:r w:rsidRPr="005E0481">
              <w:rPr>
                <w:rFonts w:ascii="Calibri" w:eastAsia="Calibri" w:hAnsi="Calibri" w:cs="Calibri"/>
                <w:sz w:val="24"/>
                <w:szCs w:val="24"/>
                <w:vertAlign w:val="superscript"/>
                <w:lang w:val="id-ID"/>
              </w:rPr>
              <w:t>1</w:t>
            </w:r>
            <w:r w:rsidRPr="005E0481">
              <w:rPr>
                <w:rFonts w:ascii="Calibri" w:eastAsia="Calibri" w:hAnsi="Calibri" w:cs="Calibri"/>
                <w:sz w:val="24"/>
                <w:szCs w:val="24"/>
                <w:lang w:val="id-ID"/>
              </w:rPr>
              <w:t>Universitas Negeri Semarang, Semarang, Indonesia</w:t>
            </w:r>
          </w:p>
          <w:p w14:paraId="62DEBD34" w14:textId="77777777" w:rsidR="00015DBE" w:rsidRPr="005E0481" w:rsidRDefault="00E43BD1">
            <w:pPr>
              <w:spacing w:before="120" w:after="120"/>
              <w:jc w:val="center"/>
              <w:rPr>
                <w:lang w:val="id-ID"/>
              </w:rPr>
            </w:pPr>
            <w:r w:rsidRPr="005E0481">
              <w:rPr>
                <w:rFonts w:ascii="Calibri" w:eastAsia="Calibri" w:hAnsi="Calibri" w:cs="Calibri"/>
                <w:sz w:val="24"/>
                <w:szCs w:val="24"/>
                <w:vertAlign w:val="superscript"/>
                <w:lang w:val="id-ID"/>
              </w:rPr>
              <w:t>*</w:t>
            </w:r>
            <w:r w:rsidRPr="005E0481">
              <w:rPr>
                <w:rFonts w:ascii="Calibri" w:eastAsia="Calibri" w:hAnsi="Calibri" w:cs="Calibri"/>
                <w:sz w:val="24"/>
                <w:szCs w:val="24"/>
                <w:lang w:val="id-ID"/>
              </w:rPr>
              <w:t>Corresponding author email: pashanurbaythi@students.unnes.ac.id</w:t>
            </w:r>
          </w:p>
        </w:tc>
      </w:tr>
    </w:tbl>
    <w:p w14:paraId="17BC4CFD" w14:textId="77777777" w:rsidR="00015DBE" w:rsidRPr="005E0481" w:rsidRDefault="00015DBE">
      <w:pPr>
        <w:spacing w:before="100" w:after="100"/>
        <w:rPr>
          <w:lang w:val="id-ID"/>
        </w:rPr>
      </w:pP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8"/>
        <w:gridCol w:w="283"/>
        <w:gridCol w:w="6855"/>
      </w:tblGrid>
      <w:tr w:rsidR="00015DBE" w:rsidRPr="005E0481" w14:paraId="480B9082" w14:textId="77777777">
        <w:tblPrEx>
          <w:tblCellMar>
            <w:top w:w="0" w:type="dxa"/>
            <w:bottom w:w="0" w:type="dxa"/>
          </w:tblCellMar>
        </w:tblPrEx>
        <w:tc>
          <w:tcPr>
            <w:tcW w:w="2268" w:type="dxa"/>
            <w:tcBorders>
              <w:top w:val="single" w:sz="6" w:space="0" w:color="000000"/>
              <w:left w:val="nil"/>
              <w:bottom w:val="nil"/>
              <w:right w:val="nil"/>
            </w:tcBorders>
            <w:tcMar>
              <w:top w:w="80" w:type="dxa"/>
              <w:left w:w="100" w:type="dxa"/>
              <w:bottom w:w="80" w:type="dxa"/>
              <w:right w:w="100" w:type="dxa"/>
            </w:tcMar>
          </w:tcPr>
          <w:p w14:paraId="2DE238A3" w14:textId="77777777" w:rsidR="00015DBE" w:rsidRPr="005E0481" w:rsidRDefault="00E43BD1">
            <w:pPr>
              <w:rPr>
                <w:lang w:val="id-ID"/>
              </w:rPr>
            </w:pPr>
            <w:r w:rsidRPr="005E0481">
              <w:rPr>
                <w:rFonts w:ascii="Calibri" w:eastAsia="Calibri" w:hAnsi="Calibri" w:cs="Calibri"/>
                <w:b/>
                <w:bCs/>
                <w:i/>
                <w:iCs/>
                <w:sz w:val="24"/>
                <w:szCs w:val="24"/>
                <w:lang w:val="id-ID"/>
              </w:rPr>
              <w:t>Keywords</w:t>
            </w:r>
          </w:p>
        </w:tc>
        <w:tc>
          <w:tcPr>
            <w:tcW w:w="283" w:type="dxa"/>
            <w:tcBorders>
              <w:top w:val="single" w:sz="6" w:space="0" w:color="000000"/>
              <w:left w:val="nil"/>
              <w:bottom w:val="nil"/>
              <w:right w:val="single" w:sz="4" w:space="0" w:color="000000"/>
            </w:tcBorders>
            <w:tcMar>
              <w:top w:w="80" w:type="dxa"/>
              <w:left w:w="100" w:type="dxa"/>
              <w:bottom w:w="80" w:type="dxa"/>
              <w:right w:w="100" w:type="dxa"/>
            </w:tcMar>
          </w:tcPr>
          <w:p w14:paraId="5AA39DEE" w14:textId="77777777" w:rsidR="00015DBE" w:rsidRPr="005E0481" w:rsidRDefault="00015DBE">
            <w:pPr>
              <w:rPr>
                <w:lang w:val="id-ID"/>
              </w:rPr>
            </w:pPr>
          </w:p>
        </w:tc>
        <w:tc>
          <w:tcPr>
            <w:tcW w:w="6855" w:type="dxa"/>
            <w:tcBorders>
              <w:top w:val="single" w:sz="6" w:space="0" w:color="000000"/>
              <w:left w:val="nil"/>
              <w:bottom w:val="nil"/>
              <w:right w:val="nil"/>
            </w:tcBorders>
            <w:tcMar>
              <w:top w:w="80" w:type="dxa"/>
              <w:left w:w="100" w:type="dxa"/>
              <w:bottom w:w="80" w:type="dxa"/>
              <w:right w:w="100" w:type="dxa"/>
            </w:tcMar>
          </w:tcPr>
          <w:p w14:paraId="51EE8FB2" w14:textId="77777777" w:rsidR="00015DBE" w:rsidRPr="005E0481" w:rsidRDefault="00E43BD1">
            <w:pPr>
              <w:rPr>
                <w:lang w:val="id-ID"/>
              </w:rPr>
            </w:pPr>
            <w:r w:rsidRPr="005E0481">
              <w:rPr>
                <w:rFonts w:ascii="Calibri" w:eastAsia="Calibri" w:hAnsi="Calibri" w:cs="Calibri"/>
                <w:b/>
                <w:bCs/>
                <w:sz w:val="24"/>
                <w:szCs w:val="24"/>
                <w:lang w:val="id-ID"/>
              </w:rPr>
              <w:t>Abstract</w:t>
            </w:r>
          </w:p>
        </w:tc>
      </w:tr>
      <w:tr w:rsidR="00015DBE" w:rsidRPr="005E0481" w14:paraId="0B17AE4D" w14:textId="77777777">
        <w:tblPrEx>
          <w:tblCellMar>
            <w:top w:w="0" w:type="dxa"/>
            <w:bottom w:w="0" w:type="dxa"/>
          </w:tblCellMar>
        </w:tblPrEx>
        <w:tc>
          <w:tcPr>
            <w:tcW w:w="2268" w:type="dxa"/>
            <w:tcBorders>
              <w:top w:val="nil"/>
              <w:left w:val="nil"/>
              <w:bottom w:val="single" w:sz="6" w:space="0" w:color="000000"/>
              <w:right w:val="nil"/>
            </w:tcBorders>
            <w:tcMar>
              <w:top w:w="80" w:type="dxa"/>
              <w:left w:w="100" w:type="dxa"/>
              <w:bottom w:w="80" w:type="dxa"/>
              <w:right w:w="100" w:type="dxa"/>
            </w:tcMar>
          </w:tcPr>
          <w:p w14:paraId="7EB393D4" w14:textId="77777777" w:rsidR="00015DBE" w:rsidRPr="005E0481" w:rsidRDefault="00E43BD1">
            <w:pPr>
              <w:rPr>
                <w:lang w:val="id-ID"/>
              </w:rPr>
            </w:pPr>
            <w:r w:rsidRPr="005E0481">
              <w:rPr>
                <w:rFonts w:ascii="Calibri" w:eastAsia="Calibri" w:hAnsi="Calibri" w:cs="Calibri"/>
                <w:sz w:val="24"/>
                <w:szCs w:val="24"/>
                <w:lang w:val="id-ID"/>
              </w:rPr>
              <w:t>Occupational health and safety (OHS), laboratory safety, student understanding, practicum, science</w:t>
            </w:r>
          </w:p>
        </w:tc>
        <w:tc>
          <w:tcPr>
            <w:tcW w:w="283" w:type="dxa"/>
            <w:tcBorders>
              <w:top w:val="nil"/>
              <w:left w:val="nil"/>
              <w:bottom w:val="single" w:sz="6" w:space="0" w:color="000000"/>
              <w:right w:val="single" w:sz="4" w:space="0" w:color="000000"/>
            </w:tcBorders>
            <w:tcMar>
              <w:top w:w="80" w:type="dxa"/>
              <w:left w:w="100" w:type="dxa"/>
              <w:bottom w:w="80" w:type="dxa"/>
              <w:right w:w="100" w:type="dxa"/>
            </w:tcMar>
          </w:tcPr>
          <w:p w14:paraId="4A3B2C98" w14:textId="77777777" w:rsidR="00015DBE" w:rsidRPr="005E0481" w:rsidRDefault="00015DBE">
            <w:pPr>
              <w:rPr>
                <w:lang w:val="id-ID"/>
              </w:rPr>
            </w:pPr>
          </w:p>
        </w:tc>
        <w:tc>
          <w:tcPr>
            <w:tcW w:w="6855" w:type="dxa"/>
            <w:tcBorders>
              <w:top w:val="nil"/>
              <w:left w:val="nil"/>
              <w:bottom w:val="single" w:sz="6" w:space="0" w:color="000000"/>
              <w:right w:val="nil"/>
            </w:tcBorders>
            <w:tcMar>
              <w:top w:w="80" w:type="dxa"/>
              <w:left w:w="100" w:type="dxa"/>
              <w:bottom w:w="80" w:type="dxa"/>
              <w:right w:w="100" w:type="dxa"/>
            </w:tcMar>
          </w:tcPr>
          <w:p w14:paraId="5B2A915E" w14:textId="77777777" w:rsidR="00015DBE" w:rsidRPr="005E0481" w:rsidRDefault="00E43BD1">
            <w:pPr>
              <w:jc w:val="both"/>
              <w:rPr>
                <w:lang w:val="id-ID"/>
              </w:rPr>
            </w:pPr>
            <w:r w:rsidRPr="005E0481">
              <w:rPr>
                <w:rFonts w:ascii="Calibri" w:eastAsia="Calibri" w:hAnsi="Calibri" w:cs="Calibri"/>
                <w:sz w:val="24"/>
                <w:szCs w:val="24"/>
                <w:lang w:val="id-ID"/>
              </w:rPr>
              <w:t>Science education at the junior secondary school (SMP) level relies heavily on laboratory practicum activities to develop basic skills and visualize theoretical concepts. However, these activities carry a high potential safety risk when Occupational Health and Safety (OHS) procedures are not properly understood and applied. This study aims to analyze the level of cognitive understanding and the application of laboratory safety behavior among students of SMPIT Izzatul Islam in conducting science practicum. A</w:t>
            </w:r>
            <w:r w:rsidRPr="005E0481">
              <w:rPr>
                <w:rFonts w:ascii="Calibri" w:eastAsia="Calibri" w:hAnsi="Calibri" w:cs="Calibri"/>
                <w:sz w:val="24"/>
                <w:szCs w:val="24"/>
                <w:lang w:val="id-ID"/>
              </w:rPr>
              <w:t xml:space="preserve"> descriptive quantitative method was employed through the distribution of a 15-item questionnaire to 30 respondents. The results showed that the majority of students fell into the “Fair” category (73%), with smaller proportions in the “Very Good” (17%), “Good” (7%), and “Poor” (3%) categories, while no students were classified as “Very Poor” (0%). The overall mean percentage across respondents was 56.1%, which still falls within the “Fair” category range. These findings indicate that students already posses</w:t>
            </w:r>
            <w:r w:rsidRPr="005E0481">
              <w:rPr>
                <w:rFonts w:ascii="Calibri" w:eastAsia="Calibri" w:hAnsi="Calibri" w:cs="Calibri"/>
                <w:sz w:val="24"/>
                <w:szCs w:val="24"/>
                <w:lang w:val="id-ID"/>
              </w:rPr>
              <w:t>s basic knowledge of, and compliance with, safety rules, but have not yet achieved a deep and consistent understanding, particularly regarding the technical aspects of OHS.</w:t>
            </w:r>
          </w:p>
        </w:tc>
      </w:tr>
    </w:tbl>
    <w:p w14:paraId="268669B6" w14:textId="77777777" w:rsidR="00015DBE" w:rsidRPr="005E0481" w:rsidRDefault="00015DBE">
      <w:pPr>
        <w:spacing w:before="60" w:after="60"/>
        <w:rPr>
          <w:lang w:val="id-ID"/>
        </w:rPr>
      </w:pPr>
    </w:p>
    <w:p w14:paraId="0D922544" w14:textId="77777777" w:rsidR="00015DBE" w:rsidRPr="005E0481" w:rsidRDefault="00E43BD1">
      <w:pPr>
        <w:spacing w:before="280" w:after="160" w:line="276" w:lineRule="auto"/>
        <w:rPr>
          <w:lang w:val="id-ID"/>
        </w:rPr>
      </w:pPr>
      <w:r w:rsidRPr="005E0481">
        <w:rPr>
          <w:rFonts w:ascii="Calibri" w:eastAsia="Calibri" w:hAnsi="Calibri" w:cs="Calibri"/>
          <w:b/>
          <w:bCs/>
          <w:sz w:val="24"/>
          <w:szCs w:val="24"/>
          <w:lang w:val="id-ID"/>
        </w:rPr>
        <w:t>INTRODUCTION</w:t>
      </w:r>
    </w:p>
    <w:p w14:paraId="3AAC5362"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 xml:space="preserve">Science education constitutes an important pillar within the education system for shaping students’ scientific literacy, in which laboratory practicum activities serve as the primary means of visualizing theory and developing basic scientific skills (Shana &amp; Abulibdeh, 2020). Laboratories must be managed systematically with adequate Occupational Health and Safety (OHS) standards to minimize the potential risk of accidents, such as exposure to hazardous chemicals or physical injury resulting from negligence </w:t>
      </w:r>
      <w:r w:rsidRPr="005E0481">
        <w:rPr>
          <w:rFonts w:ascii="Calibri" w:eastAsia="Calibri" w:hAnsi="Calibri" w:cs="Calibri"/>
          <w:sz w:val="24"/>
          <w:szCs w:val="24"/>
          <w:lang w:val="id-ID"/>
        </w:rPr>
        <w:t>(Mubarak et al., 2025). Therefore, the implementation of a safety culture is essential for every laboratory user, particularly for junior secondary school students who are at an early stage of being introduced to scientific working procedures.</w:t>
      </w:r>
    </w:p>
    <w:p w14:paraId="00079A7E"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lastRenderedPageBreak/>
        <w:t>Although the OHS aspect is crucial, various previous findings indicate that students’ awareness and understanding of occupational safety during practicum activities remain relatively low. A study by Permana (2022) found that most junior secondary school (SMP) students do not yet have an in-depth understanding of safety signs and potential hazards in science laboratories. In line with this, a study by Caymaz (2021) revealed that secondary school students tend to possess only general safety knowledge and freq</w:t>
      </w:r>
      <w:r w:rsidRPr="005E0481">
        <w:rPr>
          <w:rFonts w:ascii="Calibri" w:eastAsia="Calibri" w:hAnsi="Calibri" w:cs="Calibri"/>
          <w:sz w:val="24"/>
          <w:szCs w:val="24"/>
          <w:lang w:val="id-ID"/>
        </w:rPr>
        <w:t>uently experience deficiencies in recognizing specific OHS regulations and symbols. Furthermore, periodic evaluation of OHS understanding is essential to prevent accidents resulting from a lack of student compliance (Kisno et al., 2022).</w:t>
      </w:r>
    </w:p>
    <w:p w14:paraId="3EBE769E"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A review of the literature shows that most research on science laboratory safety and security management has so far focused on general secondary schools (Sangi &amp; Tanauma, 2018) or on higher education institutions. Evaluations of laboratory safety in institutions with an integrated curriculum system, such as Integrated Islamic Junior Secondary Schools (SMPIT), remain rare. The SMPIT environment carries a fairly dense academic and religious curriculum load, which may limit the time allocated for providing tho</w:t>
      </w:r>
      <w:r w:rsidRPr="005E0481">
        <w:rPr>
          <w:rFonts w:ascii="Calibri" w:eastAsia="Calibri" w:hAnsi="Calibri" w:cs="Calibri"/>
          <w:sz w:val="24"/>
          <w:szCs w:val="24"/>
          <w:lang w:val="id-ID"/>
        </w:rPr>
        <w:t>rough equipment orientation and laboratory OHS education prior to practicum. Based on this literature review, the scientific novelty of this paper lies in presenting a comprehensive analysis of cognitive understanding and laboratory safety behavior tailored to the curricular characteristics and habituation context of students within the SMPIT environment.</w:t>
      </w:r>
    </w:p>
    <w:p w14:paraId="2BD950A3"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Based on the novelty outlined above, the problem addressed in this study is the extent to which SMPIT Izzatul Islam students understand OHS procedures and apply laboratory safety behavior during practicum activities. As an initial assumption, this study presumes that students’ knowledge of, and compliance with, safety procedures at SMPIT Izzatul Islam are not yet optimal, given the limited integration of in-depth OHS instruction within the allocated learning time. Therefore, the objective of this paper is t</w:t>
      </w:r>
      <w:r w:rsidRPr="005E0481">
        <w:rPr>
          <w:rFonts w:ascii="Calibri" w:eastAsia="Calibri" w:hAnsi="Calibri" w:cs="Calibri"/>
          <w:sz w:val="24"/>
          <w:szCs w:val="24"/>
          <w:lang w:val="id-ID"/>
        </w:rPr>
        <w:t>o analyze the level of students’ cognitive understanding of OHS procedures and to evaluate the implementation of laboratory safety behavior among SMPIT Izzatul Islam students during science laboratory practicum activities.</w:t>
      </w:r>
    </w:p>
    <w:p w14:paraId="4AF73809" w14:textId="77777777" w:rsidR="00015DBE" w:rsidRPr="005E0481" w:rsidRDefault="00E43BD1">
      <w:pPr>
        <w:spacing w:before="280" w:after="160" w:line="276" w:lineRule="auto"/>
        <w:rPr>
          <w:lang w:val="id-ID"/>
        </w:rPr>
      </w:pPr>
      <w:r w:rsidRPr="005E0481">
        <w:rPr>
          <w:rFonts w:ascii="Calibri" w:eastAsia="Calibri" w:hAnsi="Calibri" w:cs="Calibri"/>
          <w:b/>
          <w:bCs/>
          <w:sz w:val="24"/>
          <w:szCs w:val="24"/>
          <w:lang w:val="id-ID"/>
        </w:rPr>
        <w:t>METHODS</w:t>
      </w:r>
    </w:p>
    <w:p w14:paraId="092D7B4D"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This study employed a quantitative approach with a descriptive research design. The research was conducted at SMPIT Izzatul Islam in 2026. The subjects and data source of this study were 30 eighth-grade students. The questionnaire instrument was adapted from Akpullukcu and Cavas (2017); the original items were paraphrased into Indonesian so that they could be readily understood by the students, and for the purposes of this paper have been translated into English. The original instrument consisted of 36 Like</w:t>
      </w:r>
      <w:r w:rsidRPr="005E0481">
        <w:rPr>
          <w:rFonts w:ascii="Calibri" w:eastAsia="Calibri" w:hAnsi="Calibri" w:cs="Calibri"/>
          <w:sz w:val="24"/>
          <w:szCs w:val="24"/>
          <w:lang w:val="id-ID"/>
        </w:rPr>
        <w:t>rt-scale statement items that had been tested for validity and reliability (Cronbach’s alpha = 0.975; KMO = 0.940) on a sample of 127 science teachers in Turkey. From this instrument, 15 items relevant to the context of junior secondary school students were selected through a process of paraphrasing and language adjustment supervised by the research advisor, resulting in an instrument that could be understood by students at the junior secondary level.</w:t>
      </w:r>
    </w:p>
    <w:p w14:paraId="30DFFE22"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The questionnaire statements covered four main indicators of laboratory safety: (1) laboratory safety awareness; (2) use of safety equipment; (3) emergency handling; and (4) safe behavior during practicum. The questionnaire consisted of 15 items measured on a four-level Likert scale, namely Strongly Disagree (SD), Disagree (D), Agree (A), and Strongly Agree (SA).</w:t>
      </w:r>
    </w:p>
    <w:p w14:paraId="1C252AEE" w14:textId="77777777" w:rsidR="00015DBE" w:rsidRPr="005E0481" w:rsidRDefault="00E43BD1">
      <w:pPr>
        <w:spacing w:before="80" w:after="200"/>
        <w:jc w:val="center"/>
        <w:rPr>
          <w:lang w:val="id-ID"/>
        </w:rPr>
      </w:pPr>
      <w:r w:rsidRPr="005E0481">
        <w:rPr>
          <w:rFonts w:ascii="Calibri" w:eastAsia="Calibri" w:hAnsi="Calibri" w:cs="Calibri"/>
          <w:b/>
          <w:bCs/>
          <w:sz w:val="24"/>
          <w:szCs w:val="24"/>
          <w:lang w:val="id-ID"/>
        </w:rPr>
        <w:t>Table 1</w:t>
      </w:r>
      <w:r w:rsidRPr="005E0481">
        <w:rPr>
          <w:rFonts w:ascii="Calibri" w:eastAsia="Calibri" w:hAnsi="Calibri" w:cs="Calibri"/>
          <w:sz w:val="24"/>
          <w:szCs w:val="24"/>
          <w:lang w:val="id-ID"/>
        </w:rPr>
        <w:t xml:space="preserve"> List of laboratory safety instrument statement items</w:t>
      </w: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806"/>
      </w:tblGrid>
      <w:tr w:rsidR="00015DBE" w:rsidRPr="005E0481" w14:paraId="4B6D28AB" w14:textId="77777777">
        <w:tblPrEx>
          <w:tblCellMar>
            <w:top w:w="0" w:type="dxa"/>
            <w:bottom w:w="0" w:type="dxa"/>
          </w:tblCellMar>
        </w:tblPrEx>
        <w:tc>
          <w:tcPr>
            <w:tcW w:w="600"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58ECB85D" w14:textId="77777777" w:rsidR="00015DBE" w:rsidRPr="005E0481" w:rsidRDefault="00E43BD1">
            <w:pPr>
              <w:jc w:val="center"/>
              <w:rPr>
                <w:lang w:val="id-ID"/>
              </w:rPr>
            </w:pPr>
            <w:r w:rsidRPr="005E0481">
              <w:rPr>
                <w:rFonts w:ascii="Calibri" w:eastAsia="Calibri" w:hAnsi="Calibri" w:cs="Calibri"/>
                <w:b/>
                <w:bCs/>
                <w:sz w:val="24"/>
                <w:szCs w:val="24"/>
                <w:lang w:val="id-ID"/>
              </w:rPr>
              <w:t>No.</w:t>
            </w:r>
          </w:p>
        </w:tc>
        <w:tc>
          <w:tcPr>
            <w:tcW w:w="8806"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0C69A1B4" w14:textId="77777777" w:rsidR="00015DBE" w:rsidRPr="005E0481" w:rsidRDefault="00E43BD1">
            <w:pPr>
              <w:rPr>
                <w:lang w:val="id-ID"/>
              </w:rPr>
            </w:pPr>
            <w:r w:rsidRPr="005E0481">
              <w:rPr>
                <w:rFonts w:ascii="Calibri" w:eastAsia="Calibri" w:hAnsi="Calibri" w:cs="Calibri"/>
                <w:b/>
                <w:bCs/>
                <w:sz w:val="24"/>
                <w:szCs w:val="24"/>
                <w:lang w:val="id-ID"/>
              </w:rPr>
              <w:t>Statement</w:t>
            </w:r>
          </w:p>
        </w:tc>
      </w:tr>
      <w:tr w:rsidR="00015DBE" w:rsidRPr="005E0481" w14:paraId="4D3979B1"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35BDFD64" w14:textId="77777777" w:rsidR="00015DBE" w:rsidRPr="005E0481" w:rsidRDefault="00E43BD1">
            <w:pPr>
              <w:jc w:val="center"/>
              <w:rPr>
                <w:lang w:val="id-ID"/>
              </w:rPr>
            </w:pPr>
            <w:r w:rsidRPr="005E0481">
              <w:rPr>
                <w:rFonts w:ascii="Calibri" w:eastAsia="Calibri" w:hAnsi="Calibri" w:cs="Calibri"/>
                <w:sz w:val="24"/>
                <w:szCs w:val="24"/>
                <w:lang w:val="id-ID"/>
              </w:rPr>
              <w:t>1</w:t>
            </w:r>
          </w:p>
        </w:tc>
        <w:tc>
          <w:tcPr>
            <w:tcW w:w="8806" w:type="dxa"/>
            <w:tcBorders>
              <w:top w:val="nil"/>
              <w:left w:val="nil"/>
              <w:bottom w:val="nil"/>
              <w:right w:val="nil"/>
            </w:tcBorders>
            <w:tcMar>
              <w:top w:w="80" w:type="dxa"/>
              <w:left w:w="100" w:type="dxa"/>
              <w:bottom w:w="80" w:type="dxa"/>
              <w:right w:w="100" w:type="dxa"/>
            </w:tcMar>
            <w:vAlign w:val="center"/>
          </w:tcPr>
          <w:p w14:paraId="54AEB3ED" w14:textId="77777777" w:rsidR="00015DBE" w:rsidRPr="005E0481" w:rsidRDefault="00E43BD1">
            <w:pPr>
              <w:rPr>
                <w:lang w:val="id-ID"/>
              </w:rPr>
            </w:pPr>
            <w:r w:rsidRPr="005E0481">
              <w:rPr>
                <w:rFonts w:ascii="Calibri" w:eastAsia="Calibri" w:hAnsi="Calibri" w:cs="Calibri"/>
                <w:sz w:val="24"/>
                <w:szCs w:val="24"/>
                <w:lang w:val="id-ID"/>
              </w:rPr>
              <w:t>I always keep the laboratory clean and tidy.</w:t>
            </w:r>
          </w:p>
        </w:tc>
      </w:tr>
      <w:tr w:rsidR="00015DBE" w:rsidRPr="005E0481" w14:paraId="328A7C75"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30FE590A" w14:textId="77777777" w:rsidR="00015DBE" w:rsidRPr="005E0481" w:rsidRDefault="00E43BD1">
            <w:pPr>
              <w:jc w:val="center"/>
              <w:rPr>
                <w:lang w:val="id-ID"/>
              </w:rPr>
            </w:pPr>
            <w:r w:rsidRPr="005E0481">
              <w:rPr>
                <w:rFonts w:ascii="Calibri" w:eastAsia="Calibri" w:hAnsi="Calibri" w:cs="Calibri"/>
                <w:sz w:val="24"/>
                <w:szCs w:val="24"/>
                <w:lang w:val="id-ID"/>
              </w:rPr>
              <w:t>2</w:t>
            </w:r>
          </w:p>
        </w:tc>
        <w:tc>
          <w:tcPr>
            <w:tcW w:w="8806" w:type="dxa"/>
            <w:tcBorders>
              <w:top w:val="nil"/>
              <w:left w:val="nil"/>
              <w:bottom w:val="nil"/>
              <w:right w:val="nil"/>
            </w:tcBorders>
            <w:tcMar>
              <w:top w:w="80" w:type="dxa"/>
              <w:left w:w="100" w:type="dxa"/>
              <w:bottom w:w="80" w:type="dxa"/>
              <w:right w:w="100" w:type="dxa"/>
            </w:tcMar>
            <w:vAlign w:val="center"/>
          </w:tcPr>
          <w:p w14:paraId="28AA9107" w14:textId="77777777" w:rsidR="00015DBE" w:rsidRPr="005E0481" w:rsidRDefault="00E43BD1">
            <w:pPr>
              <w:rPr>
                <w:lang w:val="id-ID"/>
              </w:rPr>
            </w:pPr>
            <w:r w:rsidRPr="005E0481">
              <w:rPr>
                <w:rFonts w:ascii="Calibri" w:eastAsia="Calibri" w:hAnsi="Calibri" w:cs="Calibri"/>
                <w:sz w:val="24"/>
                <w:szCs w:val="24"/>
                <w:lang w:val="id-ID"/>
              </w:rPr>
              <w:t>I know the actions to take if a fire occurs in the laboratory.</w:t>
            </w:r>
          </w:p>
        </w:tc>
      </w:tr>
      <w:tr w:rsidR="00015DBE" w:rsidRPr="005E0481" w14:paraId="3694CE78"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05D54FDA" w14:textId="77777777" w:rsidR="00015DBE" w:rsidRPr="005E0481" w:rsidRDefault="00E43BD1">
            <w:pPr>
              <w:jc w:val="center"/>
              <w:rPr>
                <w:lang w:val="id-ID"/>
              </w:rPr>
            </w:pPr>
            <w:r w:rsidRPr="005E0481">
              <w:rPr>
                <w:rFonts w:ascii="Calibri" w:eastAsia="Calibri" w:hAnsi="Calibri" w:cs="Calibri"/>
                <w:sz w:val="24"/>
                <w:szCs w:val="24"/>
                <w:lang w:val="id-ID"/>
              </w:rPr>
              <w:t>3</w:t>
            </w:r>
          </w:p>
        </w:tc>
        <w:tc>
          <w:tcPr>
            <w:tcW w:w="8806" w:type="dxa"/>
            <w:tcBorders>
              <w:top w:val="nil"/>
              <w:left w:val="nil"/>
              <w:bottom w:val="nil"/>
              <w:right w:val="nil"/>
            </w:tcBorders>
            <w:tcMar>
              <w:top w:w="80" w:type="dxa"/>
              <w:left w:w="100" w:type="dxa"/>
              <w:bottom w:w="80" w:type="dxa"/>
              <w:right w:w="100" w:type="dxa"/>
            </w:tcMar>
            <w:vAlign w:val="center"/>
          </w:tcPr>
          <w:p w14:paraId="63650C46" w14:textId="77777777" w:rsidR="00015DBE" w:rsidRPr="005E0481" w:rsidRDefault="00E43BD1">
            <w:pPr>
              <w:rPr>
                <w:lang w:val="id-ID"/>
              </w:rPr>
            </w:pPr>
            <w:r w:rsidRPr="005E0481">
              <w:rPr>
                <w:rFonts w:ascii="Calibri" w:eastAsia="Calibri" w:hAnsi="Calibri" w:cs="Calibri"/>
                <w:sz w:val="24"/>
                <w:szCs w:val="24"/>
                <w:lang w:val="id-ID"/>
              </w:rPr>
              <w:t>I know the actions to take if chemicals spill or splash.</w:t>
            </w:r>
          </w:p>
        </w:tc>
      </w:tr>
      <w:tr w:rsidR="00015DBE" w:rsidRPr="005E0481" w14:paraId="3E375D8D"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05C1A0CC" w14:textId="77777777" w:rsidR="00015DBE" w:rsidRPr="005E0481" w:rsidRDefault="00E43BD1">
            <w:pPr>
              <w:jc w:val="center"/>
              <w:rPr>
                <w:lang w:val="id-ID"/>
              </w:rPr>
            </w:pPr>
            <w:r w:rsidRPr="005E0481">
              <w:rPr>
                <w:rFonts w:ascii="Calibri" w:eastAsia="Calibri" w:hAnsi="Calibri" w:cs="Calibri"/>
                <w:sz w:val="24"/>
                <w:szCs w:val="24"/>
                <w:lang w:val="id-ID"/>
              </w:rPr>
              <w:t>4</w:t>
            </w:r>
          </w:p>
        </w:tc>
        <w:tc>
          <w:tcPr>
            <w:tcW w:w="8806" w:type="dxa"/>
            <w:tcBorders>
              <w:top w:val="nil"/>
              <w:left w:val="nil"/>
              <w:bottom w:val="nil"/>
              <w:right w:val="nil"/>
            </w:tcBorders>
            <w:tcMar>
              <w:top w:w="80" w:type="dxa"/>
              <w:left w:w="100" w:type="dxa"/>
              <w:bottom w:w="80" w:type="dxa"/>
              <w:right w:w="100" w:type="dxa"/>
            </w:tcMar>
            <w:vAlign w:val="center"/>
          </w:tcPr>
          <w:p w14:paraId="7042655C" w14:textId="77777777" w:rsidR="00015DBE" w:rsidRPr="005E0481" w:rsidRDefault="00E43BD1">
            <w:pPr>
              <w:rPr>
                <w:lang w:val="id-ID"/>
              </w:rPr>
            </w:pPr>
            <w:r w:rsidRPr="005E0481">
              <w:rPr>
                <w:rFonts w:ascii="Calibri" w:eastAsia="Calibri" w:hAnsi="Calibri" w:cs="Calibri"/>
                <w:sz w:val="24"/>
                <w:szCs w:val="24"/>
                <w:lang w:val="id-ID"/>
              </w:rPr>
              <w:t>I know the emergency equipment available in the laboratory.</w:t>
            </w:r>
          </w:p>
        </w:tc>
      </w:tr>
      <w:tr w:rsidR="00015DBE" w:rsidRPr="005E0481" w14:paraId="658C7C17"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6D0CD00C" w14:textId="77777777" w:rsidR="00015DBE" w:rsidRPr="005E0481" w:rsidRDefault="00E43BD1">
            <w:pPr>
              <w:jc w:val="center"/>
              <w:rPr>
                <w:lang w:val="id-ID"/>
              </w:rPr>
            </w:pPr>
            <w:r w:rsidRPr="005E0481">
              <w:rPr>
                <w:rFonts w:ascii="Calibri" w:eastAsia="Calibri" w:hAnsi="Calibri" w:cs="Calibri"/>
                <w:sz w:val="24"/>
                <w:szCs w:val="24"/>
                <w:lang w:val="id-ID"/>
              </w:rPr>
              <w:t>5</w:t>
            </w:r>
          </w:p>
        </w:tc>
        <w:tc>
          <w:tcPr>
            <w:tcW w:w="8806" w:type="dxa"/>
            <w:tcBorders>
              <w:top w:val="nil"/>
              <w:left w:val="nil"/>
              <w:bottom w:val="nil"/>
              <w:right w:val="nil"/>
            </w:tcBorders>
            <w:tcMar>
              <w:top w:w="80" w:type="dxa"/>
              <w:left w:w="100" w:type="dxa"/>
              <w:bottom w:w="80" w:type="dxa"/>
              <w:right w:w="100" w:type="dxa"/>
            </w:tcMar>
            <w:vAlign w:val="center"/>
          </w:tcPr>
          <w:p w14:paraId="1F9656CB" w14:textId="77777777" w:rsidR="00015DBE" w:rsidRPr="005E0481" w:rsidRDefault="00E43BD1">
            <w:pPr>
              <w:rPr>
                <w:lang w:val="id-ID"/>
              </w:rPr>
            </w:pPr>
            <w:r w:rsidRPr="005E0481">
              <w:rPr>
                <w:rFonts w:ascii="Calibri" w:eastAsia="Calibri" w:hAnsi="Calibri" w:cs="Calibri"/>
                <w:sz w:val="24"/>
                <w:szCs w:val="24"/>
                <w:lang w:val="id-ID"/>
              </w:rPr>
              <w:t>I know how to use a fire extinguisher (APAR) in the laboratory.</w:t>
            </w:r>
          </w:p>
        </w:tc>
      </w:tr>
      <w:tr w:rsidR="00015DBE" w:rsidRPr="005E0481" w14:paraId="4B8BA941"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59817018" w14:textId="77777777" w:rsidR="00015DBE" w:rsidRPr="005E0481" w:rsidRDefault="00E43BD1">
            <w:pPr>
              <w:jc w:val="center"/>
              <w:rPr>
                <w:lang w:val="id-ID"/>
              </w:rPr>
            </w:pPr>
            <w:r w:rsidRPr="005E0481">
              <w:rPr>
                <w:rFonts w:ascii="Calibri" w:eastAsia="Calibri" w:hAnsi="Calibri" w:cs="Calibri"/>
                <w:sz w:val="24"/>
                <w:szCs w:val="24"/>
                <w:lang w:val="id-ID"/>
              </w:rPr>
              <w:t>6</w:t>
            </w:r>
          </w:p>
        </w:tc>
        <w:tc>
          <w:tcPr>
            <w:tcW w:w="8806" w:type="dxa"/>
            <w:tcBorders>
              <w:top w:val="nil"/>
              <w:left w:val="nil"/>
              <w:bottom w:val="nil"/>
              <w:right w:val="nil"/>
            </w:tcBorders>
            <w:tcMar>
              <w:top w:w="80" w:type="dxa"/>
              <w:left w:w="100" w:type="dxa"/>
              <w:bottom w:w="80" w:type="dxa"/>
              <w:right w:w="100" w:type="dxa"/>
            </w:tcMar>
            <w:vAlign w:val="center"/>
          </w:tcPr>
          <w:p w14:paraId="55B63E94" w14:textId="77777777" w:rsidR="00015DBE" w:rsidRPr="005E0481" w:rsidRDefault="00E43BD1">
            <w:pPr>
              <w:rPr>
                <w:lang w:val="id-ID"/>
              </w:rPr>
            </w:pPr>
            <w:r w:rsidRPr="005E0481">
              <w:rPr>
                <w:rFonts w:ascii="Calibri" w:eastAsia="Calibri" w:hAnsi="Calibri" w:cs="Calibri"/>
                <w:sz w:val="24"/>
                <w:szCs w:val="24"/>
                <w:lang w:val="id-ID"/>
              </w:rPr>
              <w:t>I know how to use sand to extinguish a fire in the laboratory.</w:t>
            </w:r>
          </w:p>
        </w:tc>
      </w:tr>
      <w:tr w:rsidR="00015DBE" w:rsidRPr="005E0481" w14:paraId="1248B274"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47E8F542" w14:textId="77777777" w:rsidR="00015DBE" w:rsidRPr="005E0481" w:rsidRDefault="00E43BD1">
            <w:pPr>
              <w:jc w:val="center"/>
              <w:rPr>
                <w:lang w:val="id-ID"/>
              </w:rPr>
            </w:pPr>
            <w:r w:rsidRPr="005E0481">
              <w:rPr>
                <w:rFonts w:ascii="Calibri" w:eastAsia="Calibri" w:hAnsi="Calibri" w:cs="Calibri"/>
                <w:sz w:val="24"/>
                <w:szCs w:val="24"/>
                <w:lang w:val="id-ID"/>
              </w:rPr>
              <w:t>7</w:t>
            </w:r>
          </w:p>
        </w:tc>
        <w:tc>
          <w:tcPr>
            <w:tcW w:w="8806" w:type="dxa"/>
            <w:tcBorders>
              <w:top w:val="nil"/>
              <w:left w:val="nil"/>
              <w:bottom w:val="nil"/>
              <w:right w:val="nil"/>
            </w:tcBorders>
            <w:tcMar>
              <w:top w:w="80" w:type="dxa"/>
              <w:left w:w="100" w:type="dxa"/>
              <w:bottom w:w="80" w:type="dxa"/>
              <w:right w:w="100" w:type="dxa"/>
            </w:tcMar>
            <w:vAlign w:val="center"/>
          </w:tcPr>
          <w:p w14:paraId="4F15CC3A" w14:textId="77777777" w:rsidR="00015DBE" w:rsidRPr="005E0481" w:rsidRDefault="00E43BD1">
            <w:pPr>
              <w:rPr>
                <w:lang w:val="id-ID"/>
              </w:rPr>
            </w:pPr>
            <w:r w:rsidRPr="005E0481">
              <w:rPr>
                <w:rFonts w:ascii="Calibri" w:eastAsia="Calibri" w:hAnsi="Calibri" w:cs="Calibri"/>
                <w:sz w:val="24"/>
                <w:szCs w:val="24"/>
                <w:lang w:val="id-ID"/>
              </w:rPr>
              <w:t>I know how to use a fire blanket to extinguish a fire.</w:t>
            </w:r>
          </w:p>
        </w:tc>
      </w:tr>
      <w:tr w:rsidR="00015DBE" w:rsidRPr="005E0481" w14:paraId="6DF1C560"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09F2B667" w14:textId="77777777" w:rsidR="00015DBE" w:rsidRPr="005E0481" w:rsidRDefault="00E43BD1">
            <w:pPr>
              <w:jc w:val="center"/>
              <w:rPr>
                <w:lang w:val="id-ID"/>
              </w:rPr>
            </w:pPr>
            <w:r w:rsidRPr="005E0481">
              <w:rPr>
                <w:rFonts w:ascii="Calibri" w:eastAsia="Calibri" w:hAnsi="Calibri" w:cs="Calibri"/>
                <w:sz w:val="24"/>
                <w:szCs w:val="24"/>
                <w:lang w:val="id-ID"/>
              </w:rPr>
              <w:t>8</w:t>
            </w:r>
          </w:p>
        </w:tc>
        <w:tc>
          <w:tcPr>
            <w:tcW w:w="8806" w:type="dxa"/>
            <w:tcBorders>
              <w:top w:val="nil"/>
              <w:left w:val="nil"/>
              <w:bottom w:val="nil"/>
              <w:right w:val="nil"/>
            </w:tcBorders>
            <w:tcMar>
              <w:top w:w="80" w:type="dxa"/>
              <w:left w:w="100" w:type="dxa"/>
              <w:bottom w:w="80" w:type="dxa"/>
              <w:right w:w="100" w:type="dxa"/>
            </w:tcMar>
            <w:vAlign w:val="center"/>
          </w:tcPr>
          <w:p w14:paraId="3F4C51FA" w14:textId="77777777" w:rsidR="00015DBE" w:rsidRPr="005E0481" w:rsidRDefault="00E43BD1">
            <w:pPr>
              <w:rPr>
                <w:lang w:val="id-ID"/>
              </w:rPr>
            </w:pPr>
            <w:r w:rsidRPr="005E0481">
              <w:rPr>
                <w:rFonts w:ascii="Calibri" w:eastAsia="Calibri" w:hAnsi="Calibri" w:cs="Calibri"/>
                <w:sz w:val="24"/>
                <w:szCs w:val="24"/>
                <w:lang w:val="id-ID"/>
              </w:rPr>
              <w:t>I know the emergency evacuation route or plan in the laboratory.</w:t>
            </w:r>
          </w:p>
        </w:tc>
      </w:tr>
      <w:tr w:rsidR="00015DBE" w:rsidRPr="005E0481" w14:paraId="6A141CBB"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6F2DE0BE" w14:textId="77777777" w:rsidR="00015DBE" w:rsidRPr="005E0481" w:rsidRDefault="00E43BD1">
            <w:pPr>
              <w:jc w:val="center"/>
              <w:rPr>
                <w:lang w:val="id-ID"/>
              </w:rPr>
            </w:pPr>
            <w:r w:rsidRPr="005E0481">
              <w:rPr>
                <w:rFonts w:ascii="Calibri" w:eastAsia="Calibri" w:hAnsi="Calibri" w:cs="Calibri"/>
                <w:sz w:val="24"/>
                <w:szCs w:val="24"/>
                <w:lang w:val="id-ID"/>
              </w:rPr>
              <w:t>9</w:t>
            </w:r>
          </w:p>
        </w:tc>
        <w:tc>
          <w:tcPr>
            <w:tcW w:w="8806" w:type="dxa"/>
            <w:tcBorders>
              <w:top w:val="nil"/>
              <w:left w:val="nil"/>
              <w:bottom w:val="nil"/>
              <w:right w:val="nil"/>
            </w:tcBorders>
            <w:tcMar>
              <w:top w:w="80" w:type="dxa"/>
              <w:left w:w="100" w:type="dxa"/>
              <w:bottom w:w="80" w:type="dxa"/>
              <w:right w:w="100" w:type="dxa"/>
            </w:tcMar>
            <w:vAlign w:val="center"/>
          </w:tcPr>
          <w:p w14:paraId="4E13D661" w14:textId="77777777" w:rsidR="00015DBE" w:rsidRPr="005E0481" w:rsidRDefault="00E43BD1">
            <w:pPr>
              <w:rPr>
                <w:lang w:val="id-ID"/>
              </w:rPr>
            </w:pPr>
            <w:r w:rsidRPr="005E0481">
              <w:rPr>
                <w:rFonts w:ascii="Calibri" w:eastAsia="Calibri" w:hAnsi="Calibri" w:cs="Calibri"/>
                <w:sz w:val="24"/>
                <w:szCs w:val="24"/>
                <w:lang w:val="id-ID"/>
              </w:rPr>
              <w:t>I know how to use the first-aid (P3K) kit in the laboratory.</w:t>
            </w:r>
          </w:p>
        </w:tc>
      </w:tr>
      <w:tr w:rsidR="00015DBE" w:rsidRPr="005E0481" w14:paraId="169B553C"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209F1571" w14:textId="77777777" w:rsidR="00015DBE" w:rsidRPr="005E0481" w:rsidRDefault="00E43BD1">
            <w:pPr>
              <w:jc w:val="center"/>
              <w:rPr>
                <w:lang w:val="id-ID"/>
              </w:rPr>
            </w:pPr>
            <w:r w:rsidRPr="005E0481">
              <w:rPr>
                <w:rFonts w:ascii="Calibri" w:eastAsia="Calibri" w:hAnsi="Calibri" w:cs="Calibri"/>
                <w:sz w:val="24"/>
                <w:szCs w:val="24"/>
                <w:lang w:val="id-ID"/>
              </w:rPr>
              <w:t>10</w:t>
            </w:r>
          </w:p>
        </w:tc>
        <w:tc>
          <w:tcPr>
            <w:tcW w:w="8806" w:type="dxa"/>
            <w:tcBorders>
              <w:top w:val="nil"/>
              <w:left w:val="nil"/>
              <w:bottom w:val="nil"/>
              <w:right w:val="nil"/>
            </w:tcBorders>
            <w:tcMar>
              <w:top w:w="80" w:type="dxa"/>
              <w:left w:w="100" w:type="dxa"/>
              <w:bottom w:w="80" w:type="dxa"/>
              <w:right w:w="100" w:type="dxa"/>
            </w:tcMar>
            <w:vAlign w:val="center"/>
          </w:tcPr>
          <w:p w14:paraId="12064BEC" w14:textId="77777777" w:rsidR="00015DBE" w:rsidRPr="005E0481" w:rsidRDefault="00E43BD1">
            <w:pPr>
              <w:rPr>
                <w:lang w:val="id-ID"/>
              </w:rPr>
            </w:pPr>
            <w:r w:rsidRPr="005E0481">
              <w:rPr>
                <w:rFonts w:ascii="Calibri" w:eastAsia="Calibri" w:hAnsi="Calibri" w:cs="Calibri"/>
                <w:sz w:val="24"/>
                <w:szCs w:val="24"/>
                <w:lang w:val="id-ID"/>
              </w:rPr>
              <w:t>I always wear a laboratory coat during practicum activities.</w:t>
            </w:r>
          </w:p>
        </w:tc>
      </w:tr>
      <w:tr w:rsidR="00015DBE" w:rsidRPr="005E0481" w14:paraId="1F5AFA3E"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6021909F" w14:textId="77777777" w:rsidR="00015DBE" w:rsidRPr="005E0481" w:rsidRDefault="00E43BD1">
            <w:pPr>
              <w:jc w:val="center"/>
              <w:rPr>
                <w:lang w:val="id-ID"/>
              </w:rPr>
            </w:pPr>
            <w:r w:rsidRPr="005E0481">
              <w:rPr>
                <w:rFonts w:ascii="Calibri" w:eastAsia="Calibri" w:hAnsi="Calibri" w:cs="Calibri"/>
                <w:sz w:val="24"/>
                <w:szCs w:val="24"/>
                <w:lang w:val="id-ID"/>
              </w:rPr>
              <w:t>11</w:t>
            </w:r>
          </w:p>
        </w:tc>
        <w:tc>
          <w:tcPr>
            <w:tcW w:w="8806" w:type="dxa"/>
            <w:tcBorders>
              <w:top w:val="nil"/>
              <w:left w:val="nil"/>
              <w:bottom w:val="nil"/>
              <w:right w:val="nil"/>
            </w:tcBorders>
            <w:tcMar>
              <w:top w:w="80" w:type="dxa"/>
              <w:left w:w="100" w:type="dxa"/>
              <w:bottom w:w="80" w:type="dxa"/>
              <w:right w:w="100" w:type="dxa"/>
            </w:tcMar>
            <w:vAlign w:val="center"/>
          </w:tcPr>
          <w:p w14:paraId="02B61BF3" w14:textId="77777777" w:rsidR="00015DBE" w:rsidRPr="005E0481" w:rsidRDefault="00E43BD1">
            <w:pPr>
              <w:rPr>
                <w:lang w:val="id-ID"/>
              </w:rPr>
            </w:pPr>
            <w:r w:rsidRPr="005E0481">
              <w:rPr>
                <w:rFonts w:ascii="Calibri" w:eastAsia="Calibri" w:hAnsi="Calibri" w:cs="Calibri"/>
                <w:sz w:val="24"/>
                <w:szCs w:val="24"/>
                <w:lang w:val="id-ID"/>
              </w:rPr>
              <w:t>I know what to do if a bleeding wound occurs.</w:t>
            </w:r>
          </w:p>
        </w:tc>
      </w:tr>
      <w:tr w:rsidR="00015DBE" w:rsidRPr="005E0481" w14:paraId="0018802C"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003EE283" w14:textId="77777777" w:rsidR="00015DBE" w:rsidRPr="005E0481" w:rsidRDefault="00E43BD1">
            <w:pPr>
              <w:jc w:val="center"/>
              <w:rPr>
                <w:lang w:val="id-ID"/>
              </w:rPr>
            </w:pPr>
            <w:r w:rsidRPr="005E0481">
              <w:rPr>
                <w:rFonts w:ascii="Calibri" w:eastAsia="Calibri" w:hAnsi="Calibri" w:cs="Calibri"/>
                <w:sz w:val="24"/>
                <w:szCs w:val="24"/>
                <w:lang w:val="id-ID"/>
              </w:rPr>
              <w:t>12</w:t>
            </w:r>
          </w:p>
        </w:tc>
        <w:tc>
          <w:tcPr>
            <w:tcW w:w="8806" w:type="dxa"/>
            <w:tcBorders>
              <w:top w:val="nil"/>
              <w:left w:val="nil"/>
              <w:bottom w:val="nil"/>
              <w:right w:val="nil"/>
            </w:tcBorders>
            <w:tcMar>
              <w:top w:w="80" w:type="dxa"/>
              <w:left w:w="100" w:type="dxa"/>
              <w:bottom w:w="80" w:type="dxa"/>
              <w:right w:w="100" w:type="dxa"/>
            </w:tcMar>
            <w:vAlign w:val="center"/>
          </w:tcPr>
          <w:p w14:paraId="078478BC" w14:textId="77777777" w:rsidR="00015DBE" w:rsidRPr="005E0481" w:rsidRDefault="00E43BD1">
            <w:pPr>
              <w:rPr>
                <w:lang w:val="id-ID"/>
              </w:rPr>
            </w:pPr>
            <w:r w:rsidRPr="005E0481">
              <w:rPr>
                <w:rFonts w:ascii="Calibri" w:eastAsia="Calibri" w:hAnsi="Calibri" w:cs="Calibri"/>
                <w:sz w:val="24"/>
                <w:szCs w:val="24"/>
                <w:lang w:val="id-ID"/>
              </w:rPr>
              <w:t>I know what to do if a burn occurs from a hot object.</w:t>
            </w:r>
          </w:p>
        </w:tc>
      </w:tr>
      <w:tr w:rsidR="00015DBE" w:rsidRPr="005E0481" w14:paraId="0CD60499"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46F9B87E" w14:textId="77777777" w:rsidR="00015DBE" w:rsidRPr="005E0481" w:rsidRDefault="00E43BD1">
            <w:pPr>
              <w:jc w:val="center"/>
              <w:rPr>
                <w:lang w:val="id-ID"/>
              </w:rPr>
            </w:pPr>
            <w:r w:rsidRPr="005E0481">
              <w:rPr>
                <w:rFonts w:ascii="Calibri" w:eastAsia="Calibri" w:hAnsi="Calibri" w:cs="Calibri"/>
                <w:sz w:val="24"/>
                <w:szCs w:val="24"/>
                <w:lang w:val="id-ID"/>
              </w:rPr>
              <w:t>13</w:t>
            </w:r>
          </w:p>
        </w:tc>
        <w:tc>
          <w:tcPr>
            <w:tcW w:w="8806" w:type="dxa"/>
            <w:tcBorders>
              <w:top w:val="nil"/>
              <w:left w:val="nil"/>
              <w:bottom w:val="nil"/>
              <w:right w:val="nil"/>
            </w:tcBorders>
            <w:tcMar>
              <w:top w:w="80" w:type="dxa"/>
              <w:left w:w="100" w:type="dxa"/>
              <w:bottom w:w="80" w:type="dxa"/>
              <w:right w:w="100" w:type="dxa"/>
            </w:tcMar>
            <w:vAlign w:val="center"/>
          </w:tcPr>
          <w:p w14:paraId="7527A446" w14:textId="77777777" w:rsidR="00015DBE" w:rsidRPr="005E0481" w:rsidRDefault="00E43BD1">
            <w:pPr>
              <w:rPr>
                <w:lang w:val="id-ID"/>
              </w:rPr>
            </w:pPr>
            <w:r w:rsidRPr="005E0481">
              <w:rPr>
                <w:rFonts w:ascii="Calibri" w:eastAsia="Calibri" w:hAnsi="Calibri" w:cs="Calibri"/>
                <w:sz w:val="24"/>
                <w:szCs w:val="24"/>
                <w:lang w:val="id-ID"/>
              </w:rPr>
              <w:t>I know what to do if chemicals come into contact with the eyes.</w:t>
            </w:r>
          </w:p>
        </w:tc>
      </w:tr>
      <w:tr w:rsidR="00015DBE" w:rsidRPr="005E0481" w14:paraId="25100A60" w14:textId="77777777">
        <w:tblPrEx>
          <w:tblCellMar>
            <w:top w:w="0" w:type="dxa"/>
            <w:bottom w:w="0" w:type="dxa"/>
          </w:tblCellMar>
        </w:tblPrEx>
        <w:tc>
          <w:tcPr>
            <w:tcW w:w="600" w:type="dxa"/>
            <w:tcBorders>
              <w:top w:val="nil"/>
              <w:left w:val="nil"/>
              <w:bottom w:val="nil"/>
              <w:right w:val="nil"/>
            </w:tcBorders>
            <w:tcMar>
              <w:top w:w="80" w:type="dxa"/>
              <w:left w:w="100" w:type="dxa"/>
              <w:bottom w:w="80" w:type="dxa"/>
              <w:right w:w="100" w:type="dxa"/>
            </w:tcMar>
            <w:vAlign w:val="center"/>
          </w:tcPr>
          <w:p w14:paraId="097B1C1B" w14:textId="77777777" w:rsidR="00015DBE" w:rsidRPr="005E0481" w:rsidRDefault="00E43BD1">
            <w:pPr>
              <w:jc w:val="center"/>
              <w:rPr>
                <w:lang w:val="id-ID"/>
              </w:rPr>
            </w:pPr>
            <w:r w:rsidRPr="005E0481">
              <w:rPr>
                <w:rFonts w:ascii="Calibri" w:eastAsia="Calibri" w:hAnsi="Calibri" w:cs="Calibri"/>
                <w:sz w:val="24"/>
                <w:szCs w:val="24"/>
                <w:lang w:val="id-ID"/>
              </w:rPr>
              <w:t>14</w:t>
            </w:r>
          </w:p>
        </w:tc>
        <w:tc>
          <w:tcPr>
            <w:tcW w:w="8806" w:type="dxa"/>
            <w:tcBorders>
              <w:top w:val="nil"/>
              <w:left w:val="nil"/>
              <w:bottom w:val="nil"/>
              <w:right w:val="nil"/>
            </w:tcBorders>
            <w:tcMar>
              <w:top w:w="80" w:type="dxa"/>
              <w:left w:w="100" w:type="dxa"/>
              <w:bottom w:w="80" w:type="dxa"/>
              <w:right w:w="100" w:type="dxa"/>
            </w:tcMar>
            <w:vAlign w:val="center"/>
          </w:tcPr>
          <w:p w14:paraId="52F1E5F7" w14:textId="77777777" w:rsidR="00015DBE" w:rsidRPr="005E0481" w:rsidRDefault="00E43BD1">
            <w:pPr>
              <w:rPr>
                <w:lang w:val="id-ID"/>
              </w:rPr>
            </w:pPr>
            <w:r w:rsidRPr="005E0481">
              <w:rPr>
                <w:rFonts w:ascii="Calibri" w:eastAsia="Calibri" w:hAnsi="Calibri" w:cs="Calibri"/>
                <w:sz w:val="24"/>
                <w:szCs w:val="24"/>
                <w:lang w:val="id-ID"/>
              </w:rPr>
              <w:t>I always return laboratory equipment to its place after use.</w:t>
            </w:r>
          </w:p>
        </w:tc>
      </w:tr>
      <w:tr w:rsidR="00015DBE" w:rsidRPr="005E0481" w14:paraId="3C84092C" w14:textId="77777777">
        <w:tblPrEx>
          <w:tblCellMar>
            <w:top w:w="0" w:type="dxa"/>
            <w:bottom w:w="0" w:type="dxa"/>
          </w:tblCellMar>
        </w:tblPrEx>
        <w:tc>
          <w:tcPr>
            <w:tcW w:w="600" w:type="dxa"/>
            <w:tcBorders>
              <w:top w:val="nil"/>
              <w:left w:val="nil"/>
              <w:bottom w:val="single" w:sz="6" w:space="0" w:color="000000"/>
              <w:right w:val="nil"/>
            </w:tcBorders>
            <w:tcMar>
              <w:top w:w="80" w:type="dxa"/>
              <w:left w:w="100" w:type="dxa"/>
              <w:bottom w:w="80" w:type="dxa"/>
              <w:right w:w="100" w:type="dxa"/>
            </w:tcMar>
            <w:vAlign w:val="center"/>
          </w:tcPr>
          <w:p w14:paraId="736ACFF3" w14:textId="77777777" w:rsidR="00015DBE" w:rsidRPr="005E0481" w:rsidRDefault="00E43BD1">
            <w:pPr>
              <w:jc w:val="center"/>
              <w:rPr>
                <w:lang w:val="id-ID"/>
              </w:rPr>
            </w:pPr>
            <w:r w:rsidRPr="005E0481">
              <w:rPr>
                <w:rFonts w:ascii="Calibri" w:eastAsia="Calibri" w:hAnsi="Calibri" w:cs="Calibri"/>
                <w:sz w:val="24"/>
                <w:szCs w:val="24"/>
                <w:lang w:val="id-ID"/>
              </w:rPr>
              <w:t>15</w:t>
            </w:r>
          </w:p>
        </w:tc>
        <w:tc>
          <w:tcPr>
            <w:tcW w:w="8806" w:type="dxa"/>
            <w:tcBorders>
              <w:top w:val="nil"/>
              <w:left w:val="nil"/>
              <w:bottom w:val="single" w:sz="6" w:space="0" w:color="000000"/>
              <w:right w:val="nil"/>
            </w:tcBorders>
            <w:tcMar>
              <w:top w:w="80" w:type="dxa"/>
              <w:left w:w="100" w:type="dxa"/>
              <w:bottom w:w="80" w:type="dxa"/>
              <w:right w:w="100" w:type="dxa"/>
            </w:tcMar>
            <w:vAlign w:val="center"/>
          </w:tcPr>
          <w:p w14:paraId="63B89DA1" w14:textId="77777777" w:rsidR="00015DBE" w:rsidRPr="005E0481" w:rsidRDefault="00E43BD1">
            <w:pPr>
              <w:rPr>
                <w:lang w:val="id-ID"/>
              </w:rPr>
            </w:pPr>
            <w:r w:rsidRPr="005E0481">
              <w:rPr>
                <w:rFonts w:ascii="Calibri" w:eastAsia="Calibri" w:hAnsi="Calibri" w:cs="Calibri"/>
                <w:sz w:val="24"/>
                <w:szCs w:val="24"/>
                <w:lang w:val="id-ID"/>
              </w:rPr>
              <w:t>I wash my hands after carrying out activities in the laboratory.</w:t>
            </w:r>
          </w:p>
        </w:tc>
      </w:tr>
    </w:tbl>
    <w:p w14:paraId="3060B51A" w14:textId="77777777" w:rsidR="00015DBE" w:rsidRPr="005E0481" w:rsidRDefault="00015DBE">
      <w:pPr>
        <w:spacing w:before="100"/>
        <w:rPr>
          <w:lang w:val="id-ID"/>
        </w:rPr>
      </w:pPr>
    </w:p>
    <w:p w14:paraId="0910714D"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Data collection was carried out by distributing the questionnaire online to the research subjects. The time allotted for completing the questionnaire was unrestricted and without direct supervision, and students were asked to answer the statement items based on their individual perceptions of their actual experience during practicum activities. This uncontrolled completion condition constitutes a limitation of the study that must be taken into account when interpreting the results. The questionnaire was mea</w:t>
      </w:r>
      <w:r w:rsidRPr="005E0481">
        <w:rPr>
          <w:rFonts w:ascii="Calibri" w:eastAsia="Calibri" w:hAnsi="Calibri" w:cs="Calibri"/>
          <w:sz w:val="24"/>
          <w:szCs w:val="24"/>
          <w:lang w:val="id-ID"/>
        </w:rPr>
        <w:t>sured using a four-point Likert scale to provide a clear distribution of responses without a neutral option. The scoring weights for this scale were as follows: Strongly Agree (SA) = 4, Agree (A) = 3, Disagree (D) = 2, and Strongly Disagree (SD) = 1.</w:t>
      </w:r>
    </w:p>
    <w:p w14:paraId="56D75C0E"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The data analysis technique used was descriptive statistics. The raw questionnaire data were processed through the following steps. First, the researcher summed all scores obtained by each respondent across the 15 statements. Since the instrument consisted of 15 items with a maximum score of 4 per item, the maximum total score attainable by a respondent was 60, while the minimum score was 15. Second, the percentage level of students’ laboratory safety was calculated using the following effectiveness percent</w:t>
      </w:r>
      <w:r w:rsidRPr="005E0481">
        <w:rPr>
          <w:rFonts w:ascii="Calibri" w:eastAsia="Calibri" w:hAnsi="Calibri" w:cs="Calibri"/>
          <w:sz w:val="24"/>
          <w:szCs w:val="24"/>
          <w:lang w:val="id-ID"/>
        </w:rPr>
        <w:t>age formula:</w:t>
      </w:r>
    </w:p>
    <w:p w14:paraId="1EF3710F" w14:textId="77777777" w:rsidR="00015DBE" w:rsidRPr="005E0481" w:rsidRDefault="00E43BD1">
      <w:pPr>
        <w:spacing w:before="120" w:after="120"/>
        <w:jc w:val="center"/>
        <w:rPr>
          <w:lang w:val="id-ID"/>
        </w:rPr>
      </w:pPr>
      <w:r w:rsidRPr="005E0481">
        <w:rPr>
          <w:rFonts w:ascii="Calibri" w:eastAsia="Calibri" w:hAnsi="Calibri" w:cs="Calibri"/>
          <w:i/>
          <w:iCs/>
          <w:sz w:val="24"/>
          <w:szCs w:val="24"/>
          <w:lang w:val="id-ID"/>
        </w:rPr>
        <w:t>Score = (Score obtained / Maximum score) × 100%</w:t>
      </w:r>
    </w:p>
    <w:p w14:paraId="7C451C78"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The percentage results were then converted and analyzed descriptively using a modified five-criterion scale of laboratory safety. Students’ achievement levels were categorized according to Riduwan (2014) as follows:</w:t>
      </w:r>
    </w:p>
    <w:p w14:paraId="02622780" w14:textId="77777777" w:rsidR="00015DBE" w:rsidRPr="005E0481" w:rsidRDefault="00E43BD1">
      <w:pPr>
        <w:spacing w:before="80" w:after="200"/>
        <w:jc w:val="center"/>
        <w:rPr>
          <w:lang w:val="id-ID"/>
        </w:rPr>
      </w:pPr>
      <w:r w:rsidRPr="005E0481">
        <w:rPr>
          <w:rFonts w:ascii="Calibri" w:eastAsia="Calibri" w:hAnsi="Calibri" w:cs="Calibri"/>
          <w:b/>
          <w:bCs/>
          <w:sz w:val="24"/>
          <w:szCs w:val="24"/>
          <w:lang w:val="id-ID"/>
        </w:rPr>
        <w:t>Table 2</w:t>
      </w:r>
      <w:r w:rsidRPr="005E0481">
        <w:rPr>
          <w:rFonts w:ascii="Calibri" w:eastAsia="Calibri" w:hAnsi="Calibri" w:cs="Calibri"/>
          <w:sz w:val="24"/>
          <w:szCs w:val="24"/>
          <w:lang w:val="id-ID"/>
        </w:rPr>
        <w:t xml:space="preserve"> Percentage interval for students’ laboratory safety level</w:t>
      </w: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62"/>
        <w:gridCol w:w="5644"/>
      </w:tblGrid>
      <w:tr w:rsidR="00015DBE" w:rsidRPr="005E0481" w14:paraId="4F68A2A8" w14:textId="77777777">
        <w:tblPrEx>
          <w:tblCellMar>
            <w:top w:w="0" w:type="dxa"/>
            <w:bottom w:w="0" w:type="dxa"/>
          </w:tblCellMar>
        </w:tblPrEx>
        <w:tc>
          <w:tcPr>
            <w:tcW w:w="3762"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0A920F61" w14:textId="77777777" w:rsidR="00015DBE" w:rsidRPr="005E0481" w:rsidRDefault="00E43BD1">
            <w:pPr>
              <w:rPr>
                <w:lang w:val="id-ID"/>
              </w:rPr>
            </w:pPr>
            <w:r w:rsidRPr="005E0481">
              <w:rPr>
                <w:rFonts w:ascii="Calibri" w:eastAsia="Calibri" w:hAnsi="Calibri" w:cs="Calibri"/>
                <w:b/>
                <w:bCs/>
                <w:sz w:val="24"/>
                <w:szCs w:val="24"/>
                <w:lang w:val="id-ID"/>
              </w:rPr>
              <w:t>Percentage (%)</w:t>
            </w:r>
          </w:p>
        </w:tc>
        <w:tc>
          <w:tcPr>
            <w:tcW w:w="5644"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2064A05C" w14:textId="77777777" w:rsidR="00015DBE" w:rsidRPr="005E0481" w:rsidRDefault="00E43BD1">
            <w:pPr>
              <w:jc w:val="center"/>
              <w:rPr>
                <w:lang w:val="id-ID"/>
              </w:rPr>
            </w:pPr>
            <w:r w:rsidRPr="005E0481">
              <w:rPr>
                <w:rFonts w:ascii="Calibri" w:eastAsia="Calibri" w:hAnsi="Calibri" w:cs="Calibri"/>
                <w:b/>
                <w:bCs/>
                <w:sz w:val="24"/>
                <w:szCs w:val="24"/>
                <w:lang w:val="id-ID"/>
              </w:rPr>
              <w:t>Category</w:t>
            </w:r>
          </w:p>
        </w:tc>
      </w:tr>
      <w:tr w:rsidR="00015DBE" w:rsidRPr="005E0481" w14:paraId="72AFEEFA" w14:textId="77777777">
        <w:tblPrEx>
          <w:tblCellMar>
            <w:top w:w="0" w:type="dxa"/>
            <w:bottom w:w="0" w:type="dxa"/>
          </w:tblCellMar>
        </w:tblPrEx>
        <w:tc>
          <w:tcPr>
            <w:tcW w:w="3762" w:type="dxa"/>
            <w:tcBorders>
              <w:top w:val="nil"/>
              <w:left w:val="nil"/>
              <w:bottom w:val="nil"/>
              <w:right w:val="nil"/>
            </w:tcBorders>
            <w:tcMar>
              <w:top w:w="80" w:type="dxa"/>
              <w:left w:w="100" w:type="dxa"/>
              <w:bottom w:w="80" w:type="dxa"/>
              <w:right w:w="100" w:type="dxa"/>
            </w:tcMar>
            <w:vAlign w:val="center"/>
          </w:tcPr>
          <w:p w14:paraId="7C34EF4A" w14:textId="77777777" w:rsidR="00015DBE" w:rsidRPr="005E0481" w:rsidRDefault="00E43BD1">
            <w:pPr>
              <w:rPr>
                <w:lang w:val="id-ID"/>
              </w:rPr>
            </w:pPr>
            <w:r w:rsidRPr="005E0481">
              <w:rPr>
                <w:rFonts w:ascii="Calibri" w:eastAsia="Calibri" w:hAnsi="Calibri" w:cs="Calibri"/>
                <w:sz w:val="24"/>
                <w:szCs w:val="24"/>
                <w:lang w:val="id-ID"/>
              </w:rPr>
              <w:t>0–20</w:t>
            </w:r>
          </w:p>
        </w:tc>
        <w:tc>
          <w:tcPr>
            <w:tcW w:w="5644" w:type="dxa"/>
            <w:tcBorders>
              <w:top w:val="nil"/>
              <w:left w:val="nil"/>
              <w:bottom w:val="nil"/>
              <w:right w:val="nil"/>
            </w:tcBorders>
            <w:tcMar>
              <w:top w:w="80" w:type="dxa"/>
              <w:left w:w="100" w:type="dxa"/>
              <w:bottom w:w="80" w:type="dxa"/>
              <w:right w:w="100" w:type="dxa"/>
            </w:tcMar>
            <w:vAlign w:val="center"/>
          </w:tcPr>
          <w:p w14:paraId="15CCF3C1" w14:textId="77777777" w:rsidR="00015DBE" w:rsidRPr="005E0481" w:rsidRDefault="00E43BD1">
            <w:pPr>
              <w:jc w:val="center"/>
              <w:rPr>
                <w:lang w:val="id-ID"/>
              </w:rPr>
            </w:pPr>
            <w:r w:rsidRPr="005E0481">
              <w:rPr>
                <w:rFonts w:ascii="Calibri" w:eastAsia="Calibri" w:hAnsi="Calibri" w:cs="Calibri"/>
                <w:sz w:val="24"/>
                <w:szCs w:val="24"/>
                <w:lang w:val="id-ID"/>
              </w:rPr>
              <w:t>Very Poor</w:t>
            </w:r>
          </w:p>
        </w:tc>
      </w:tr>
      <w:tr w:rsidR="00015DBE" w:rsidRPr="005E0481" w14:paraId="13A08B01" w14:textId="77777777">
        <w:tblPrEx>
          <w:tblCellMar>
            <w:top w:w="0" w:type="dxa"/>
            <w:bottom w:w="0" w:type="dxa"/>
          </w:tblCellMar>
        </w:tblPrEx>
        <w:tc>
          <w:tcPr>
            <w:tcW w:w="3762" w:type="dxa"/>
            <w:tcBorders>
              <w:top w:val="nil"/>
              <w:left w:val="nil"/>
              <w:bottom w:val="nil"/>
              <w:right w:val="nil"/>
            </w:tcBorders>
            <w:tcMar>
              <w:top w:w="80" w:type="dxa"/>
              <w:left w:w="100" w:type="dxa"/>
              <w:bottom w:w="80" w:type="dxa"/>
              <w:right w:w="100" w:type="dxa"/>
            </w:tcMar>
            <w:vAlign w:val="center"/>
          </w:tcPr>
          <w:p w14:paraId="626FF20B" w14:textId="77777777" w:rsidR="00015DBE" w:rsidRPr="005E0481" w:rsidRDefault="00E43BD1">
            <w:pPr>
              <w:rPr>
                <w:lang w:val="id-ID"/>
              </w:rPr>
            </w:pPr>
            <w:r w:rsidRPr="005E0481">
              <w:rPr>
                <w:rFonts w:ascii="Calibri" w:eastAsia="Calibri" w:hAnsi="Calibri" w:cs="Calibri"/>
                <w:sz w:val="24"/>
                <w:szCs w:val="24"/>
                <w:lang w:val="id-ID"/>
              </w:rPr>
              <w:t>21–40</w:t>
            </w:r>
          </w:p>
        </w:tc>
        <w:tc>
          <w:tcPr>
            <w:tcW w:w="5644" w:type="dxa"/>
            <w:tcBorders>
              <w:top w:val="nil"/>
              <w:left w:val="nil"/>
              <w:bottom w:val="nil"/>
              <w:right w:val="nil"/>
            </w:tcBorders>
            <w:tcMar>
              <w:top w:w="80" w:type="dxa"/>
              <w:left w:w="100" w:type="dxa"/>
              <w:bottom w:w="80" w:type="dxa"/>
              <w:right w:w="100" w:type="dxa"/>
            </w:tcMar>
            <w:vAlign w:val="center"/>
          </w:tcPr>
          <w:p w14:paraId="7BA56855" w14:textId="77777777" w:rsidR="00015DBE" w:rsidRPr="005E0481" w:rsidRDefault="00E43BD1">
            <w:pPr>
              <w:jc w:val="center"/>
              <w:rPr>
                <w:lang w:val="id-ID"/>
              </w:rPr>
            </w:pPr>
            <w:r w:rsidRPr="005E0481">
              <w:rPr>
                <w:rFonts w:ascii="Calibri" w:eastAsia="Calibri" w:hAnsi="Calibri" w:cs="Calibri"/>
                <w:sz w:val="24"/>
                <w:szCs w:val="24"/>
                <w:lang w:val="id-ID"/>
              </w:rPr>
              <w:t>Poor</w:t>
            </w:r>
          </w:p>
        </w:tc>
      </w:tr>
      <w:tr w:rsidR="00015DBE" w:rsidRPr="005E0481" w14:paraId="2DB0D0D0" w14:textId="77777777">
        <w:tblPrEx>
          <w:tblCellMar>
            <w:top w:w="0" w:type="dxa"/>
            <w:bottom w:w="0" w:type="dxa"/>
          </w:tblCellMar>
        </w:tblPrEx>
        <w:tc>
          <w:tcPr>
            <w:tcW w:w="3762" w:type="dxa"/>
            <w:tcBorders>
              <w:top w:val="nil"/>
              <w:left w:val="nil"/>
              <w:bottom w:val="nil"/>
              <w:right w:val="nil"/>
            </w:tcBorders>
            <w:tcMar>
              <w:top w:w="80" w:type="dxa"/>
              <w:left w:w="100" w:type="dxa"/>
              <w:bottom w:w="80" w:type="dxa"/>
              <w:right w:w="100" w:type="dxa"/>
            </w:tcMar>
            <w:vAlign w:val="center"/>
          </w:tcPr>
          <w:p w14:paraId="11015E3D" w14:textId="77777777" w:rsidR="00015DBE" w:rsidRPr="005E0481" w:rsidRDefault="00E43BD1">
            <w:pPr>
              <w:rPr>
                <w:lang w:val="id-ID"/>
              </w:rPr>
            </w:pPr>
            <w:r w:rsidRPr="005E0481">
              <w:rPr>
                <w:rFonts w:ascii="Calibri" w:eastAsia="Calibri" w:hAnsi="Calibri" w:cs="Calibri"/>
                <w:sz w:val="24"/>
                <w:szCs w:val="24"/>
                <w:lang w:val="id-ID"/>
              </w:rPr>
              <w:t>41–60</w:t>
            </w:r>
          </w:p>
        </w:tc>
        <w:tc>
          <w:tcPr>
            <w:tcW w:w="5644" w:type="dxa"/>
            <w:tcBorders>
              <w:top w:val="nil"/>
              <w:left w:val="nil"/>
              <w:bottom w:val="nil"/>
              <w:right w:val="nil"/>
            </w:tcBorders>
            <w:tcMar>
              <w:top w:w="80" w:type="dxa"/>
              <w:left w:w="100" w:type="dxa"/>
              <w:bottom w:w="80" w:type="dxa"/>
              <w:right w:w="100" w:type="dxa"/>
            </w:tcMar>
            <w:vAlign w:val="center"/>
          </w:tcPr>
          <w:p w14:paraId="7C88F876"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5D045333" w14:textId="77777777">
        <w:tblPrEx>
          <w:tblCellMar>
            <w:top w:w="0" w:type="dxa"/>
            <w:bottom w:w="0" w:type="dxa"/>
          </w:tblCellMar>
        </w:tblPrEx>
        <w:tc>
          <w:tcPr>
            <w:tcW w:w="3762" w:type="dxa"/>
            <w:tcBorders>
              <w:top w:val="nil"/>
              <w:left w:val="nil"/>
              <w:bottom w:val="nil"/>
              <w:right w:val="nil"/>
            </w:tcBorders>
            <w:tcMar>
              <w:top w:w="80" w:type="dxa"/>
              <w:left w:w="100" w:type="dxa"/>
              <w:bottom w:w="80" w:type="dxa"/>
              <w:right w:w="100" w:type="dxa"/>
            </w:tcMar>
            <w:vAlign w:val="center"/>
          </w:tcPr>
          <w:p w14:paraId="73477E78" w14:textId="77777777" w:rsidR="00015DBE" w:rsidRPr="005E0481" w:rsidRDefault="00E43BD1">
            <w:pPr>
              <w:rPr>
                <w:lang w:val="id-ID"/>
              </w:rPr>
            </w:pPr>
            <w:r w:rsidRPr="005E0481">
              <w:rPr>
                <w:rFonts w:ascii="Calibri" w:eastAsia="Calibri" w:hAnsi="Calibri" w:cs="Calibri"/>
                <w:sz w:val="24"/>
                <w:szCs w:val="24"/>
                <w:lang w:val="id-ID"/>
              </w:rPr>
              <w:t>61–80</w:t>
            </w:r>
          </w:p>
        </w:tc>
        <w:tc>
          <w:tcPr>
            <w:tcW w:w="5644" w:type="dxa"/>
            <w:tcBorders>
              <w:top w:val="nil"/>
              <w:left w:val="nil"/>
              <w:bottom w:val="nil"/>
              <w:right w:val="nil"/>
            </w:tcBorders>
            <w:tcMar>
              <w:top w:w="80" w:type="dxa"/>
              <w:left w:w="100" w:type="dxa"/>
              <w:bottom w:w="80" w:type="dxa"/>
              <w:right w:w="100" w:type="dxa"/>
            </w:tcMar>
            <w:vAlign w:val="center"/>
          </w:tcPr>
          <w:p w14:paraId="18CBC9AB" w14:textId="77777777" w:rsidR="00015DBE" w:rsidRPr="005E0481" w:rsidRDefault="00E43BD1">
            <w:pPr>
              <w:jc w:val="center"/>
              <w:rPr>
                <w:lang w:val="id-ID"/>
              </w:rPr>
            </w:pPr>
            <w:r w:rsidRPr="005E0481">
              <w:rPr>
                <w:rFonts w:ascii="Calibri" w:eastAsia="Calibri" w:hAnsi="Calibri" w:cs="Calibri"/>
                <w:sz w:val="24"/>
                <w:szCs w:val="24"/>
                <w:lang w:val="id-ID"/>
              </w:rPr>
              <w:t>Good</w:t>
            </w:r>
          </w:p>
        </w:tc>
      </w:tr>
      <w:tr w:rsidR="00015DBE" w:rsidRPr="005E0481" w14:paraId="511EEFFD" w14:textId="77777777">
        <w:tblPrEx>
          <w:tblCellMar>
            <w:top w:w="0" w:type="dxa"/>
            <w:bottom w:w="0" w:type="dxa"/>
          </w:tblCellMar>
        </w:tblPrEx>
        <w:tc>
          <w:tcPr>
            <w:tcW w:w="3762" w:type="dxa"/>
            <w:tcBorders>
              <w:top w:val="nil"/>
              <w:left w:val="nil"/>
              <w:bottom w:val="single" w:sz="6" w:space="0" w:color="000000"/>
              <w:right w:val="nil"/>
            </w:tcBorders>
            <w:tcMar>
              <w:top w:w="80" w:type="dxa"/>
              <w:left w:w="100" w:type="dxa"/>
              <w:bottom w:w="80" w:type="dxa"/>
              <w:right w:w="100" w:type="dxa"/>
            </w:tcMar>
            <w:vAlign w:val="center"/>
          </w:tcPr>
          <w:p w14:paraId="09F8C092" w14:textId="77777777" w:rsidR="00015DBE" w:rsidRPr="005E0481" w:rsidRDefault="00E43BD1">
            <w:pPr>
              <w:rPr>
                <w:lang w:val="id-ID"/>
              </w:rPr>
            </w:pPr>
            <w:r w:rsidRPr="005E0481">
              <w:rPr>
                <w:rFonts w:ascii="Calibri" w:eastAsia="Calibri" w:hAnsi="Calibri" w:cs="Calibri"/>
                <w:sz w:val="24"/>
                <w:szCs w:val="24"/>
                <w:lang w:val="id-ID"/>
              </w:rPr>
              <w:t>81–100</w:t>
            </w:r>
          </w:p>
        </w:tc>
        <w:tc>
          <w:tcPr>
            <w:tcW w:w="5644" w:type="dxa"/>
            <w:tcBorders>
              <w:top w:val="nil"/>
              <w:left w:val="nil"/>
              <w:bottom w:val="single" w:sz="6" w:space="0" w:color="000000"/>
              <w:right w:val="nil"/>
            </w:tcBorders>
            <w:tcMar>
              <w:top w:w="80" w:type="dxa"/>
              <w:left w:w="100" w:type="dxa"/>
              <w:bottom w:w="80" w:type="dxa"/>
              <w:right w:w="100" w:type="dxa"/>
            </w:tcMar>
            <w:vAlign w:val="center"/>
          </w:tcPr>
          <w:p w14:paraId="270049E0" w14:textId="77777777" w:rsidR="00015DBE" w:rsidRPr="005E0481" w:rsidRDefault="00E43BD1">
            <w:pPr>
              <w:jc w:val="center"/>
              <w:rPr>
                <w:lang w:val="id-ID"/>
              </w:rPr>
            </w:pPr>
            <w:r w:rsidRPr="005E0481">
              <w:rPr>
                <w:rFonts w:ascii="Calibri" w:eastAsia="Calibri" w:hAnsi="Calibri" w:cs="Calibri"/>
                <w:sz w:val="24"/>
                <w:szCs w:val="24"/>
                <w:lang w:val="id-ID"/>
              </w:rPr>
              <w:t>Very Good</w:t>
            </w:r>
          </w:p>
        </w:tc>
      </w:tr>
    </w:tbl>
    <w:p w14:paraId="2AE9A00B" w14:textId="77777777" w:rsidR="00015DBE" w:rsidRPr="005E0481" w:rsidRDefault="00015DBE">
      <w:pPr>
        <w:spacing w:before="100"/>
        <w:rPr>
          <w:lang w:val="id-ID"/>
        </w:rPr>
      </w:pPr>
    </w:p>
    <w:p w14:paraId="5FAD8562" w14:textId="77777777" w:rsidR="00015DBE" w:rsidRPr="005E0481" w:rsidRDefault="00E43BD1">
      <w:pPr>
        <w:spacing w:before="280" w:after="160" w:line="276" w:lineRule="auto"/>
        <w:rPr>
          <w:lang w:val="id-ID"/>
        </w:rPr>
      </w:pPr>
      <w:r w:rsidRPr="005E0481">
        <w:rPr>
          <w:rFonts w:ascii="Calibri" w:eastAsia="Calibri" w:hAnsi="Calibri" w:cs="Calibri"/>
          <w:b/>
          <w:bCs/>
          <w:sz w:val="24"/>
          <w:szCs w:val="24"/>
          <w:lang w:val="id-ID"/>
        </w:rPr>
        <w:t>RESULTS AND DISCUSSIONS</w:t>
      </w:r>
    </w:p>
    <w:p w14:paraId="1EE2F412"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The results of data collection through the 15-item questionnaire provide a quantitative picture of students’ position within the laboratory safety achievement categories. Based on the analysis of total scores obtained by the 30 respondents, the data were converted into effectiveness percentages. The overall mean percentage among respondents was 56.1% (mean total score = 33.67 out of a maximum score of 60), which falls within the “Fair” category range (41%–60%). The complete frequency distribution by categor</w:t>
      </w:r>
      <w:r w:rsidRPr="005E0481">
        <w:rPr>
          <w:rFonts w:ascii="Calibri" w:eastAsia="Calibri" w:hAnsi="Calibri" w:cs="Calibri"/>
          <w:sz w:val="24"/>
          <w:szCs w:val="24"/>
          <w:lang w:val="id-ID"/>
        </w:rPr>
        <w:t>y is presented in Table 3.</w:t>
      </w:r>
    </w:p>
    <w:p w14:paraId="03BA067F" w14:textId="77777777" w:rsidR="00015DBE" w:rsidRPr="005E0481" w:rsidRDefault="00E43BD1">
      <w:pPr>
        <w:spacing w:before="80" w:after="200"/>
        <w:jc w:val="center"/>
        <w:rPr>
          <w:lang w:val="id-ID"/>
        </w:rPr>
      </w:pPr>
      <w:r w:rsidRPr="005E0481">
        <w:rPr>
          <w:rFonts w:ascii="Calibri" w:eastAsia="Calibri" w:hAnsi="Calibri" w:cs="Calibri"/>
          <w:b/>
          <w:bCs/>
          <w:sz w:val="24"/>
          <w:szCs w:val="24"/>
          <w:lang w:val="id-ID"/>
        </w:rPr>
        <w:t>Table 3</w:t>
      </w:r>
      <w:r w:rsidRPr="005E0481">
        <w:rPr>
          <w:rFonts w:ascii="Calibri" w:eastAsia="Calibri" w:hAnsi="Calibri" w:cs="Calibri"/>
          <w:sz w:val="24"/>
          <w:szCs w:val="24"/>
          <w:lang w:val="id-ID"/>
        </w:rPr>
        <w:t xml:space="preserve"> Frequency distribution of students’ laboratory safety category</w:t>
      </w: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0"/>
        <w:gridCol w:w="2350"/>
        <w:gridCol w:w="2350"/>
        <w:gridCol w:w="2356"/>
      </w:tblGrid>
      <w:tr w:rsidR="00015DBE" w:rsidRPr="005E0481" w14:paraId="77E3E21A" w14:textId="77777777">
        <w:tblPrEx>
          <w:tblCellMar>
            <w:top w:w="0" w:type="dxa"/>
            <w:bottom w:w="0" w:type="dxa"/>
          </w:tblCellMar>
        </w:tblPrEx>
        <w:tc>
          <w:tcPr>
            <w:tcW w:w="2350"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1297F335" w14:textId="77777777" w:rsidR="00015DBE" w:rsidRPr="005E0481" w:rsidRDefault="00E43BD1">
            <w:pPr>
              <w:rPr>
                <w:lang w:val="id-ID"/>
              </w:rPr>
            </w:pPr>
            <w:r w:rsidRPr="005E0481">
              <w:rPr>
                <w:rFonts w:ascii="Calibri" w:eastAsia="Calibri" w:hAnsi="Calibri" w:cs="Calibri"/>
                <w:b/>
                <w:bCs/>
                <w:sz w:val="24"/>
                <w:szCs w:val="24"/>
                <w:lang w:val="id-ID"/>
              </w:rPr>
              <w:t>Percentage (%)</w:t>
            </w:r>
          </w:p>
        </w:tc>
        <w:tc>
          <w:tcPr>
            <w:tcW w:w="2350"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6A59ED27" w14:textId="77777777" w:rsidR="00015DBE" w:rsidRPr="005E0481" w:rsidRDefault="00E43BD1">
            <w:pPr>
              <w:jc w:val="center"/>
              <w:rPr>
                <w:lang w:val="id-ID"/>
              </w:rPr>
            </w:pPr>
            <w:r w:rsidRPr="005E0481">
              <w:rPr>
                <w:rFonts w:ascii="Calibri" w:eastAsia="Calibri" w:hAnsi="Calibri" w:cs="Calibri"/>
                <w:b/>
                <w:bCs/>
                <w:sz w:val="24"/>
                <w:szCs w:val="24"/>
                <w:lang w:val="id-ID"/>
              </w:rPr>
              <w:t>Category</w:t>
            </w:r>
          </w:p>
        </w:tc>
        <w:tc>
          <w:tcPr>
            <w:tcW w:w="2350"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16EBD427" w14:textId="77777777" w:rsidR="00015DBE" w:rsidRPr="005E0481" w:rsidRDefault="00E43BD1">
            <w:pPr>
              <w:jc w:val="center"/>
              <w:rPr>
                <w:lang w:val="id-ID"/>
              </w:rPr>
            </w:pPr>
            <w:r w:rsidRPr="005E0481">
              <w:rPr>
                <w:rFonts w:ascii="Calibri" w:eastAsia="Calibri" w:hAnsi="Calibri" w:cs="Calibri"/>
                <w:b/>
                <w:bCs/>
                <w:sz w:val="24"/>
                <w:szCs w:val="24"/>
                <w:lang w:val="id-ID"/>
              </w:rPr>
              <w:t>Frequency (n)</w:t>
            </w:r>
          </w:p>
        </w:tc>
        <w:tc>
          <w:tcPr>
            <w:tcW w:w="2356"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70368D9E" w14:textId="77777777" w:rsidR="00015DBE" w:rsidRPr="005E0481" w:rsidRDefault="00E43BD1">
            <w:pPr>
              <w:jc w:val="center"/>
              <w:rPr>
                <w:lang w:val="id-ID"/>
              </w:rPr>
            </w:pPr>
            <w:r w:rsidRPr="005E0481">
              <w:rPr>
                <w:rFonts w:ascii="Calibri" w:eastAsia="Calibri" w:hAnsi="Calibri" w:cs="Calibri"/>
                <w:b/>
                <w:bCs/>
                <w:sz w:val="24"/>
                <w:szCs w:val="24"/>
                <w:lang w:val="id-ID"/>
              </w:rPr>
              <w:t>Percentage (%)</w:t>
            </w:r>
          </w:p>
        </w:tc>
      </w:tr>
      <w:tr w:rsidR="00015DBE" w:rsidRPr="005E0481" w14:paraId="0F9C4C86" w14:textId="77777777">
        <w:tblPrEx>
          <w:tblCellMar>
            <w:top w:w="0" w:type="dxa"/>
            <w:bottom w:w="0" w:type="dxa"/>
          </w:tblCellMar>
        </w:tblPrEx>
        <w:tc>
          <w:tcPr>
            <w:tcW w:w="2350" w:type="dxa"/>
            <w:tcBorders>
              <w:top w:val="nil"/>
              <w:left w:val="nil"/>
              <w:bottom w:val="nil"/>
              <w:right w:val="nil"/>
            </w:tcBorders>
            <w:tcMar>
              <w:top w:w="80" w:type="dxa"/>
              <w:left w:w="100" w:type="dxa"/>
              <w:bottom w:w="80" w:type="dxa"/>
              <w:right w:w="100" w:type="dxa"/>
            </w:tcMar>
            <w:vAlign w:val="center"/>
          </w:tcPr>
          <w:p w14:paraId="7C65FB73" w14:textId="77777777" w:rsidR="00015DBE" w:rsidRPr="005E0481" w:rsidRDefault="00E43BD1">
            <w:pPr>
              <w:rPr>
                <w:lang w:val="id-ID"/>
              </w:rPr>
            </w:pPr>
            <w:r w:rsidRPr="005E0481">
              <w:rPr>
                <w:rFonts w:ascii="Calibri" w:eastAsia="Calibri" w:hAnsi="Calibri" w:cs="Calibri"/>
                <w:sz w:val="24"/>
                <w:szCs w:val="24"/>
                <w:lang w:val="id-ID"/>
              </w:rPr>
              <w:t>0–20</w:t>
            </w:r>
          </w:p>
        </w:tc>
        <w:tc>
          <w:tcPr>
            <w:tcW w:w="2350" w:type="dxa"/>
            <w:tcBorders>
              <w:top w:val="nil"/>
              <w:left w:val="nil"/>
              <w:bottom w:val="nil"/>
              <w:right w:val="nil"/>
            </w:tcBorders>
            <w:tcMar>
              <w:top w:w="80" w:type="dxa"/>
              <w:left w:w="100" w:type="dxa"/>
              <w:bottom w:w="80" w:type="dxa"/>
              <w:right w:w="100" w:type="dxa"/>
            </w:tcMar>
            <w:vAlign w:val="center"/>
          </w:tcPr>
          <w:p w14:paraId="6F6C5C4B" w14:textId="77777777" w:rsidR="00015DBE" w:rsidRPr="005E0481" w:rsidRDefault="00E43BD1">
            <w:pPr>
              <w:jc w:val="center"/>
              <w:rPr>
                <w:lang w:val="id-ID"/>
              </w:rPr>
            </w:pPr>
            <w:r w:rsidRPr="005E0481">
              <w:rPr>
                <w:rFonts w:ascii="Calibri" w:eastAsia="Calibri" w:hAnsi="Calibri" w:cs="Calibri"/>
                <w:sz w:val="24"/>
                <w:szCs w:val="24"/>
                <w:lang w:val="id-ID"/>
              </w:rPr>
              <w:t>Very Poor</w:t>
            </w:r>
          </w:p>
        </w:tc>
        <w:tc>
          <w:tcPr>
            <w:tcW w:w="2350" w:type="dxa"/>
            <w:tcBorders>
              <w:top w:val="nil"/>
              <w:left w:val="nil"/>
              <w:bottom w:val="nil"/>
              <w:right w:val="nil"/>
            </w:tcBorders>
            <w:tcMar>
              <w:top w:w="80" w:type="dxa"/>
              <w:left w:w="100" w:type="dxa"/>
              <w:bottom w:w="80" w:type="dxa"/>
              <w:right w:w="100" w:type="dxa"/>
            </w:tcMar>
            <w:vAlign w:val="center"/>
          </w:tcPr>
          <w:p w14:paraId="2B1D8A48" w14:textId="77777777" w:rsidR="00015DBE" w:rsidRPr="005E0481" w:rsidRDefault="00E43BD1">
            <w:pPr>
              <w:jc w:val="center"/>
              <w:rPr>
                <w:lang w:val="id-ID"/>
              </w:rPr>
            </w:pPr>
            <w:r w:rsidRPr="005E0481">
              <w:rPr>
                <w:rFonts w:ascii="Calibri" w:eastAsia="Calibri" w:hAnsi="Calibri" w:cs="Calibri"/>
                <w:sz w:val="24"/>
                <w:szCs w:val="24"/>
                <w:lang w:val="id-ID"/>
              </w:rPr>
              <w:t>0</w:t>
            </w:r>
          </w:p>
        </w:tc>
        <w:tc>
          <w:tcPr>
            <w:tcW w:w="2356" w:type="dxa"/>
            <w:tcBorders>
              <w:top w:val="nil"/>
              <w:left w:val="nil"/>
              <w:bottom w:val="nil"/>
              <w:right w:val="nil"/>
            </w:tcBorders>
            <w:tcMar>
              <w:top w:w="80" w:type="dxa"/>
              <w:left w:w="100" w:type="dxa"/>
              <w:bottom w:w="80" w:type="dxa"/>
              <w:right w:w="100" w:type="dxa"/>
            </w:tcMar>
            <w:vAlign w:val="center"/>
          </w:tcPr>
          <w:p w14:paraId="274EA853" w14:textId="77777777" w:rsidR="00015DBE" w:rsidRPr="005E0481" w:rsidRDefault="00E43BD1">
            <w:pPr>
              <w:jc w:val="center"/>
              <w:rPr>
                <w:lang w:val="id-ID"/>
              </w:rPr>
            </w:pPr>
            <w:r w:rsidRPr="005E0481">
              <w:rPr>
                <w:rFonts w:ascii="Calibri" w:eastAsia="Calibri" w:hAnsi="Calibri" w:cs="Calibri"/>
                <w:sz w:val="24"/>
                <w:szCs w:val="24"/>
                <w:lang w:val="id-ID"/>
              </w:rPr>
              <w:t>0%</w:t>
            </w:r>
          </w:p>
        </w:tc>
      </w:tr>
      <w:tr w:rsidR="00015DBE" w:rsidRPr="005E0481" w14:paraId="30C550FC" w14:textId="77777777">
        <w:tblPrEx>
          <w:tblCellMar>
            <w:top w:w="0" w:type="dxa"/>
            <w:bottom w:w="0" w:type="dxa"/>
          </w:tblCellMar>
        </w:tblPrEx>
        <w:tc>
          <w:tcPr>
            <w:tcW w:w="2350" w:type="dxa"/>
            <w:tcBorders>
              <w:top w:val="nil"/>
              <w:left w:val="nil"/>
              <w:bottom w:val="nil"/>
              <w:right w:val="nil"/>
            </w:tcBorders>
            <w:tcMar>
              <w:top w:w="80" w:type="dxa"/>
              <w:left w:w="100" w:type="dxa"/>
              <w:bottom w:w="80" w:type="dxa"/>
              <w:right w:w="100" w:type="dxa"/>
            </w:tcMar>
            <w:vAlign w:val="center"/>
          </w:tcPr>
          <w:p w14:paraId="7A307862" w14:textId="77777777" w:rsidR="00015DBE" w:rsidRPr="005E0481" w:rsidRDefault="00E43BD1">
            <w:pPr>
              <w:rPr>
                <w:lang w:val="id-ID"/>
              </w:rPr>
            </w:pPr>
            <w:r w:rsidRPr="005E0481">
              <w:rPr>
                <w:rFonts w:ascii="Calibri" w:eastAsia="Calibri" w:hAnsi="Calibri" w:cs="Calibri"/>
                <w:sz w:val="24"/>
                <w:szCs w:val="24"/>
                <w:lang w:val="id-ID"/>
              </w:rPr>
              <w:t>21–40</w:t>
            </w:r>
          </w:p>
        </w:tc>
        <w:tc>
          <w:tcPr>
            <w:tcW w:w="2350" w:type="dxa"/>
            <w:tcBorders>
              <w:top w:val="nil"/>
              <w:left w:val="nil"/>
              <w:bottom w:val="nil"/>
              <w:right w:val="nil"/>
            </w:tcBorders>
            <w:tcMar>
              <w:top w:w="80" w:type="dxa"/>
              <w:left w:w="100" w:type="dxa"/>
              <w:bottom w:w="80" w:type="dxa"/>
              <w:right w:w="100" w:type="dxa"/>
            </w:tcMar>
            <w:vAlign w:val="center"/>
          </w:tcPr>
          <w:p w14:paraId="30874149" w14:textId="77777777" w:rsidR="00015DBE" w:rsidRPr="005E0481" w:rsidRDefault="00E43BD1">
            <w:pPr>
              <w:jc w:val="center"/>
              <w:rPr>
                <w:lang w:val="id-ID"/>
              </w:rPr>
            </w:pPr>
            <w:r w:rsidRPr="005E0481">
              <w:rPr>
                <w:rFonts w:ascii="Calibri" w:eastAsia="Calibri" w:hAnsi="Calibri" w:cs="Calibri"/>
                <w:sz w:val="24"/>
                <w:szCs w:val="24"/>
                <w:lang w:val="id-ID"/>
              </w:rPr>
              <w:t>Poor</w:t>
            </w:r>
          </w:p>
        </w:tc>
        <w:tc>
          <w:tcPr>
            <w:tcW w:w="2350" w:type="dxa"/>
            <w:tcBorders>
              <w:top w:val="nil"/>
              <w:left w:val="nil"/>
              <w:bottom w:val="nil"/>
              <w:right w:val="nil"/>
            </w:tcBorders>
            <w:tcMar>
              <w:top w:w="80" w:type="dxa"/>
              <w:left w:w="100" w:type="dxa"/>
              <w:bottom w:w="80" w:type="dxa"/>
              <w:right w:w="100" w:type="dxa"/>
            </w:tcMar>
            <w:vAlign w:val="center"/>
          </w:tcPr>
          <w:p w14:paraId="4FE066C2" w14:textId="77777777" w:rsidR="00015DBE" w:rsidRPr="005E0481" w:rsidRDefault="00E43BD1">
            <w:pPr>
              <w:jc w:val="center"/>
              <w:rPr>
                <w:lang w:val="id-ID"/>
              </w:rPr>
            </w:pPr>
            <w:r w:rsidRPr="005E0481">
              <w:rPr>
                <w:rFonts w:ascii="Calibri" w:eastAsia="Calibri" w:hAnsi="Calibri" w:cs="Calibri"/>
                <w:sz w:val="24"/>
                <w:szCs w:val="24"/>
                <w:lang w:val="id-ID"/>
              </w:rPr>
              <w:t>1</w:t>
            </w:r>
          </w:p>
        </w:tc>
        <w:tc>
          <w:tcPr>
            <w:tcW w:w="2356" w:type="dxa"/>
            <w:tcBorders>
              <w:top w:val="nil"/>
              <w:left w:val="nil"/>
              <w:bottom w:val="nil"/>
              <w:right w:val="nil"/>
            </w:tcBorders>
            <w:tcMar>
              <w:top w:w="80" w:type="dxa"/>
              <w:left w:w="100" w:type="dxa"/>
              <w:bottom w:w="80" w:type="dxa"/>
              <w:right w:w="100" w:type="dxa"/>
            </w:tcMar>
            <w:vAlign w:val="center"/>
          </w:tcPr>
          <w:p w14:paraId="6ED30720" w14:textId="77777777" w:rsidR="00015DBE" w:rsidRPr="005E0481" w:rsidRDefault="00E43BD1">
            <w:pPr>
              <w:jc w:val="center"/>
              <w:rPr>
                <w:lang w:val="id-ID"/>
              </w:rPr>
            </w:pPr>
            <w:r w:rsidRPr="005E0481">
              <w:rPr>
                <w:rFonts w:ascii="Calibri" w:eastAsia="Calibri" w:hAnsi="Calibri" w:cs="Calibri"/>
                <w:sz w:val="24"/>
                <w:szCs w:val="24"/>
                <w:lang w:val="id-ID"/>
              </w:rPr>
              <w:t>3%</w:t>
            </w:r>
          </w:p>
        </w:tc>
      </w:tr>
      <w:tr w:rsidR="00015DBE" w:rsidRPr="005E0481" w14:paraId="3F617BF0" w14:textId="77777777">
        <w:tblPrEx>
          <w:tblCellMar>
            <w:top w:w="0" w:type="dxa"/>
            <w:bottom w:w="0" w:type="dxa"/>
          </w:tblCellMar>
        </w:tblPrEx>
        <w:tc>
          <w:tcPr>
            <w:tcW w:w="2350" w:type="dxa"/>
            <w:tcBorders>
              <w:top w:val="nil"/>
              <w:left w:val="nil"/>
              <w:bottom w:val="nil"/>
              <w:right w:val="nil"/>
            </w:tcBorders>
            <w:tcMar>
              <w:top w:w="80" w:type="dxa"/>
              <w:left w:w="100" w:type="dxa"/>
              <w:bottom w:w="80" w:type="dxa"/>
              <w:right w:w="100" w:type="dxa"/>
            </w:tcMar>
            <w:vAlign w:val="center"/>
          </w:tcPr>
          <w:p w14:paraId="1CC09EDA" w14:textId="77777777" w:rsidR="00015DBE" w:rsidRPr="005E0481" w:rsidRDefault="00E43BD1">
            <w:pPr>
              <w:rPr>
                <w:lang w:val="id-ID"/>
              </w:rPr>
            </w:pPr>
            <w:r w:rsidRPr="005E0481">
              <w:rPr>
                <w:rFonts w:ascii="Calibri" w:eastAsia="Calibri" w:hAnsi="Calibri" w:cs="Calibri"/>
                <w:sz w:val="24"/>
                <w:szCs w:val="24"/>
                <w:lang w:val="id-ID"/>
              </w:rPr>
              <w:t>41–60</w:t>
            </w:r>
          </w:p>
        </w:tc>
        <w:tc>
          <w:tcPr>
            <w:tcW w:w="2350" w:type="dxa"/>
            <w:tcBorders>
              <w:top w:val="nil"/>
              <w:left w:val="nil"/>
              <w:bottom w:val="nil"/>
              <w:right w:val="nil"/>
            </w:tcBorders>
            <w:tcMar>
              <w:top w:w="80" w:type="dxa"/>
              <w:left w:w="100" w:type="dxa"/>
              <w:bottom w:w="80" w:type="dxa"/>
              <w:right w:w="100" w:type="dxa"/>
            </w:tcMar>
            <w:vAlign w:val="center"/>
          </w:tcPr>
          <w:p w14:paraId="249AD9BA" w14:textId="77777777" w:rsidR="00015DBE" w:rsidRPr="005E0481" w:rsidRDefault="00E43BD1">
            <w:pPr>
              <w:jc w:val="center"/>
              <w:rPr>
                <w:lang w:val="id-ID"/>
              </w:rPr>
            </w:pPr>
            <w:r w:rsidRPr="005E0481">
              <w:rPr>
                <w:rFonts w:ascii="Calibri" w:eastAsia="Calibri" w:hAnsi="Calibri" w:cs="Calibri"/>
                <w:sz w:val="24"/>
                <w:szCs w:val="24"/>
                <w:lang w:val="id-ID"/>
              </w:rPr>
              <w:t>Fair</w:t>
            </w:r>
          </w:p>
        </w:tc>
        <w:tc>
          <w:tcPr>
            <w:tcW w:w="2350" w:type="dxa"/>
            <w:tcBorders>
              <w:top w:val="nil"/>
              <w:left w:val="nil"/>
              <w:bottom w:val="nil"/>
              <w:right w:val="nil"/>
            </w:tcBorders>
            <w:tcMar>
              <w:top w:w="80" w:type="dxa"/>
              <w:left w:w="100" w:type="dxa"/>
              <w:bottom w:w="80" w:type="dxa"/>
              <w:right w:w="100" w:type="dxa"/>
            </w:tcMar>
            <w:vAlign w:val="center"/>
          </w:tcPr>
          <w:p w14:paraId="639F87D0" w14:textId="77777777" w:rsidR="00015DBE" w:rsidRPr="005E0481" w:rsidRDefault="00E43BD1">
            <w:pPr>
              <w:jc w:val="center"/>
              <w:rPr>
                <w:lang w:val="id-ID"/>
              </w:rPr>
            </w:pPr>
            <w:r w:rsidRPr="005E0481">
              <w:rPr>
                <w:rFonts w:ascii="Calibri" w:eastAsia="Calibri" w:hAnsi="Calibri" w:cs="Calibri"/>
                <w:sz w:val="24"/>
                <w:szCs w:val="24"/>
                <w:lang w:val="id-ID"/>
              </w:rPr>
              <w:t>22</w:t>
            </w:r>
          </w:p>
        </w:tc>
        <w:tc>
          <w:tcPr>
            <w:tcW w:w="2356" w:type="dxa"/>
            <w:tcBorders>
              <w:top w:val="nil"/>
              <w:left w:val="nil"/>
              <w:bottom w:val="nil"/>
              <w:right w:val="nil"/>
            </w:tcBorders>
            <w:tcMar>
              <w:top w:w="80" w:type="dxa"/>
              <w:left w:w="100" w:type="dxa"/>
              <w:bottom w:w="80" w:type="dxa"/>
              <w:right w:w="100" w:type="dxa"/>
            </w:tcMar>
            <w:vAlign w:val="center"/>
          </w:tcPr>
          <w:p w14:paraId="7A2A2F32" w14:textId="77777777" w:rsidR="00015DBE" w:rsidRPr="005E0481" w:rsidRDefault="00E43BD1">
            <w:pPr>
              <w:jc w:val="center"/>
              <w:rPr>
                <w:lang w:val="id-ID"/>
              </w:rPr>
            </w:pPr>
            <w:r w:rsidRPr="005E0481">
              <w:rPr>
                <w:rFonts w:ascii="Calibri" w:eastAsia="Calibri" w:hAnsi="Calibri" w:cs="Calibri"/>
                <w:sz w:val="24"/>
                <w:szCs w:val="24"/>
                <w:lang w:val="id-ID"/>
              </w:rPr>
              <w:t>73%</w:t>
            </w:r>
          </w:p>
        </w:tc>
      </w:tr>
      <w:tr w:rsidR="00015DBE" w:rsidRPr="005E0481" w14:paraId="01B6A929" w14:textId="77777777">
        <w:tblPrEx>
          <w:tblCellMar>
            <w:top w:w="0" w:type="dxa"/>
            <w:bottom w:w="0" w:type="dxa"/>
          </w:tblCellMar>
        </w:tblPrEx>
        <w:tc>
          <w:tcPr>
            <w:tcW w:w="2350" w:type="dxa"/>
            <w:tcBorders>
              <w:top w:val="nil"/>
              <w:left w:val="nil"/>
              <w:bottom w:val="nil"/>
              <w:right w:val="nil"/>
            </w:tcBorders>
            <w:tcMar>
              <w:top w:w="80" w:type="dxa"/>
              <w:left w:w="100" w:type="dxa"/>
              <w:bottom w:w="80" w:type="dxa"/>
              <w:right w:w="100" w:type="dxa"/>
            </w:tcMar>
            <w:vAlign w:val="center"/>
          </w:tcPr>
          <w:p w14:paraId="19DC79E3" w14:textId="77777777" w:rsidR="00015DBE" w:rsidRPr="005E0481" w:rsidRDefault="00E43BD1">
            <w:pPr>
              <w:rPr>
                <w:lang w:val="id-ID"/>
              </w:rPr>
            </w:pPr>
            <w:r w:rsidRPr="005E0481">
              <w:rPr>
                <w:rFonts w:ascii="Calibri" w:eastAsia="Calibri" w:hAnsi="Calibri" w:cs="Calibri"/>
                <w:sz w:val="24"/>
                <w:szCs w:val="24"/>
                <w:lang w:val="id-ID"/>
              </w:rPr>
              <w:t>61–80</w:t>
            </w:r>
          </w:p>
        </w:tc>
        <w:tc>
          <w:tcPr>
            <w:tcW w:w="2350" w:type="dxa"/>
            <w:tcBorders>
              <w:top w:val="nil"/>
              <w:left w:val="nil"/>
              <w:bottom w:val="nil"/>
              <w:right w:val="nil"/>
            </w:tcBorders>
            <w:tcMar>
              <w:top w:w="80" w:type="dxa"/>
              <w:left w:w="100" w:type="dxa"/>
              <w:bottom w:w="80" w:type="dxa"/>
              <w:right w:w="100" w:type="dxa"/>
            </w:tcMar>
            <w:vAlign w:val="center"/>
          </w:tcPr>
          <w:p w14:paraId="3A3CA8D2" w14:textId="77777777" w:rsidR="00015DBE" w:rsidRPr="005E0481" w:rsidRDefault="00E43BD1">
            <w:pPr>
              <w:jc w:val="center"/>
              <w:rPr>
                <w:lang w:val="id-ID"/>
              </w:rPr>
            </w:pPr>
            <w:r w:rsidRPr="005E0481">
              <w:rPr>
                <w:rFonts w:ascii="Calibri" w:eastAsia="Calibri" w:hAnsi="Calibri" w:cs="Calibri"/>
                <w:sz w:val="24"/>
                <w:szCs w:val="24"/>
                <w:lang w:val="id-ID"/>
              </w:rPr>
              <w:t>Good</w:t>
            </w:r>
          </w:p>
        </w:tc>
        <w:tc>
          <w:tcPr>
            <w:tcW w:w="2350" w:type="dxa"/>
            <w:tcBorders>
              <w:top w:val="nil"/>
              <w:left w:val="nil"/>
              <w:bottom w:val="nil"/>
              <w:right w:val="nil"/>
            </w:tcBorders>
            <w:tcMar>
              <w:top w:w="80" w:type="dxa"/>
              <w:left w:w="100" w:type="dxa"/>
              <w:bottom w:w="80" w:type="dxa"/>
              <w:right w:w="100" w:type="dxa"/>
            </w:tcMar>
            <w:vAlign w:val="center"/>
          </w:tcPr>
          <w:p w14:paraId="44255256" w14:textId="77777777" w:rsidR="00015DBE" w:rsidRPr="005E0481" w:rsidRDefault="00E43BD1">
            <w:pPr>
              <w:jc w:val="center"/>
              <w:rPr>
                <w:lang w:val="id-ID"/>
              </w:rPr>
            </w:pPr>
            <w:r w:rsidRPr="005E0481">
              <w:rPr>
                <w:rFonts w:ascii="Calibri" w:eastAsia="Calibri" w:hAnsi="Calibri" w:cs="Calibri"/>
                <w:sz w:val="24"/>
                <w:szCs w:val="24"/>
                <w:lang w:val="id-ID"/>
              </w:rPr>
              <w:t>2</w:t>
            </w:r>
          </w:p>
        </w:tc>
        <w:tc>
          <w:tcPr>
            <w:tcW w:w="2356" w:type="dxa"/>
            <w:tcBorders>
              <w:top w:val="nil"/>
              <w:left w:val="nil"/>
              <w:bottom w:val="nil"/>
              <w:right w:val="nil"/>
            </w:tcBorders>
            <w:tcMar>
              <w:top w:w="80" w:type="dxa"/>
              <w:left w:w="100" w:type="dxa"/>
              <w:bottom w:w="80" w:type="dxa"/>
              <w:right w:w="100" w:type="dxa"/>
            </w:tcMar>
            <w:vAlign w:val="center"/>
          </w:tcPr>
          <w:p w14:paraId="66D4831C" w14:textId="77777777" w:rsidR="00015DBE" w:rsidRPr="005E0481" w:rsidRDefault="00E43BD1">
            <w:pPr>
              <w:jc w:val="center"/>
              <w:rPr>
                <w:lang w:val="id-ID"/>
              </w:rPr>
            </w:pPr>
            <w:r w:rsidRPr="005E0481">
              <w:rPr>
                <w:rFonts w:ascii="Calibri" w:eastAsia="Calibri" w:hAnsi="Calibri" w:cs="Calibri"/>
                <w:sz w:val="24"/>
                <w:szCs w:val="24"/>
                <w:lang w:val="id-ID"/>
              </w:rPr>
              <w:t>7%</w:t>
            </w:r>
          </w:p>
        </w:tc>
      </w:tr>
      <w:tr w:rsidR="00015DBE" w:rsidRPr="005E0481" w14:paraId="11637D8C" w14:textId="77777777">
        <w:tblPrEx>
          <w:tblCellMar>
            <w:top w:w="0" w:type="dxa"/>
            <w:bottom w:w="0" w:type="dxa"/>
          </w:tblCellMar>
        </w:tblPrEx>
        <w:tc>
          <w:tcPr>
            <w:tcW w:w="2350" w:type="dxa"/>
            <w:tcBorders>
              <w:top w:val="nil"/>
              <w:left w:val="nil"/>
              <w:bottom w:val="nil"/>
              <w:right w:val="nil"/>
            </w:tcBorders>
            <w:tcMar>
              <w:top w:w="80" w:type="dxa"/>
              <w:left w:w="100" w:type="dxa"/>
              <w:bottom w:w="80" w:type="dxa"/>
              <w:right w:w="100" w:type="dxa"/>
            </w:tcMar>
            <w:vAlign w:val="center"/>
          </w:tcPr>
          <w:p w14:paraId="57843128" w14:textId="77777777" w:rsidR="00015DBE" w:rsidRPr="005E0481" w:rsidRDefault="00E43BD1">
            <w:pPr>
              <w:rPr>
                <w:lang w:val="id-ID"/>
              </w:rPr>
            </w:pPr>
            <w:r w:rsidRPr="005E0481">
              <w:rPr>
                <w:rFonts w:ascii="Calibri" w:eastAsia="Calibri" w:hAnsi="Calibri" w:cs="Calibri"/>
                <w:sz w:val="24"/>
                <w:szCs w:val="24"/>
                <w:lang w:val="id-ID"/>
              </w:rPr>
              <w:t>81–100</w:t>
            </w:r>
          </w:p>
        </w:tc>
        <w:tc>
          <w:tcPr>
            <w:tcW w:w="2350" w:type="dxa"/>
            <w:tcBorders>
              <w:top w:val="nil"/>
              <w:left w:val="nil"/>
              <w:bottom w:val="nil"/>
              <w:right w:val="nil"/>
            </w:tcBorders>
            <w:tcMar>
              <w:top w:w="80" w:type="dxa"/>
              <w:left w:w="100" w:type="dxa"/>
              <w:bottom w:w="80" w:type="dxa"/>
              <w:right w:w="100" w:type="dxa"/>
            </w:tcMar>
            <w:vAlign w:val="center"/>
          </w:tcPr>
          <w:p w14:paraId="055EAC45" w14:textId="77777777" w:rsidR="00015DBE" w:rsidRPr="005E0481" w:rsidRDefault="00E43BD1">
            <w:pPr>
              <w:jc w:val="center"/>
              <w:rPr>
                <w:lang w:val="id-ID"/>
              </w:rPr>
            </w:pPr>
            <w:r w:rsidRPr="005E0481">
              <w:rPr>
                <w:rFonts w:ascii="Calibri" w:eastAsia="Calibri" w:hAnsi="Calibri" w:cs="Calibri"/>
                <w:sz w:val="24"/>
                <w:szCs w:val="24"/>
                <w:lang w:val="id-ID"/>
              </w:rPr>
              <w:t>Very Good</w:t>
            </w:r>
          </w:p>
        </w:tc>
        <w:tc>
          <w:tcPr>
            <w:tcW w:w="2350" w:type="dxa"/>
            <w:tcBorders>
              <w:top w:val="nil"/>
              <w:left w:val="nil"/>
              <w:bottom w:val="nil"/>
              <w:right w:val="nil"/>
            </w:tcBorders>
            <w:tcMar>
              <w:top w:w="80" w:type="dxa"/>
              <w:left w:w="100" w:type="dxa"/>
              <w:bottom w:w="80" w:type="dxa"/>
              <w:right w:w="100" w:type="dxa"/>
            </w:tcMar>
            <w:vAlign w:val="center"/>
          </w:tcPr>
          <w:p w14:paraId="1C038A4B" w14:textId="77777777" w:rsidR="00015DBE" w:rsidRPr="005E0481" w:rsidRDefault="00E43BD1">
            <w:pPr>
              <w:jc w:val="center"/>
              <w:rPr>
                <w:lang w:val="id-ID"/>
              </w:rPr>
            </w:pPr>
            <w:r w:rsidRPr="005E0481">
              <w:rPr>
                <w:rFonts w:ascii="Calibri" w:eastAsia="Calibri" w:hAnsi="Calibri" w:cs="Calibri"/>
                <w:sz w:val="24"/>
                <w:szCs w:val="24"/>
                <w:lang w:val="id-ID"/>
              </w:rPr>
              <w:t>5</w:t>
            </w:r>
          </w:p>
        </w:tc>
        <w:tc>
          <w:tcPr>
            <w:tcW w:w="2356" w:type="dxa"/>
            <w:tcBorders>
              <w:top w:val="nil"/>
              <w:left w:val="nil"/>
              <w:bottom w:val="nil"/>
              <w:right w:val="nil"/>
            </w:tcBorders>
            <w:tcMar>
              <w:top w:w="80" w:type="dxa"/>
              <w:left w:w="100" w:type="dxa"/>
              <w:bottom w:w="80" w:type="dxa"/>
              <w:right w:w="100" w:type="dxa"/>
            </w:tcMar>
            <w:vAlign w:val="center"/>
          </w:tcPr>
          <w:p w14:paraId="4EDD0DB3" w14:textId="77777777" w:rsidR="00015DBE" w:rsidRPr="005E0481" w:rsidRDefault="00E43BD1">
            <w:pPr>
              <w:jc w:val="center"/>
              <w:rPr>
                <w:lang w:val="id-ID"/>
              </w:rPr>
            </w:pPr>
            <w:r w:rsidRPr="005E0481">
              <w:rPr>
                <w:rFonts w:ascii="Calibri" w:eastAsia="Calibri" w:hAnsi="Calibri" w:cs="Calibri"/>
                <w:sz w:val="24"/>
                <w:szCs w:val="24"/>
                <w:lang w:val="id-ID"/>
              </w:rPr>
              <w:t>17%</w:t>
            </w:r>
          </w:p>
        </w:tc>
      </w:tr>
      <w:tr w:rsidR="00015DBE" w:rsidRPr="005E0481" w14:paraId="6E4EE1F6" w14:textId="77777777">
        <w:tblPrEx>
          <w:tblCellMar>
            <w:top w:w="0" w:type="dxa"/>
            <w:bottom w:w="0" w:type="dxa"/>
          </w:tblCellMar>
        </w:tblPrEx>
        <w:tc>
          <w:tcPr>
            <w:tcW w:w="2350" w:type="dxa"/>
            <w:tcBorders>
              <w:top w:val="nil"/>
              <w:left w:val="nil"/>
              <w:bottom w:val="single" w:sz="6" w:space="0" w:color="000000"/>
              <w:right w:val="nil"/>
            </w:tcBorders>
            <w:tcMar>
              <w:top w:w="80" w:type="dxa"/>
              <w:left w:w="100" w:type="dxa"/>
              <w:bottom w:w="80" w:type="dxa"/>
              <w:right w:w="100" w:type="dxa"/>
            </w:tcMar>
            <w:vAlign w:val="center"/>
          </w:tcPr>
          <w:p w14:paraId="30D41E74" w14:textId="77777777" w:rsidR="00015DBE" w:rsidRPr="005E0481" w:rsidRDefault="00E43BD1">
            <w:pPr>
              <w:rPr>
                <w:lang w:val="id-ID"/>
              </w:rPr>
            </w:pPr>
            <w:r w:rsidRPr="005E0481">
              <w:rPr>
                <w:rFonts w:ascii="Calibri" w:eastAsia="Calibri" w:hAnsi="Calibri" w:cs="Calibri"/>
                <w:sz w:val="24"/>
                <w:szCs w:val="24"/>
                <w:lang w:val="id-ID"/>
              </w:rPr>
              <w:t>Total</w:t>
            </w:r>
          </w:p>
        </w:tc>
        <w:tc>
          <w:tcPr>
            <w:tcW w:w="2350" w:type="dxa"/>
            <w:tcBorders>
              <w:top w:val="nil"/>
              <w:left w:val="nil"/>
              <w:bottom w:val="single" w:sz="6" w:space="0" w:color="000000"/>
              <w:right w:val="nil"/>
            </w:tcBorders>
            <w:tcMar>
              <w:top w:w="80" w:type="dxa"/>
              <w:left w:w="100" w:type="dxa"/>
              <w:bottom w:w="80" w:type="dxa"/>
              <w:right w:w="100" w:type="dxa"/>
            </w:tcMar>
            <w:vAlign w:val="center"/>
          </w:tcPr>
          <w:p w14:paraId="54A123A1" w14:textId="77777777" w:rsidR="00015DBE" w:rsidRPr="005E0481" w:rsidRDefault="00015DBE">
            <w:pPr>
              <w:jc w:val="center"/>
              <w:rPr>
                <w:lang w:val="id-ID"/>
              </w:rPr>
            </w:pPr>
          </w:p>
        </w:tc>
        <w:tc>
          <w:tcPr>
            <w:tcW w:w="2350" w:type="dxa"/>
            <w:tcBorders>
              <w:top w:val="nil"/>
              <w:left w:val="nil"/>
              <w:bottom w:val="single" w:sz="6" w:space="0" w:color="000000"/>
              <w:right w:val="nil"/>
            </w:tcBorders>
            <w:tcMar>
              <w:top w:w="80" w:type="dxa"/>
              <w:left w:w="100" w:type="dxa"/>
              <w:bottom w:w="80" w:type="dxa"/>
              <w:right w:w="100" w:type="dxa"/>
            </w:tcMar>
            <w:vAlign w:val="center"/>
          </w:tcPr>
          <w:p w14:paraId="44E0A903" w14:textId="77777777" w:rsidR="00015DBE" w:rsidRPr="005E0481" w:rsidRDefault="00E43BD1">
            <w:pPr>
              <w:jc w:val="center"/>
              <w:rPr>
                <w:lang w:val="id-ID"/>
              </w:rPr>
            </w:pPr>
            <w:r w:rsidRPr="005E0481">
              <w:rPr>
                <w:rFonts w:ascii="Calibri" w:eastAsia="Calibri" w:hAnsi="Calibri" w:cs="Calibri"/>
                <w:sz w:val="24"/>
                <w:szCs w:val="24"/>
                <w:lang w:val="id-ID"/>
              </w:rPr>
              <w:t>30</w:t>
            </w:r>
          </w:p>
        </w:tc>
        <w:tc>
          <w:tcPr>
            <w:tcW w:w="2356" w:type="dxa"/>
            <w:tcBorders>
              <w:top w:val="nil"/>
              <w:left w:val="nil"/>
              <w:bottom w:val="single" w:sz="6" w:space="0" w:color="000000"/>
              <w:right w:val="nil"/>
            </w:tcBorders>
            <w:tcMar>
              <w:top w:w="80" w:type="dxa"/>
              <w:left w:w="100" w:type="dxa"/>
              <w:bottom w:w="80" w:type="dxa"/>
              <w:right w:w="100" w:type="dxa"/>
            </w:tcMar>
            <w:vAlign w:val="center"/>
          </w:tcPr>
          <w:p w14:paraId="79C0A38A" w14:textId="77777777" w:rsidR="00015DBE" w:rsidRPr="005E0481" w:rsidRDefault="00E43BD1">
            <w:pPr>
              <w:jc w:val="center"/>
              <w:rPr>
                <w:lang w:val="id-ID"/>
              </w:rPr>
            </w:pPr>
            <w:r w:rsidRPr="005E0481">
              <w:rPr>
                <w:rFonts w:ascii="Calibri" w:eastAsia="Calibri" w:hAnsi="Calibri" w:cs="Calibri"/>
                <w:sz w:val="24"/>
                <w:szCs w:val="24"/>
                <w:lang w:val="id-ID"/>
              </w:rPr>
              <w:t>100%</w:t>
            </w:r>
          </w:p>
        </w:tc>
      </w:tr>
    </w:tbl>
    <w:p w14:paraId="633F8BE2" w14:textId="77777777" w:rsidR="00015DBE" w:rsidRPr="005E0481" w:rsidRDefault="00015DBE">
      <w:pPr>
        <w:spacing w:before="100"/>
        <w:rPr>
          <w:lang w:val="id-ID"/>
        </w:rPr>
      </w:pPr>
    </w:p>
    <w:p w14:paraId="17E63E23"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The data in Table 3 show that the majority of students, namely 22 students (73%), fall into the “Fair” category. Only 5 students (17%) reached the “Very Good” category, 2 students (7%) the “Good” category, and 1 student (3%) the “Poor” category. No students were classified as “Very Poor” (0%). These findings indicate that most eighth-grade students already possess basic knowledge of laboratory safety, but have not yet reached the level of consistency or depth of understanding expected for the “Good” or “Ver</w:t>
      </w:r>
      <w:r w:rsidRPr="005E0481">
        <w:rPr>
          <w:rFonts w:ascii="Calibri" w:eastAsia="Calibri" w:hAnsi="Calibri" w:cs="Calibri"/>
          <w:sz w:val="24"/>
          <w:szCs w:val="24"/>
          <w:lang w:val="id-ID"/>
        </w:rPr>
        <w:t>y Good” categories.</w:t>
      </w:r>
    </w:p>
    <w:p w14:paraId="76EA80CE"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To obtain a more detailed picture, an analysis was also conducted for each statement item. The mean score and percentage for each item are presented in Table 4 below.</w:t>
      </w:r>
    </w:p>
    <w:p w14:paraId="1D5C529A" w14:textId="77777777" w:rsidR="00015DBE" w:rsidRPr="005E0481" w:rsidRDefault="00E43BD1">
      <w:pPr>
        <w:spacing w:before="80" w:after="200"/>
        <w:jc w:val="center"/>
        <w:rPr>
          <w:lang w:val="id-ID"/>
        </w:rPr>
      </w:pPr>
      <w:r w:rsidRPr="005E0481">
        <w:rPr>
          <w:rFonts w:ascii="Calibri" w:eastAsia="Calibri" w:hAnsi="Calibri" w:cs="Calibri"/>
          <w:b/>
          <w:bCs/>
          <w:sz w:val="24"/>
          <w:szCs w:val="24"/>
          <w:lang w:val="id-ID"/>
        </w:rPr>
        <w:t>Table 4</w:t>
      </w:r>
      <w:r w:rsidRPr="005E0481">
        <w:rPr>
          <w:rFonts w:ascii="Calibri" w:eastAsia="Calibri" w:hAnsi="Calibri" w:cs="Calibri"/>
          <w:sz w:val="24"/>
          <w:szCs w:val="24"/>
          <w:lang w:val="id-ID"/>
        </w:rPr>
        <w:t xml:space="preserve"> Mean score and percentage for each laboratory safety statement item</w:t>
      </w: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
        <w:gridCol w:w="4080"/>
        <w:gridCol w:w="1200"/>
        <w:gridCol w:w="1700"/>
        <w:gridCol w:w="1806"/>
      </w:tblGrid>
      <w:tr w:rsidR="00015DBE" w:rsidRPr="005E0481" w14:paraId="6834197D" w14:textId="77777777">
        <w:tblPrEx>
          <w:tblCellMar>
            <w:top w:w="0" w:type="dxa"/>
            <w:bottom w:w="0" w:type="dxa"/>
          </w:tblCellMar>
        </w:tblPrEx>
        <w:tc>
          <w:tcPr>
            <w:tcW w:w="620"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79D9A9D8" w14:textId="77777777" w:rsidR="00015DBE" w:rsidRPr="005E0481" w:rsidRDefault="00E43BD1">
            <w:pPr>
              <w:jc w:val="center"/>
              <w:rPr>
                <w:lang w:val="id-ID"/>
              </w:rPr>
            </w:pPr>
            <w:r w:rsidRPr="005E0481">
              <w:rPr>
                <w:rFonts w:ascii="Calibri" w:eastAsia="Calibri" w:hAnsi="Calibri" w:cs="Calibri"/>
                <w:b/>
                <w:bCs/>
                <w:sz w:val="24"/>
                <w:szCs w:val="24"/>
                <w:lang w:val="id-ID"/>
              </w:rPr>
              <w:t>No.</w:t>
            </w:r>
          </w:p>
        </w:tc>
        <w:tc>
          <w:tcPr>
            <w:tcW w:w="4080"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2E55C3BF" w14:textId="77777777" w:rsidR="00015DBE" w:rsidRPr="005E0481" w:rsidRDefault="00E43BD1">
            <w:pPr>
              <w:rPr>
                <w:lang w:val="id-ID"/>
              </w:rPr>
            </w:pPr>
            <w:r w:rsidRPr="005E0481">
              <w:rPr>
                <w:rFonts w:ascii="Calibri" w:eastAsia="Calibri" w:hAnsi="Calibri" w:cs="Calibri"/>
                <w:b/>
                <w:bCs/>
                <w:sz w:val="24"/>
                <w:szCs w:val="24"/>
                <w:lang w:val="id-ID"/>
              </w:rPr>
              <w:t>Statement Item</w:t>
            </w:r>
          </w:p>
        </w:tc>
        <w:tc>
          <w:tcPr>
            <w:tcW w:w="1200"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2B434F07" w14:textId="77777777" w:rsidR="00015DBE" w:rsidRPr="005E0481" w:rsidRDefault="00E43BD1">
            <w:pPr>
              <w:jc w:val="center"/>
              <w:rPr>
                <w:lang w:val="id-ID"/>
              </w:rPr>
            </w:pPr>
            <w:r w:rsidRPr="005E0481">
              <w:rPr>
                <w:rFonts w:ascii="Calibri" w:eastAsia="Calibri" w:hAnsi="Calibri" w:cs="Calibri"/>
                <w:b/>
                <w:bCs/>
                <w:sz w:val="24"/>
                <w:szCs w:val="24"/>
                <w:lang w:val="id-ID"/>
              </w:rPr>
              <w:t>Mean Score</w:t>
            </w:r>
          </w:p>
        </w:tc>
        <w:tc>
          <w:tcPr>
            <w:tcW w:w="1700"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503B94D0" w14:textId="77777777" w:rsidR="00015DBE" w:rsidRPr="005E0481" w:rsidRDefault="00E43BD1">
            <w:pPr>
              <w:jc w:val="center"/>
              <w:rPr>
                <w:lang w:val="id-ID"/>
              </w:rPr>
            </w:pPr>
            <w:r w:rsidRPr="005E0481">
              <w:rPr>
                <w:rFonts w:ascii="Calibri" w:eastAsia="Calibri" w:hAnsi="Calibri" w:cs="Calibri"/>
                <w:b/>
                <w:bCs/>
                <w:sz w:val="24"/>
                <w:szCs w:val="24"/>
                <w:lang w:val="id-ID"/>
              </w:rPr>
              <w:t>Percentage</w:t>
            </w:r>
          </w:p>
        </w:tc>
        <w:tc>
          <w:tcPr>
            <w:tcW w:w="1806" w:type="dxa"/>
            <w:tcBorders>
              <w:top w:val="single" w:sz="6" w:space="0" w:color="000000"/>
              <w:left w:val="nil"/>
              <w:bottom w:val="single" w:sz="4" w:space="0" w:color="000000"/>
              <w:right w:val="nil"/>
            </w:tcBorders>
            <w:tcMar>
              <w:top w:w="80" w:type="dxa"/>
              <w:left w:w="100" w:type="dxa"/>
              <w:bottom w:w="80" w:type="dxa"/>
              <w:right w:w="100" w:type="dxa"/>
            </w:tcMar>
            <w:vAlign w:val="center"/>
          </w:tcPr>
          <w:p w14:paraId="18C8BE2A" w14:textId="77777777" w:rsidR="00015DBE" w:rsidRPr="005E0481" w:rsidRDefault="00E43BD1">
            <w:pPr>
              <w:jc w:val="center"/>
              <w:rPr>
                <w:lang w:val="id-ID"/>
              </w:rPr>
            </w:pPr>
            <w:r w:rsidRPr="005E0481">
              <w:rPr>
                <w:rFonts w:ascii="Calibri" w:eastAsia="Calibri" w:hAnsi="Calibri" w:cs="Calibri"/>
                <w:b/>
                <w:bCs/>
                <w:sz w:val="24"/>
                <w:szCs w:val="24"/>
                <w:lang w:val="id-ID"/>
              </w:rPr>
              <w:t>Category</w:t>
            </w:r>
          </w:p>
        </w:tc>
      </w:tr>
      <w:tr w:rsidR="00015DBE" w:rsidRPr="005E0481" w14:paraId="0FE02965"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31C2AE26" w14:textId="77777777" w:rsidR="00015DBE" w:rsidRPr="005E0481" w:rsidRDefault="00E43BD1">
            <w:pPr>
              <w:jc w:val="center"/>
              <w:rPr>
                <w:lang w:val="id-ID"/>
              </w:rPr>
            </w:pPr>
            <w:r w:rsidRPr="005E0481">
              <w:rPr>
                <w:rFonts w:ascii="Calibri" w:eastAsia="Calibri" w:hAnsi="Calibri" w:cs="Calibri"/>
                <w:sz w:val="24"/>
                <w:szCs w:val="24"/>
                <w:lang w:val="id-ID"/>
              </w:rPr>
              <w:t>1</w:t>
            </w:r>
          </w:p>
        </w:tc>
        <w:tc>
          <w:tcPr>
            <w:tcW w:w="4080" w:type="dxa"/>
            <w:tcBorders>
              <w:top w:val="nil"/>
              <w:left w:val="nil"/>
              <w:bottom w:val="nil"/>
              <w:right w:val="nil"/>
            </w:tcBorders>
            <w:tcMar>
              <w:top w:w="80" w:type="dxa"/>
              <w:left w:w="100" w:type="dxa"/>
              <w:bottom w:w="80" w:type="dxa"/>
              <w:right w:w="100" w:type="dxa"/>
            </w:tcMar>
            <w:vAlign w:val="center"/>
          </w:tcPr>
          <w:p w14:paraId="149FA433" w14:textId="77777777" w:rsidR="00015DBE" w:rsidRPr="005E0481" w:rsidRDefault="00E43BD1">
            <w:pPr>
              <w:rPr>
                <w:lang w:val="id-ID"/>
              </w:rPr>
            </w:pPr>
            <w:r w:rsidRPr="005E0481">
              <w:rPr>
                <w:rFonts w:ascii="Calibri" w:eastAsia="Calibri" w:hAnsi="Calibri" w:cs="Calibri"/>
                <w:sz w:val="24"/>
                <w:szCs w:val="24"/>
                <w:lang w:val="id-ID"/>
              </w:rPr>
              <w:t>Keeping the laboratory clean and tidy</w:t>
            </w:r>
          </w:p>
        </w:tc>
        <w:tc>
          <w:tcPr>
            <w:tcW w:w="1200" w:type="dxa"/>
            <w:tcBorders>
              <w:top w:val="nil"/>
              <w:left w:val="nil"/>
              <w:bottom w:val="nil"/>
              <w:right w:val="nil"/>
            </w:tcBorders>
            <w:tcMar>
              <w:top w:w="80" w:type="dxa"/>
              <w:left w:w="100" w:type="dxa"/>
              <w:bottom w:w="80" w:type="dxa"/>
              <w:right w:w="100" w:type="dxa"/>
            </w:tcMar>
            <w:vAlign w:val="center"/>
          </w:tcPr>
          <w:p w14:paraId="4B6AFB70" w14:textId="77777777" w:rsidR="00015DBE" w:rsidRPr="005E0481" w:rsidRDefault="00E43BD1">
            <w:pPr>
              <w:jc w:val="center"/>
              <w:rPr>
                <w:lang w:val="id-ID"/>
              </w:rPr>
            </w:pPr>
            <w:r w:rsidRPr="005E0481">
              <w:rPr>
                <w:rFonts w:ascii="Calibri" w:eastAsia="Calibri" w:hAnsi="Calibri" w:cs="Calibri"/>
                <w:sz w:val="24"/>
                <w:szCs w:val="24"/>
                <w:lang w:val="id-ID"/>
              </w:rPr>
              <w:t>2.63</w:t>
            </w:r>
          </w:p>
        </w:tc>
        <w:tc>
          <w:tcPr>
            <w:tcW w:w="1700" w:type="dxa"/>
            <w:tcBorders>
              <w:top w:val="nil"/>
              <w:left w:val="nil"/>
              <w:bottom w:val="nil"/>
              <w:right w:val="nil"/>
            </w:tcBorders>
            <w:tcMar>
              <w:top w:w="80" w:type="dxa"/>
              <w:left w:w="100" w:type="dxa"/>
              <w:bottom w:w="80" w:type="dxa"/>
              <w:right w:w="100" w:type="dxa"/>
            </w:tcMar>
            <w:vAlign w:val="center"/>
          </w:tcPr>
          <w:p w14:paraId="623CD964" w14:textId="77777777" w:rsidR="00015DBE" w:rsidRPr="005E0481" w:rsidRDefault="00E43BD1">
            <w:pPr>
              <w:jc w:val="center"/>
              <w:rPr>
                <w:lang w:val="id-ID"/>
              </w:rPr>
            </w:pPr>
            <w:r w:rsidRPr="005E0481">
              <w:rPr>
                <w:rFonts w:ascii="Calibri" w:eastAsia="Calibri" w:hAnsi="Calibri" w:cs="Calibri"/>
                <w:sz w:val="24"/>
                <w:szCs w:val="24"/>
                <w:lang w:val="id-ID"/>
              </w:rPr>
              <w:t>65.8%</w:t>
            </w:r>
          </w:p>
        </w:tc>
        <w:tc>
          <w:tcPr>
            <w:tcW w:w="1806" w:type="dxa"/>
            <w:tcBorders>
              <w:top w:val="nil"/>
              <w:left w:val="nil"/>
              <w:bottom w:val="nil"/>
              <w:right w:val="nil"/>
            </w:tcBorders>
            <w:tcMar>
              <w:top w:w="80" w:type="dxa"/>
              <w:left w:w="100" w:type="dxa"/>
              <w:bottom w:w="80" w:type="dxa"/>
              <w:right w:w="100" w:type="dxa"/>
            </w:tcMar>
            <w:vAlign w:val="center"/>
          </w:tcPr>
          <w:p w14:paraId="536CCC22" w14:textId="77777777" w:rsidR="00015DBE" w:rsidRPr="005E0481" w:rsidRDefault="00E43BD1">
            <w:pPr>
              <w:jc w:val="center"/>
              <w:rPr>
                <w:lang w:val="id-ID"/>
              </w:rPr>
            </w:pPr>
            <w:r w:rsidRPr="005E0481">
              <w:rPr>
                <w:rFonts w:ascii="Calibri" w:eastAsia="Calibri" w:hAnsi="Calibri" w:cs="Calibri"/>
                <w:sz w:val="24"/>
                <w:szCs w:val="24"/>
                <w:lang w:val="id-ID"/>
              </w:rPr>
              <w:t>Good</w:t>
            </w:r>
          </w:p>
        </w:tc>
      </w:tr>
      <w:tr w:rsidR="00015DBE" w:rsidRPr="005E0481" w14:paraId="361DB319"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25A0B087" w14:textId="77777777" w:rsidR="00015DBE" w:rsidRPr="005E0481" w:rsidRDefault="00E43BD1">
            <w:pPr>
              <w:jc w:val="center"/>
              <w:rPr>
                <w:lang w:val="id-ID"/>
              </w:rPr>
            </w:pPr>
            <w:r w:rsidRPr="005E0481">
              <w:rPr>
                <w:rFonts w:ascii="Calibri" w:eastAsia="Calibri" w:hAnsi="Calibri" w:cs="Calibri"/>
                <w:sz w:val="24"/>
                <w:szCs w:val="24"/>
                <w:lang w:val="id-ID"/>
              </w:rPr>
              <w:t>2</w:t>
            </w:r>
          </w:p>
        </w:tc>
        <w:tc>
          <w:tcPr>
            <w:tcW w:w="4080" w:type="dxa"/>
            <w:tcBorders>
              <w:top w:val="nil"/>
              <w:left w:val="nil"/>
              <w:bottom w:val="nil"/>
              <w:right w:val="nil"/>
            </w:tcBorders>
            <w:tcMar>
              <w:top w:w="80" w:type="dxa"/>
              <w:left w:w="100" w:type="dxa"/>
              <w:bottom w:w="80" w:type="dxa"/>
              <w:right w:w="100" w:type="dxa"/>
            </w:tcMar>
            <w:vAlign w:val="center"/>
          </w:tcPr>
          <w:p w14:paraId="20A104A9" w14:textId="77777777" w:rsidR="00015DBE" w:rsidRPr="005E0481" w:rsidRDefault="00E43BD1">
            <w:pPr>
              <w:rPr>
                <w:lang w:val="id-ID"/>
              </w:rPr>
            </w:pPr>
            <w:r w:rsidRPr="005E0481">
              <w:rPr>
                <w:rFonts w:ascii="Calibri" w:eastAsia="Calibri" w:hAnsi="Calibri" w:cs="Calibri"/>
                <w:sz w:val="24"/>
                <w:szCs w:val="24"/>
                <w:lang w:val="id-ID"/>
              </w:rPr>
              <w:t>Actions in the event of a fire</w:t>
            </w:r>
          </w:p>
        </w:tc>
        <w:tc>
          <w:tcPr>
            <w:tcW w:w="1200" w:type="dxa"/>
            <w:tcBorders>
              <w:top w:val="nil"/>
              <w:left w:val="nil"/>
              <w:bottom w:val="nil"/>
              <w:right w:val="nil"/>
            </w:tcBorders>
            <w:tcMar>
              <w:top w:w="80" w:type="dxa"/>
              <w:left w:w="100" w:type="dxa"/>
              <w:bottom w:w="80" w:type="dxa"/>
              <w:right w:w="100" w:type="dxa"/>
            </w:tcMar>
            <w:vAlign w:val="center"/>
          </w:tcPr>
          <w:p w14:paraId="5C3C8429" w14:textId="77777777" w:rsidR="00015DBE" w:rsidRPr="005E0481" w:rsidRDefault="00E43BD1">
            <w:pPr>
              <w:jc w:val="center"/>
              <w:rPr>
                <w:lang w:val="id-ID"/>
              </w:rPr>
            </w:pPr>
            <w:r w:rsidRPr="005E0481">
              <w:rPr>
                <w:rFonts w:ascii="Calibri" w:eastAsia="Calibri" w:hAnsi="Calibri" w:cs="Calibri"/>
                <w:sz w:val="24"/>
                <w:szCs w:val="24"/>
                <w:lang w:val="id-ID"/>
              </w:rPr>
              <w:t>2.17</w:t>
            </w:r>
          </w:p>
        </w:tc>
        <w:tc>
          <w:tcPr>
            <w:tcW w:w="1700" w:type="dxa"/>
            <w:tcBorders>
              <w:top w:val="nil"/>
              <w:left w:val="nil"/>
              <w:bottom w:val="nil"/>
              <w:right w:val="nil"/>
            </w:tcBorders>
            <w:tcMar>
              <w:top w:w="80" w:type="dxa"/>
              <w:left w:w="100" w:type="dxa"/>
              <w:bottom w:w="80" w:type="dxa"/>
              <w:right w:w="100" w:type="dxa"/>
            </w:tcMar>
            <w:vAlign w:val="center"/>
          </w:tcPr>
          <w:p w14:paraId="18A6FEA6" w14:textId="77777777" w:rsidR="00015DBE" w:rsidRPr="005E0481" w:rsidRDefault="00E43BD1">
            <w:pPr>
              <w:jc w:val="center"/>
              <w:rPr>
                <w:lang w:val="id-ID"/>
              </w:rPr>
            </w:pPr>
            <w:r w:rsidRPr="005E0481">
              <w:rPr>
                <w:rFonts w:ascii="Calibri" w:eastAsia="Calibri" w:hAnsi="Calibri" w:cs="Calibri"/>
                <w:sz w:val="24"/>
                <w:szCs w:val="24"/>
                <w:lang w:val="id-ID"/>
              </w:rPr>
              <w:t>54.2%</w:t>
            </w:r>
          </w:p>
        </w:tc>
        <w:tc>
          <w:tcPr>
            <w:tcW w:w="1806" w:type="dxa"/>
            <w:tcBorders>
              <w:top w:val="nil"/>
              <w:left w:val="nil"/>
              <w:bottom w:val="nil"/>
              <w:right w:val="nil"/>
            </w:tcBorders>
            <w:tcMar>
              <w:top w:w="80" w:type="dxa"/>
              <w:left w:w="100" w:type="dxa"/>
              <w:bottom w:w="80" w:type="dxa"/>
              <w:right w:w="100" w:type="dxa"/>
            </w:tcMar>
            <w:vAlign w:val="center"/>
          </w:tcPr>
          <w:p w14:paraId="5983F368"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14E6C684"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2C6CA983" w14:textId="77777777" w:rsidR="00015DBE" w:rsidRPr="005E0481" w:rsidRDefault="00E43BD1">
            <w:pPr>
              <w:jc w:val="center"/>
              <w:rPr>
                <w:lang w:val="id-ID"/>
              </w:rPr>
            </w:pPr>
            <w:r w:rsidRPr="005E0481">
              <w:rPr>
                <w:rFonts w:ascii="Calibri" w:eastAsia="Calibri" w:hAnsi="Calibri" w:cs="Calibri"/>
                <w:sz w:val="24"/>
                <w:szCs w:val="24"/>
                <w:lang w:val="id-ID"/>
              </w:rPr>
              <w:t>3</w:t>
            </w:r>
          </w:p>
        </w:tc>
        <w:tc>
          <w:tcPr>
            <w:tcW w:w="4080" w:type="dxa"/>
            <w:tcBorders>
              <w:top w:val="nil"/>
              <w:left w:val="nil"/>
              <w:bottom w:val="nil"/>
              <w:right w:val="nil"/>
            </w:tcBorders>
            <w:tcMar>
              <w:top w:w="80" w:type="dxa"/>
              <w:left w:w="100" w:type="dxa"/>
              <w:bottom w:w="80" w:type="dxa"/>
              <w:right w:w="100" w:type="dxa"/>
            </w:tcMar>
            <w:vAlign w:val="center"/>
          </w:tcPr>
          <w:p w14:paraId="5FAFE1DA" w14:textId="77777777" w:rsidR="00015DBE" w:rsidRPr="005E0481" w:rsidRDefault="00E43BD1">
            <w:pPr>
              <w:rPr>
                <w:lang w:val="id-ID"/>
              </w:rPr>
            </w:pPr>
            <w:r w:rsidRPr="005E0481">
              <w:rPr>
                <w:rFonts w:ascii="Calibri" w:eastAsia="Calibri" w:hAnsi="Calibri" w:cs="Calibri"/>
                <w:sz w:val="24"/>
                <w:szCs w:val="24"/>
                <w:lang w:val="id-ID"/>
              </w:rPr>
              <w:t>Actions if chemicals spill or splash</w:t>
            </w:r>
          </w:p>
        </w:tc>
        <w:tc>
          <w:tcPr>
            <w:tcW w:w="1200" w:type="dxa"/>
            <w:tcBorders>
              <w:top w:val="nil"/>
              <w:left w:val="nil"/>
              <w:bottom w:val="nil"/>
              <w:right w:val="nil"/>
            </w:tcBorders>
            <w:tcMar>
              <w:top w:w="80" w:type="dxa"/>
              <w:left w:w="100" w:type="dxa"/>
              <w:bottom w:w="80" w:type="dxa"/>
              <w:right w:w="100" w:type="dxa"/>
            </w:tcMar>
            <w:vAlign w:val="center"/>
          </w:tcPr>
          <w:p w14:paraId="79784B2C" w14:textId="77777777" w:rsidR="00015DBE" w:rsidRPr="005E0481" w:rsidRDefault="00E43BD1">
            <w:pPr>
              <w:jc w:val="center"/>
              <w:rPr>
                <w:lang w:val="id-ID"/>
              </w:rPr>
            </w:pPr>
            <w:r w:rsidRPr="005E0481">
              <w:rPr>
                <w:rFonts w:ascii="Calibri" w:eastAsia="Calibri" w:hAnsi="Calibri" w:cs="Calibri"/>
                <w:sz w:val="24"/>
                <w:szCs w:val="24"/>
                <w:lang w:val="id-ID"/>
              </w:rPr>
              <w:t>1.70</w:t>
            </w:r>
          </w:p>
        </w:tc>
        <w:tc>
          <w:tcPr>
            <w:tcW w:w="1700" w:type="dxa"/>
            <w:tcBorders>
              <w:top w:val="nil"/>
              <w:left w:val="nil"/>
              <w:bottom w:val="nil"/>
              <w:right w:val="nil"/>
            </w:tcBorders>
            <w:tcMar>
              <w:top w:w="80" w:type="dxa"/>
              <w:left w:w="100" w:type="dxa"/>
              <w:bottom w:w="80" w:type="dxa"/>
              <w:right w:w="100" w:type="dxa"/>
            </w:tcMar>
            <w:vAlign w:val="center"/>
          </w:tcPr>
          <w:p w14:paraId="16E8D52B" w14:textId="77777777" w:rsidR="00015DBE" w:rsidRPr="005E0481" w:rsidRDefault="00E43BD1">
            <w:pPr>
              <w:jc w:val="center"/>
              <w:rPr>
                <w:lang w:val="id-ID"/>
              </w:rPr>
            </w:pPr>
            <w:r w:rsidRPr="005E0481">
              <w:rPr>
                <w:rFonts w:ascii="Calibri" w:eastAsia="Calibri" w:hAnsi="Calibri" w:cs="Calibri"/>
                <w:sz w:val="24"/>
                <w:szCs w:val="24"/>
                <w:lang w:val="id-ID"/>
              </w:rPr>
              <w:t>42.5%</w:t>
            </w:r>
          </w:p>
        </w:tc>
        <w:tc>
          <w:tcPr>
            <w:tcW w:w="1806" w:type="dxa"/>
            <w:tcBorders>
              <w:top w:val="nil"/>
              <w:left w:val="nil"/>
              <w:bottom w:val="nil"/>
              <w:right w:val="nil"/>
            </w:tcBorders>
            <w:tcMar>
              <w:top w:w="80" w:type="dxa"/>
              <w:left w:w="100" w:type="dxa"/>
              <w:bottom w:w="80" w:type="dxa"/>
              <w:right w:w="100" w:type="dxa"/>
            </w:tcMar>
            <w:vAlign w:val="center"/>
          </w:tcPr>
          <w:p w14:paraId="7D468199"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71538349"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745A7A36" w14:textId="77777777" w:rsidR="00015DBE" w:rsidRPr="005E0481" w:rsidRDefault="00E43BD1">
            <w:pPr>
              <w:jc w:val="center"/>
              <w:rPr>
                <w:lang w:val="id-ID"/>
              </w:rPr>
            </w:pPr>
            <w:r w:rsidRPr="005E0481">
              <w:rPr>
                <w:rFonts w:ascii="Calibri" w:eastAsia="Calibri" w:hAnsi="Calibri" w:cs="Calibri"/>
                <w:sz w:val="24"/>
                <w:szCs w:val="24"/>
                <w:lang w:val="id-ID"/>
              </w:rPr>
              <w:t>4</w:t>
            </w:r>
          </w:p>
        </w:tc>
        <w:tc>
          <w:tcPr>
            <w:tcW w:w="4080" w:type="dxa"/>
            <w:tcBorders>
              <w:top w:val="nil"/>
              <w:left w:val="nil"/>
              <w:bottom w:val="nil"/>
              <w:right w:val="nil"/>
            </w:tcBorders>
            <w:tcMar>
              <w:top w:w="80" w:type="dxa"/>
              <w:left w:w="100" w:type="dxa"/>
              <w:bottom w:w="80" w:type="dxa"/>
              <w:right w:w="100" w:type="dxa"/>
            </w:tcMar>
            <w:vAlign w:val="center"/>
          </w:tcPr>
          <w:p w14:paraId="4E0F55AA" w14:textId="77777777" w:rsidR="00015DBE" w:rsidRPr="005E0481" w:rsidRDefault="00E43BD1">
            <w:pPr>
              <w:rPr>
                <w:lang w:val="id-ID"/>
              </w:rPr>
            </w:pPr>
            <w:r w:rsidRPr="005E0481">
              <w:rPr>
                <w:rFonts w:ascii="Calibri" w:eastAsia="Calibri" w:hAnsi="Calibri" w:cs="Calibri"/>
                <w:sz w:val="24"/>
                <w:szCs w:val="24"/>
                <w:lang w:val="id-ID"/>
              </w:rPr>
              <w:t>Knowledge of available emergency equipment</w:t>
            </w:r>
          </w:p>
        </w:tc>
        <w:tc>
          <w:tcPr>
            <w:tcW w:w="1200" w:type="dxa"/>
            <w:tcBorders>
              <w:top w:val="nil"/>
              <w:left w:val="nil"/>
              <w:bottom w:val="nil"/>
              <w:right w:val="nil"/>
            </w:tcBorders>
            <w:tcMar>
              <w:top w:w="80" w:type="dxa"/>
              <w:left w:w="100" w:type="dxa"/>
              <w:bottom w:w="80" w:type="dxa"/>
              <w:right w:w="100" w:type="dxa"/>
            </w:tcMar>
            <w:vAlign w:val="center"/>
          </w:tcPr>
          <w:p w14:paraId="3D5631E6" w14:textId="77777777" w:rsidR="00015DBE" w:rsidRPr="005E0481" w:rsidRDefault="00E43BD1">
            <w:pPr>
              <w:jc w:val="center"/>
              <w:rPr>
                <w:lang w:val="id-ID"/>
              </w:rPr>
            </w:pPr>
            <w:r w:rsidRPr="005E0481">
              <w:rPr>
                <w:rFonts w:ascii="Calibri" w:eastAsia="Calibri" w:hAnsi="Calibri" w:cs="Calibri"/>
                <w:sz w:val="24"/>
                <w:szCs w:val="24"/>
                <w:lang w:val="id-ID"/>
              </w:rPr>
              <w:t>2.13</w:t>
            </w:r>
          </w:p>
        </w:tc>
        <w:tc>
          <w:tcPr>
            <w:tcW w:w="1700" w:type="dxa"/>
            <w:tcBorders>
              <w:top w:val="nil"/>
              <w:left w:val="nil"/>
              <w:bottom w:val="nil"/>
              <w:right w:val="nil"/>
            </w:tcBorders>
            <w:tcMar>
              <w:top w:w="80" w:type="dxa"/>
              <w:left w:w="100" w:type="dxa"/>
              <w:bottom w:w="80" w:type="dxa"/>
              <w:right w:w="100" w:type="dxa"/>
            </w:tcMar>
            <w:vAlign w:val="center"/>
          </w:tcPr>
          <w:p w14:paraId="2EC527E9" w14:textId="77777777" w:rsidR="00015DBE" w:rsidRPr="005E0481" w:rsidRDefault="00E43BD1">
            <w:pPr>
              <w:jc w:val="center"/>
              <w:rPr>
                <w:lang w:val="id-ID"/>
              </w:rPr>
            </w:pPr>
            <w:r w:rsidRPr="005E0481">
              <w:rPr>
                <w:rFonts w:ascii="Calibri" w:eastAsia="Calibri" w:hAnsi="Calibri" w:cs="Calibri"/>
                <w:sz w:val="24"/>
                <w:szCs w:val="24"/>
                <w:lang w:val="id-ID"/>
              </w:rPr>
              <w:t>53.3%</w:t>
            </w:r>
          </w:p>
        </w:tc>
        <w:tc>
          <w:tcPr>
            <w:tcW w:w="1806" w:type="dxa"/>
            <w:tcBorders>
              <w:top w:val="nil"/>
              <w:left w:val="nil"/>
              <w:bottom w:val="nil"/>
              <w:right w:val="nil"/>
            </w:tcBorders>
            <w:tcMar>
              <w:top w:w="80" w:type="dxa"/>
              <w:left w:w="100" w:type="dxa"/>
              <w:bottom w:w="80" w:type="dxa"/>
              <w:right w:w="100" w:type="dxa"/>
            </w:tcMar>
            <w:vAlign w:val="center"/>
          </w:tcPr>
          <w:p w14:paraId="5C98E9F0"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127BF1A4"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2BE08553" w14:textId="77777777" w:rsidR="00015DBE" w:rsidRPr="005E0481" w:rsidRDefault="00E43BD1">
            <w:pPr>
              <w:jc w:val="center"/>
              <w:rPr>
                <w:lang w:val="id-ID"/>
              </w:rPr>
            </w:pPr>
            <w:r w:rsidRPr="005E0481">
              <w:rPr>
                <w:rFonts w:ascii="Calibri" w:eastAsia="Calibri" w:hAnsi="Calibri" w:cs="Calibri"/>
                <w:sz w:val="24"/>
                <w:szCs w:val="24"/>
                <w:lang w:val="id-ID"/>
              </w:rPr>
              <w:t>5</w:t>
            </w:r>
          </w:p>
        </w:tc>
        <w:tc>
          <w:tcPr>
            <w:tcW w:w="4080" w:type="dxa"/>
            <w:tcBorders>
              <w:top w:val="nil"/>
              <w:left w:val="nil"/>
              <w:bottom w:val="nil"/>
              <w:right w:val="nil"/>
            </w:tcBorders>
            <w:tcMar>
              <w:top w:w="80" w:type="dxa"/>
              <w:left w:w="100" w:type="dxa"/>
              <w:bottom w:w="80" w:type="dxa"/>
              <w:right w:w="100" w:type="dxa"/>
            </w:tcMar>
            <w:vAlign w:val="center"/>
          </w:tcPr>
          <w:p w14:paraId="5F679A17" w14:textId="77777777" w:rsidR="00015DBE" w:rsidRPr="005E0481" w:rsidRDefault="00E43BD1">
            <w:pPr>
              <w:rPr>
                <w:lang w:val="id-ID"/>
              </w:rPr>
            </w:pPr>
            <w:r w:rsidRPr="005E0481">
              <w:rPr>
                <w:rFonts w:ascii="Calibri" w:eastAsia="Calibri" w:hAnsi="Calibri" w:cs="Calibri"/>
                <w:sz w:val="24"/>
                <w:szCs w:val="24"/>
                <w:lang w:val="id-ID"/>
              </w:rPr>
              <w:t>Use of a fire extinguisher (APAR)</w:t>
            </w:r>
          </w:p>
        </w:tc>
        <w:tc>
          <w:tcPr>
            <w:tcW w:w="1200" w:type="dxa"/>
            <w:tcBorders>
              <w:top w:val="nil"/>
              <w:left w:val="nil"/>
              <w:bottom w:val="nil"/>
              <w:right w:val="nil"/>
            </w:tcBorders>
            <w:tcMar>
              <w:top w:w="80" w:type="dxa"/>
              <w:left w:w="100" w:type="dxa"/>
              <w:bottom w:w="80" w:type="dxa"/>
              <w:right w:w="100" w:type="dxa"/>
            </w:tcMar>
            <w:vAlign w:val="center"/>
          </w:tcPr>
          <w:p w14:paraId="248F5580" w14:textId="77777777" w:rsidR="00015DBE" w:rsidRPr="005E0481" w:rsidRDefault="00E43BD1">
            <w:pPr>
              <w:jc w:val="center"/>
              <w:rPr>
                <w:lang w:val="id-ID"/>
              </w:rPr>
            </w:pPr>
            <w:r w:rsidRPr="005E0481">
              <w:rPr>
                <w:rFonts w:ascii="Calibri" w:eastAsia="Calibri" w:hAnsi="Calibri" w:cs="Calibri"/>
                <w:sz w:val="24"/>
                <w:szCs w:val="24"/>
                <w:lang w:val="id-ID"/>
              </w:rPr>
              <w:t>2.23</w:t>
            </w:r>
          </w:p>
        </w:tc>
        <w:tc>
          <w:tcPr>
            <w:tcW w:w="1700" w:type="dxa"/>
            <w:tcBorders>
              <w:top w:val="nil"/>
              <w:left w:val="nil"/>
              <w:bottom w:val="nil"/>
              <w:right w:val="nil"/>
            </w:tcBorders>
            <w:tcMar>
              <w:top w:w="80" w:type="dxa"/>
              <w:left w:w="100" w:type="dxa"/>
              <w:bottom w:w="80" w:type="dxa"/>
              <w:right w:w="100" w:type="dxa"/>
            </w:tcMar>
            <w:vAlign w:val="center"/>
          </w:tcPr>
          <w:p w14:paraId="29CFCD9E" w14:textId="77777777" w:rsidR="00015DBE" w:rsidRPr="005E0481" w:rsidRDefault="00E43BD1">
            <w:pPr>
              <w:jc w:val="center"/>
              <w:rPr>
                <w:lang w:val="id-ID"/>
              </w:rPr>
            </w:pPr>
            <w:r w:rsidRPr="005E0481">
              <w:rPr>
                <w:rFonts w:ascii="Calibri" w:eastAsia="Calibri" w:hAnsi="Calibri" w:cs="Calibri"/>
                <w:sz w:val="24"/>
                <w:szCs w:val="24"/>
                <w:lang w:val="id-ID"/>
              </w:rPr>
              <w:t>55.8%</w:t>
            </w:r>
          </w:p>
        </w:tc>
        <w:tc>
          <w:tcPr>
            <w:tcW w:w="1806" w:type="dxa"/>
            <w:tcBorders>
              <w:top w:val="nil"/>
              <w:left w:val="nil"/>
              <w:bottom w:val="nil"/>
              <w:right w:val="nil"/>
            </w:tcBorders>
            <w:tcMar>
              <w:top w:w="80" w:type="dxa"/>
              <w:left w:w="100" w:type="dxa"/>
              <w:bottom w:w="80" w:type="dxa"/>
              <w:right w:w="100" w:type="dxa"/>
            </w:tcMar>
            <w:vAlign w:val="center"/>
          </w:tcPr>
          <w:p w14:paraId="240FF021"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18A8CAF2"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37F1D747" w14:textId="77777777" w:rsidR="00015DBE" w:rsidRPr="005E0481" w:rsidRDefault="00E43BD1">
            <w:pPr>
              <w:jc w:val="center"/>
              <w:rPr>
                <w:lang w:val="id-ID"/>
              </w:rPr>
            </w:pPr>
            <w:r w:rsidRPr="005E0481">
              <w:rPr>
                <w:rFonts w:ascii="Calibri" w:eastAsia="Calibri" w:hAnsi="Calibri" w:cs="Calibri"/>
                <w:sz w:val="24"/>
                <w:szCs w:val="24"/>
                <w:lang w:val="id-ID"/>
              </w:rPr>
              <w:t>6</w:t>
            </w:r>
          </w:p>
        </w:tc>
        <w:tc>
          <w:tcPr>
            <w:tcW w:w="4080" w:type="dxa"/>
            <w:tcBorders>
              <w:top w:val="nil"/>
              <w:left w:val="nil"/>
              <w:bottom w:val="nil"/>
              <w:right w:val="nil"/>
            </w:tcBorders>
            <w:tcMar>
              <w:top w:w="80" w:type="dxa"/>
              <w:left w:w="100" w:type="dxa"/>
              <w:bottom w:w="80" w:type="dxa"/>
              <w:right w:w="100" w:type="dxa"/>
            </w:tcMar>
            <w:vAlign w:val="center"/>
          </w:tcPr>
          <w:p w14:paraId="53DC8932" w14:textId="77777777" w:rsidR="00015DBE" w:rsidRPr="005E0481" w:rsidRDefault="00E43BD1">
            <w:pPr>
              <w:rPr>
                <w:lang w:val="id-ID"/>
              </w:rPr>
            </w:pPr>
            <w:r w:rsidRPr="005E0481">
              <w:rPr>
                <w:rFonts w:ascii="Calibri" w:eastAsia="Calibri" w:hAnsi="Calibri" w:cs="Calibri"/>
                <w:sz w:val="24"/>
                <w:szCs w:val="24"/>
                <w:lang w:val="id-ID"/>
              </w:rPr>
              <w:t>Use of sand to extinguish a fire</w:t>
            </w:r>
          </w:p>
        </w:tc>
        <w:tc>
          <w:tcPr>
            <w:tcW w:w="1200" w:type="dxa"/>
            <w:tcBorders>
              <w:top w:val="nil"/>
              <w:left w:val="nil"/>
              <w:bottom w:val="nil"/>
              <w:right w:val="nil"/>
            </w:tcBorders>
            <w:tcMar>
              <w:top w:w="80" w:type="dxa"/>
              <w:left w:w="100" w:type="dxa"/>
              <w:bottom w:w="80" w:type="dxa"/>
              <w:right w:w="100" w:type="dxa"/>
            </w:tcMar>
            <w:vAlign w:val="center"/>
          </w:tcPr>
          <w:p w14:paraId="4E882B2A" w14:textId="77777777" w:rsidR="00015DBE" w:rsidRPr="005E0481" w:rsidRDefault="00E43BD1">
            <w:pPr>
              <w:jc w:val="center"/>
              <w:rPr>
                <w:lang w:val="id-ID"/>
              </w:rPr>
            </w:pPr>
            <w:r w:rsidRPr="005E0481">
              <w:rPr>
                <w:rFonts w:ascii="Calibri" w:eastAsia="Calibri" w:hAnsi="Calibri" w:cs="Calibri"/>
                <w:sz w:val="24"/>
                <w:szCs w:val="24"/>
                <w:lang w:val="id-ID"/>
              </w:rPr>
              <w:t>1.90</w:t>
            </w:r>
          </w:p>
        </w:tc>
        <w:tc>
          <w:tcPr>
            <w:tcW w:w="1700" w:type="dxa"/>
            <w:tcBorders>
              <w:top w:val="nil"/>
              <w:left w:val="nil"/>
              <w:bottom w:val="nil"/>
              <w:right w:val="nil"/>
            </w:tcBorders>
            <w:tcMar>
              <w:top w:w="80" w:type="dxa"/>
              <w:left w:w="100" w:type="dxa"/>
              <w:bottom w:w="80" w:type="dxa"/>
              <w:right w:w="100" w:type="dxa"/>
            </w:tcMar>
            <w:vAlign w:val="center"/>
          </w:tcPr>
          <w:p w14:paraId="58ECC897" w14:textId="77777777" w:rsidR="00015DBE" w:rsidRPr="005E0481" w:rsidRDefault="00E43BD1">
            <w:pPr>
              <w:jc w:val="center"/>
              <w:rPr>
                <w:lang w:val="id-ID"/>
              </w:rPr>
            </w:pPr>
            <w:r w:rsidRPr="005E0481">
              <w:rPr>
                <w:rFonts w:ascii="Calibri" w:eastAsia="Calibri" w:hAnsi="Calibri" w:cs="Calibri"/>
                <w:sz w:val="24"/>
                <w:szCs w:val="24"/>
                <w:lang w:val="id-ID"/>
              </w:rPr>
              <w:t>47.5%</w:t>
            </w:r>
          </w:p>
        </w:tc>
        <w:tc>
          <w:tcPr>
            <w:tcW w:w="1806" w:type="dxa"/>
            <w:tcBorders>
              <w:top w:val="nil"/>
              <w:left w:val="nil"/>
              <w:bottom w:val="nil"/>
              <w:right w:val="nil"/>
            </w:tcBorders>
            <w:tcMar>
              <w:top w:w="80" w:type="dxa"/>
              <w:left w:w="100" w:type="dxa"/>
              <w:bottom w:w="80" w:type="dxa"/>
              <w:right w:w="100" w:type="dxa"/>
            </w:tcMar>
            <w:vAlign w:val="center"/>
          </w:tcPr>
          <w:p w14:paraId="0ED83CFF"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666ADFCC"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1E7E6442" w14:textId="77777777" w:rsidR="00015DBE" w:rsidRPr="005E0481" w:rsidRDefault="00E43BD1">
            <w:pPr>
              <w:jc w:val="center"/>
              <w:rPr>
                <w:lang w:val="id-ID"/>
              </w:rPr>
            </w:pPr>
            <w:r w:rsidRPr="005E0481">
              <w:rPr>
                <w:rFonts w:ascii="Calibri" w:eastAsia="Calibri" w:hAnsi="Calibri" w:cs="Calibri"/>
                <w:sz w:val="24"/>
                <w:szCs w:val="24"/>
                <w:lang w:val="id-ID"/>
              </w:rPr>
              <w:t>7</w:t>
            </w:r>
          </w:p>
        </w:tc>
        <w:tc>
          <w:tcPr>
            <w:tcW w:w="4080" w:type="dxa"/>
            <w:tcBorders>
              <w:top w:val="nil"/>
              <w:left w:val="nil"/>
              <w:bottom w:val="nil"/>
              <w:right w:val="nil"/>
            </w:tcBorders>
            <w:tcMar>
              <w:top w:w="80" w:type="dxa"/>
              <w:left w:w="100" w:type="dxa"/>
              <w:bottom w:w="80" w:type="dxa"/>
              <w:right w:w="100" w:type="dxa"/>
            </w:tcMar>
            <w:vAlign w:val="center"/>
          </w:tcPr>
          <w:p w14:paraId="71D8F03F" w14:textId="77777777" w:rsidR="00015DBE" w:rsidRPr="005E0481" w:rsidRDefault="00E43BD1">
            <w:pPr>
              <w:rPr>
                <w:lang w:val="id-ID"/>
              </w:rPr>
            </w:pPr>
            <w:r w:rsidRPr="005E0481">
              <w:rPr>
                <w:rFonts w:ascii="Calibri" w:eastAsia="Calibri" w:hAnsi="Calibri" w:cs="Calibri"/>
                <w:sz w:val="24"/>
                <w:szCs w:val="24"/>
                <w:lang w:val="id-ID"/>
              </w:rPr>
              <w:t>Use of a fire blanket</w:t>
            </w:r>
          </w:p>
        </w:tc>
        <w:tc>
          <w:tcPr>
            <w:tcW w:w="1200" w:type="dxa"/>
            <w:tcBorders>
              <w:top w:val="nil"/>
              <w:left w:val="nil"/>
              <w:bottom w:val="nil"/>
              <w:right w:val="nil"/>
            </w:tcBorders>
            <w:tcMar>
              <w:top w:w="80" w:type="dxa"/>
              <w:left w:w="100" w:type="dxa"/>
              <w:bottom w:w="80" w:type="dxa"/>
              <w:right w:w="100" w:type="dxa"/>
            </w:tcMar>
            <w:vAlign w:val="center"/>
          </w:tcPr>
          <w:p w14:paraId="2A858A8A" w14:textId="77777777" w:rsidR="00015DBE" w:rsidRPr="005E0481" w:rsidRDefault="00E43BD1">
            <w:pPr>
              <w:jc w:val="center"/>
              <w:rPr>
                <w:lang w:val="id-ID"/>
              </w:rPr>
            </w:pPr>
            <w:r w:rsidRPr="005E0481">
              <w:rPr>
                <w:rFonts w:ascii="Calibri" w:eastAsia="Calibri" w:hAnsi="Calibri" w:cs="Calibri"/>
                <w:sz w:val="24"/>
                <w:szCs w:val="24"/>
                <w:lang w:val="id-ID"/>
              </w:rPr>
              <w:t>2.23</w:t>
            </w:r>
          </w:p>
        </w:tc>
        <w:tc>
          <w:tcPr>
            <w:tcW w:w="1700" w:type="dxa"/>
            <w:tcBorders>
              <w:top w:val="nil"/>
              <w:left w:val="nil"/>
              <w:bottom w:val="nil"/>
              <w:right w:val="nil"/>
            </w:tcBorders>
            <w:tcMar>
              <w:top w:w="80" w:type="dxa"/>
              <w:left w:w="100" w:type="dxa"/>
              <w:bottom w:w="80" w:type="dxa"/>
              <w:right w:w="100" w:type="dxa"/>
            </w:tcMar>
            <w:vAlign w:val="center"/>
          </w:tcPr>
          <w:p w14:paraId="6020881A" w14:textId="77777777" w:rsidR="00015DBE" w:rsidRPr="005E0481" w:rsidRDefault="00E43BD1">
            <w:pPr>
              <w:jc w:val="center"/>
              <w:rPr>
                <w:lang w:val="id-ID"/>
              </w:rPr>
            </w:pPr>
            <w:r w:rsidRPr="005E0481">
              <w:rPr>
                <w:rFonts w:ascii="Calibri" w:eastAsia="Calibri" w:hAnsi="Calibri" w:cs="Calibri"/>
                <w:sz w:val="24"/>
                <w:szCs w:val="24"/>
                <w:lang w:val="id-ID"/>
              </w:rPr>
              <w:t>55.8%</w:t>
            </w:r>
          </w:p>
        </w:tc>
        <w:tc>
          <w:tcPr>
            <w:tcW w:w="1806" w:type="dxa"/>
            <w:tcBorders>
              <w:top w:val="nil"/>
              <w:left w:val="nil"/>
              <w:bottom w:val="nil"/>
              <w:right w:val="nil"/>
            </w:tcBorders>
            <w:tcMar>
              <w:top w:w="80" w:type="dxa"/>
              <w:left w:w="100" w:type="dxa"/>
              <w:bottom w:w="80" w:type="dxa"/>
              <w:right w:w="100" w:type="dxa"/>
            </w:tcMar>
            <w:vAlign w:val="center"/>
          </w:tcPr>
          <w:p w14:paraId="5B124195"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2C8B0568"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2D1879D1" w14:textId="77777777" w:rsidR="00015DBE" w:rsidRPr="005E0481" w:rsidRDefault="00E43BD1">
            <w:pPr>
              <w:jc w:val="center"/>
              <w:rPr>
                <w:lang w:val="id-ID"/>
              </w:rPr>
            </w:pPr>
            <w:r w:rsidRPr="005E0481">
              <w:rPr>
                <w:rFonts w:ascii="Calibri" w:eastAsia="Calibri" w:hAnsi="Calibri" w:cs="Calibri"/>
                <w:sz w:val="24"/>
                <w:szCs w:val="24"/>
                <w:lang w:val="id-ID"/>
              </w:rPr>
              <w:t>8</w:t>
            </w:r>
          </w:p>
        </w:tc>
        <w:tc>
          <w:tcPr>
            <w:tcW w:w="4080" w:type="dxa"/>
            <w:tcBorders>
              <w:top w:val="nil"/>
              <w:left w:val="nil"/>
              <w:bottom w:val="nil"/>
              <w:right w:val="nil"/>
            </w:tcBorders>
            <w:tcMar>
              <w:top w:w="80" w:type="dxa"/>
              <w:left w:w="100" w:type="dxa"/>
              <w:bottom w:w="80" w:type="dxa"/>
              <w:right w:w="100" w:type="dxa"/>
            </w:tcMar>
            <w:vAlign w:val="center"/>
          </w:tcPr>
          <w:p w14:paraId="1F05FF33" w14:textId="77777777" w:rsidR="00015DBE" w:rsidRPr="005E0481" w:rsidRDefault="00E43BD1">
            <w:pPr>
              <w:rPr>
                <w:lang w:val="id-ID"/>
              </w:rPr>
            </w:pPr>
            <w:r w:rsidRPr="005E0481">
              <w:rPr>
                <w:rFonts w:ascii="Calibri" w:eastAsia="Calibri" w:hAnsi="Calibri" w:cs="Calibri"/>
                <w:sz w:val="24"/>
                <w:szCs w:val="24"/>
                <w:lang w:val="id-ID"/>
              </w:rPr>
              <w:t>Emergency evacuation route/plan</w:t>
            </w:r>
          </w:p>
        </w:tc>
        <w:tc>
          <w:tcPr>
            <w:tcW w:w="1200" w:type="dxa"/>
            <w:tcBorders>
              <w:top w:val="nil"/>
              <w:left w:val="nil"/>
              <w:bottom w:val="nil"/>
              <w:right w:val="nil"/>
            </w:tcBorders>
            <w:tcMar>
              <w:top w:w="80" w:type="dxa"/>
              <w:left w:w="100" w:type="dxa"/>
              <w:bottom w:w="80" w:type="dxa"/>
              <w:right w:w="100" w:type="dxa"/>
            </w:tcMar>
            <w:vAlign w:val="center"/>
          </w:tcPr>
          <w:p w14:paraId="441C0AD0" w14:textId="77777777" w:rsidR="00015DBE" w:rsidRPr="005E0481" w:rsidRDefault="00E43BD1">
            <w:pPr>
              <w:jc w:val="center"/>
              <w:rPr>
                <w:lang w:val="id-ID"/>
              </w:rPr>
            </w:pPr>
            <w:r w:rsidRPr="005E0481">
              <w:rPr>
                <w:rFonts w:ascii="Calibri" w:eastAsia="Calibri" w:hAnsi="Calibri" w:cs="Calibri"/>
                <w:sz w:val="24"/>
                <w:szCs w:val="24"/>
                <w:lang w:val="id-ID"/>
              </w:rPr>
              <w:t>2.17</w:t>
            </w:r>
          </w:p>
        </w:tc>
        <w:tc>
          <w:tcPr>
            <w:tcW w:w="1700" w:type="dxa"/>
            <w:tcBorders>
              <w:top w:val="nil"/>
              <w:left w:val="nil"/>
              <w:bottom w:val="nil"/>
              <w:right w:val="nil"/>
            </w:tcBorders>
            <w:tcMar>
              <w:top w:w="80" w:type="dxa"/>
              <w:left w:w="100" w:type="dxa"/>
              <w:bottom w:w="80" w:type="dxa"/>
              <w:right w:w="100" w:type="dxa"/>
            </w:tcMar>
            <w:vAlign w:val="center"/>
          </w:tcPr>
          <w:p w14:paraId="02D7ABC0" w14:textId="77777777" w:rsidR="00015DBE" w:rsidRPr="005E0481" w:rsidRDefault="00E43BD1">
            <w:pPr>
              <w:jc w:val="center"/>
              <w:rPr>
                <w:lang w:val="id-ID"/>
              </w:rPr>
            </w:pPr>
            <w:r w:rsidRPr="005E0481">
              <w:rPr>
                <w:rFonts w:ascii="Calibri" w:eastAsia="Calibri" w:hAnsi="Calibri" w:cs="Calibri"/>
                <w:sz w:val="24"/>
                <w:szCs w:val="24"/>
                <w:lang w:val="id-ID"/>
              </w:rPr>
              <w:t>54.2%</w:t>
            </w:r>
          </w:p>
        </w:tc>
        <w:tc>
          <w:tcPr>
            <w:tcW w:w="1806" w:type="dxa"/>
            <w:tcBorders>
              <w:top w:val="nil"/>
              <w:left w:val="nil"/>
              <w:bottom w:val="nil"/>
              <w:right w:val="nil"/>
            </w:tcBorders>
            <w:tcMar>
              <w:top w:w="80" w:type="dxa"/>
              <w:left w:w="100" w:type="dxa"/>
              <w:bottom w:w="80" w:type="dxa"/>
              <w:right w:w="100" w:type="dxa"/>
            </w:tcMar>
            <w:vAlign w:val="center"/>
          </w:tcPr>
          <w:p w14:paraId="26E4A497"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33DC98EC"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6C5B3B5F" w14:textId="77777777" w:rsidR="00015DBE" w:rsidRPr="005E0481" w:rsidRDefault="00E43BD1">
            <w:pPr>
              <w:jc w:val="center"/>
              <w:rPr>
                <w:lang w:val="id-ID"/>
              </w:rPr>
            </w:pPr>
            <w:r w:rsidRPr="005E0481">
              <w:rPr>
                <w:rFonts w:ascii="Calibri" w:eastAsia="Calibri" w:hAnsi="Calibri" w:cs="Calibri"/>
                <w:sz w:val="24"/>
                <w:szCs w:val="24"/>
                <w:lang w:val="id-ID"/>
              </w:rPr>
              <w:t>9</w:t>
            </w:r>
          </w:p>
        </w:tc>
        <w:tc>
          <w:tcPr>
            <w:tcW w:w="4080" w:type="dxa"/>
            <w:tcBorders>
              <w:top w:val="nil"/>
              <w:left w:val="nil"/>
              <w:bottom w:val="nil"/>
              <w:right w:val="nil"/>
            </w:tcBorders>
            <w:tcMar>
              <w:top w:w="80" w:type="dxa"/>
              <w:left w:w="100" w:type="dxa"/>
              <w:bottom w:w="80" w:type="dxa"/>
              <w:right w:w="100" w:type="dxa"/>
            </w:tcMar>
            <w:vAlign w:val="center"/>
          </w:tcPr>
          <w:p w14:paraId="0301AE7E" w14:textId="77777777" w:rsidR="00015DBE" w:rsidRPr="005E0481" w:rsidRDefault="00E43BD1">
            <w:pPr>
              <w:rPr>
                <w:lang w:val="id-ID"/>
              </w:rPr>
            </w:pPr>
            <w:r w:rsidRPr="005E0481">
              <w:rPr>
                <w:rFonts w:ascii="Calibri" w:eastAsia="Calibri" w:hAnsi="Calibri" w:cs="Calibri"/>
                <w:sz w:val="24"/>
                <w:szCs w:val="24"/>
                <w:lang w:val="id-ID"/>
              </w:rPr>
              <w:t>Use of the first-aid (P3K) kit</w:t>
            </w:r>
          </w:p>
        </w:tc>
        <w:tc>
          <w:tcPr>
            <w:tcW w:w="1200" w:type="dxa"/>
            <w:tcBorders>
              <w:top w:val="nil"/>
              <w:left w:val="nil"/>
              <w:bottom w:val="nil"/>
              <w:right w:val="nil"/>
            </w:tcBorders>
            <w:tcMar>
              <w:top w:w="80" w:type="dxa"/>
              <w:left w:w="100" w:type="dxa"/>
              <w:bottom w:w="80" w:type="dxa"/>
              <w:right w:w="100" w:type="dxa"/>
            </w:tcMar>
            <w:vAlign w:val="center"/>
          </w:tcPr>
          <w:p w14:paraId="728FB85D" w14:textId="77777777" w:rsidR="00015DBE" w:rsidRPr="005E0481" w:rsidRDefault="00E43BD1">
            <w:pPr>
              <w:jc w:val="center"/>
              <w:rPr>
                <w:lang w:val="id-ID"/>
              </w:rPr>
            </w:pPr>
            <w:r w:rsidRPr="005E0481">
              <w:rPr>
                <w:rFonts w:ascii="Calibri" w:eastAsia="Calibri" w:hAnsi="Calibri" w:cs="Calibri"/>
                <w:sz w:val="24"/>
                <w:szCs w:val="24"/>
                <w:lang w:val="id-ID"/>
              </w:rPr>
              <w:t>2.03</w:t>
            </w:r>
          </w:p>
        </w:tc>
        <w:tc>
          <w:tcPr>
            <w:tcW w:w="1700" w:type="dxa"/>
            <w:tcBorders>
              <w:top w:val="nil"/>
              <w:left w:val="nil"/>
              <w:bottom w:val="nil"/>
              <w:right w:val="nil"/>
            </w:tcBorders>
            <w:tcMar>
              <w:top w:w="80" w:type="dxa"/>
              <w:left w:w="100" w:type="dxa"/>
              <w:bottom w:w="80" w:type="dxa"/>
              <w:right w:w="100" w:type="dxa"/>
            </w:tcMar>
            <w:vAlign w:val="center"/>
          </w:tcPr>
          <w:p w14:paraId="0EA0C885" w14:textId="77777777" w:rsidR="00015DBE" w:rsidRPr="005E0481" w:rsidRDefault="00E43BD1">
            <w:pPr>
              <w:jc w:val="center"/>
              <w:rPr>
                <w:lang w:val="id-ID"/>
              </w:rPr>
            </w:pPr>
            <w:r w:rsidRPr="005E0481">
              <w:rPr>
                <w:rFonts w:ascii="Calibri" w:eastAsia="Calibri" w:hAnsi="Calibri" w:cs="Calibri"/>
                <w:sz w:val="24"/>
                <w:szCs w:val="24"/>
                <w:lang w:val="id-ID"/>
              </w:rPr>
              <w:t>50.8%</w:t>
            </w:r>
          </w:p>
        </w:tc>
        <w:tc>
          <w:tcPr>
            <w:tcW w:w="1806" w:type="dxa"/>
            <w:tcBorders>
              <w:top w:val="nil"/>
              <w:left w:val="nil"/>
              <w:bottom w:val="nil"/>
              <w:right w:val="nil"/>
            </w:tcBorders>
            <w:tcMar>
              <w:top w:w="80" w:type="dxa"/>
              <w:left w:w="100" w:type="dxa"/>
              <w:bottom w:w="80" w:type="dxa"/>
              <w:right w:w="100" w:type="dxa"/>
            </w:tcMar>
            <w:vAlign w:val="center"/>
          </w:tcPr>
          <w:p w14:paraId="49393CC1"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6D415770"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30E36349" w14:textId="77777777" w:rsidR="00015DBE" w:rsidRPr="005E0481" w:rsidRDefault="00E43BD1">
            <w:pPr>
              <w:jc w:val="center"/>
              <w:rPr>
                <w:lang w:val="id-ID"/>
              </w:rPr>
            </w:pPr>
            <w:r w:rsidRPr="005E0481">
              <w:rPr>
                <w:rFonts w:ascii="Calibri" w:eastAsia="Calibri" w:hAnsi="Calibri" w:cs="Calibri"/>
                <w:sz w:val="24"/>
                <w:szCs w:val="24"/>
                <w:lang w:val="id-ID"/>
              </w:rPr>
              <w:t>10</w:t>
            </w:r>
          </w:p>
        </w:tc>
        <w:tc>
          <w:tcPr>
            <w:tcW w:w="4080" w:type="dxa"/>
            <w:tcBorders>
              <w:top w:val="nil"/>
              <w:left w:val="nil"/>
              <w:bottom w:val="nil"/>
              <w:right w:val="nil"/>
            </w:tcBorders>
            <w:tcMar>
              <w:top w:w="80" w:type="dxa"/>
              <w:left w:w="100" w:type="dxa"/>
              <w:bottom w:w="80" w:type="dxa"/>
              <w:right w:w="100" w:type="dxa"/>
            </w:tcMar>
            <w:vAlign w:val="center"/>
          </w:tcPr>
          <w:p w14:paraId="1E64C149" w14:textId="77777777" w:rsidR="00015DBE" w:rsidRPr="005E0481" w:rsidRDefault="00E43BD1">
            <w:pPr>
              <w:rPr>
                <w:lang w:val="id-ID"/>
              </w:rPr>
            </w:pPr>
            <w:r w:rsidRPr="005E0481">
              <w:rPr>
                <w:rFonts w:ascii="Calibri" w:eastAsia="Calibri" w:hAnsi="Calibri" w:cs="Calibri"/>
                <w:sz w:val="24"/>
                <w:szCs w:val="24"/>
                <w:lang w:val="id-ID"/>
              </w:rPr>
              <w:t>Wearing a laboratory coat</w:t>
            </w:r>
          </w:p>
        </w:tc>
        <w:tc>
          <w:tcPr>
            <w:tcW w:w="1200" w:type="dxa"/>
            <w:tcBorders>
              <w:top w:val="nil"/>
              <w:left w:val="nil"/>
              <w:bottom w:val="nil"/>
              <w:right w:val="nil"/>
            </w:tcBorders>
            <w:tcMar>
              <w:top w:w="80" w:type="dxa"/>
              <w:left w:w="100" w:type="dxa"/>
              <w:bottom w:w="80" w:type="dxa"/>
              <w:right w:w="100" w:type="dxa"/>
            </w:tcMar>
            <w:vAlign w:val="center"/>
          </w:tcPr>
          <w:p w14:paraId="1A57D83A" w14:textId="77777777" w:rsidR="00015DBE" w:rsidRPr="005E0481" w:rsidRDefault="00E43BD1">
            <w:pPr>
              <w:jc w:val="center"/>
              <w:rPr>
                <w:lang w:val="id-ID"/>
              </w:rPr>
            </w:pPr>
            <w:r w:rsidRPr="005E0481">
              <w:rPr>
                <w:rFonts w:ascii="Calibri" w:eastAsia="Calibri" w:hAnsi="Calibri" w:cs="Calibri"/>
                <w:sz w:val="24"/>
                <w:szCs w:val="24"/>
                <w:lang w:val="id-ID"/>
              </w:rPr>
              <w:t>2.80</w:t>
            </w:r>
          </w:p>
        </w:tc>
        <w:tc>
          <w:tcPr>
            <w:tcW w:w="1700" w:type="dxa"/>
            <w:tcBorders>
              <w:top w:val="nil"/>
              <w:left w:val="nil"/>
              <w:bottom w:val="nil"/>
              <w:right w:val="nil"/>
            </w:tcBorders>
            <w:tcMar>
              <w:top w:w="80" w:type="dxa"/>
              <w:left w:w="100" w:type="dxa"/>
              <w:bottom w:w="80" w:type="dxa"/>
              <w:right w:w="100" w:type="dxa"/>
            </w:tcMar>
            <w:vAlign w:val="center"/>
          </w:tcPr>
          <w:p w14:paraId="370EE038" w14:textId="77777777" w:rsidR="00015DBE" w:rsidRPr="005E0481" w:rsidRDefault="00E43BD1">
            <w:pPr>
              <w:jc w:val="center"/>
              <w:rPr>
                <w:lang w:val="id-ID"/>
              </w:rPr>
            </w:pPr>
            <w:r w:rsidRPr="005E0481">
              <w:rPr>
                <w:rFonts w:ascii="Calibri" w:eastAsia="Calibri" w:hAnsi="Calibri" w:cs="Calibri"/>
                <w:sz w:val="24"/>
                <w:szCs w:val="24"/>
                <w:lang w:val="id-ID"/>
              </w:rPr>
              <w:t>70.0%</w:t>
            </w:r>
          </w:p>
        </w:tc>
        <w:tc>
          <w:tcPr>
            <w:tcW w:w="1806" w:type="dxa"/>
            <w:tcBorders>
              <w:top w:val="nil"/>
              <w:left w:val="nil"/>
              <w:bottom w:val="nil"/>
              <w:right w:val="nil"/>
            </w:tcBorders>
            <w:tcMar>
              <w:top w:w="80" w:type="dxa"/>
              <w:left w:w="100" w:type="dxa"/>
              <w:bottom w:w="80" w:type="dxa"/>
              <w:right w:w="100" w:type="dxa"/>
            </w:tcMar>
            <w:vAlign w:val="center"/>
          </w:tcPr>
          <w:p w14:paraId="50BC9232" w14:textId="77777777" w:rsidR="00015DBE" w:rsidRPr="005E0481" w:rsidRDefault="00E43BD1">
            <w:pPr>
              <w:jc w:val="center"/>
              <w:rPr>
                <w:lang w:val="id-ID"/>
              </w:rPr>
            </w:pPr>
            <w:r w:rsidRPr="005E0481">
              <w:rPr>
                <w:rFonts w:ascii="Calibri" w:eastAsia="Calibri" w:hAnsi="Calibri" w:cs="Calibri"/>
                <w:sz w:val="24"/>
                <w:szCs w:val="24"/>
                <w:lang w:val="id-ID"/>
              </w:rPr>
              <w:t>Good</w:t>
            </w:r>
          </w:p>
        </w:tc>
      </w:tr>
      <w:tr w:rsidR="00015DBE" w:rsidRPr="005E0481" w14:paraId="6CDABC22"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7EC44444" w14:textId="77777777" w:rsidR="00015DBE" w:rsidRPr="005E0481" w:rsidRDefault="00E43BD1">
            <w:pPr>
              <w:jc w:val="center"/>
              <w:rPr>
                <w:lang w:val="id-ID"/>
              </w:rPr>
            </w:pPr>
            <w:r w:rsidRPr="005E0481">
              <w:rPr>
                <w:rFonts w:ascii="Calibri" w:eastAsia="Calibri" w:hAnsi="Calibri" w:cs="Calibri"/>
                <w:sz w:val="24"/>
                <w:szCs w:val="24"/>
                <w:lang w:val="id-ID"/>
              </w:rPr>
              <w:t>11</w:t>
            </w:r>
          </w:p>
        </w:tc>
        <w:tc>
          <w:tcPr>
            <w:tcW w:w="4080" w:type="dxa"/>
            <w:tcBorders>
              <w:top w:val="nil"/>
              <w:left w:val="nil"/>
              <w:bottom w:val="nil"/>
              <w:right w:val="nil"/>
            </w:tcBorders>
            <w:tcMar>
              <w:top w:w="80" w:type="dxa"/>
              <w:left w:w="100" w:type="dxa"/>
              <w:bottom w:w="80" w:type="dxa"/>
              <w:right w:w="100" w:type="dxa"/>
            </w:tcMar>
            <w:vAlign w:val="center"/>
          </w:tcPr>
          <w:p w14:paraId="4A7BEA26" w14:textId="77777777" w:rsidR="00015DBE" w:rsidRPr="005E0481" w:rsidRDefault="00E43BD1">
            <w:pPr>
              <w:rPr>
                <w:lang w:val="id-ID"/>
              </w:rPr>
            </w:pPr>
            <w:r w:rsidRPr="005E0481">
              <w:rPr>
                <w:rFonts w:ascii="Calibri" w:eastAsia="Calibri" w:hAnsi="Calibri" w:cs="Calibri"/>
                <w:sz w:val="24"/>
                <w:szCs w:val="24"/>
                <w:lang w:val="id-ID"/>
              </w:rPr>
              <w:t>Actions for a bleeding wound</w:t>
            </w:r>
          </w:p>
        </w:tc>
        <w:tc>
          <w:tcPr>
            <w:tcW w:w="1200" w:type="dxa"/>
            <w:tcBorders>
              <w:top w:val="nil"/>
              <w:left w:val="nil"/>
              <w:bottom w:val="nil"/>
              <w:right w:val="nil"/>
            </w:tcBorders>
            <w:tcMar>
              <w:top w:w="80" w:type="dxa"/>
              <w:left w:w="100" w:type="dxa"/>
              <w:bottom w:w="80" w:type="dxa"/>
              <w:right w:w="100" w:type="dxa"/>
            </w:tcMar>
            <w:vAlign w:val="center"/>
          </w:tcPr>
          <w:p w14:paraId="0ED2A0FB" w14:textId="77777777" w:rsidR="00015DBE" w:rsidRPr="005E0481" w:rsidRDefault="00E43BD1">
            <w:pPr>
              <w:jc w:val="center"/>
              <w:rPr>
                <w:lang w:val="id-ID"/>
              </w:rPr>
            </w:pPr>
            <w:r w:rsidRPr="005E0481">
              <w:rPr>
                <w:rFonts w:ascii="Calibri" w:eastAsia="Calibri" w:hAnsi="Calibri" w:cs="Calibri"/>
                <w:sz w:val="24"/>
                <w:szCs w:val="24"/>
                <w:lang w:val="id-ID"/>
              </w:rPr>
              <w:t>2.20</w:t>
            </w:r>
          </w:p>
        </w:tc>
        <w:tc>
          <w:tcPr>
            <w:tcW w:w="1700" w:type="dxa"/>
            <w:tcBorders>
              <w:top w:val="nil"/>
              <w:left w:val="nil"/>
              <w:bottom w:val="nil"/>
              <w:right w:val="nil"/>
            </w:tcBorders>
            <w:tcMar>
              <w:top w:w="80" w:type="dxa"/>
              <w:left w:w="100" w:type="dxa"/>
              <w:bottom w:w="80" w:type="dxa"/>
              <w:right w:w="100" w:type="dxa"/>
            </w:tcMar>
            <w:vAlign w:val="center"/>
          </w:tcPr>
          <w:p w14:paraId="4176633F" w14:textId="77777777" w:rsidR="00015DBE" w:rsidRPr="005E0481" w:rsidRDefault="00E43BD1">
            <w:pPr>
              <w:jc w:val="center"/>
              <w:rPr>
                <w:lang w:val="id-ID"/>
              </w:rPr>
            </w:pPr>
            <w:r w:rsidRPr="005E0481">
              <w:rPr>
                <w:rFonts w:ascii="Calibri" w:eastAsia="Calibri" w:hAnsi="Calibri" w:cs="Calibri"/>
                <w:sz w:val="24"/>
                <w:szCs w:val="24"/>
                <w:lang w:val="id-ID"/>
              </w:rPr>
              <w:t>55.0%</w:t>
            </w:r>
          </w:p>
        </w:tc>
        <w:tc>
          <w:tcPr>
            <w:tcW w:w="1806" w:type="dxa"/>
            <w:tcBorders>
              <w:top w:val="nil"/>
              <w:left w:val="nil"/>
              <w:bottom w:val="nil"/>
              <w:right w:val="nil"/>
            </w:tcBorders>
            <w:tcMar>
              <w:top w:w="80" w:type="dxa"/>
              <w:left w:w="100" w:type="dxa"/>
              <w:bottom w:w="80" w:type="dxa"/>
              <w:right w:w="100" w:type="dxa"/>
            </w:tcMar>
            <w:vAlign w:val="center"/>
          </w:tcPr>
          <w:p w14:paraId="75CA4C36"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38CFE615"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1E7062C2" w14:textId="77777777" w:rsidR="00015DBE" w:rsidRPr="005E0481" w:rsidRDefault="00E43BD1">
            <w:pPr>
              <w:jc w:val="center"/>
              <w:rPr>
                <w:lang w:val="id-ID"/>
              </w:rPr>
            </w:pPr>
            <w:r w:rsidRPr="005E0481">
              <w:rPr>
                <w:rFonts w:ascii="Calibri" w:eastAsia="Calibri" w:hAnsi="Calibri" w:cs="Calibri"/>
                <w:sz w:val="24"/>
                <w:szCs w:val="24"/>
                <w:lang w:val="id-ID"/>
              </w:rPr>
              <w:t>12</w:t>
            </w:r>
          </w:p>
        </w:tc>
        <w:tc>
          <w:tcPr>
            <w:tcW w:w="4080" w:type="dxa"/>
            <w:tcBorders>
              <w:top w:val="nil"/>
              <w:left w:val="nil"/>
              <w:bottom w:val="nil"/>
              <w:right w:val="nil"/>
            </w:tcBorders>
            <w:tcMar>
              <w:top w:w="80" w:type="dxa"/>
              <w:left w:w="100" w:type="dxa"/>
              <w:bottom w:w="80" w:type="dxa"/>
              <w:right w:w="100" w:type="dxa"/>
            </w:tcMar>
            <w:vAlign w:val="center"/>
          </w:tcPr>
          <w:p w14:paraId="5889706F" w14:textId="77777777" w:rsidR="00015DBE" w:rsidRPr="005E0481" w:rsidRDefault="00E43BD1">
            <w:pPr>
              <w:rPr>
                <w:lang w:val="id-ID"/>
              </w:rPr>
            </w:pPr>
            <w:r w:rsidRPr="005E0481">
              <w:rPr>
                <w:rFonts w:ascii="Calibri" w:eastAsia="Calibri" w:hAnsi="Calibri" w:cs="Calibri"/>
                <w:sz w:val="24"/>
                <w:szCs w:val="24"/>
                <w:lang w:val="id-ID"/>
              </w:rPr>
              <w:t>Actions for a burn injury</w:t>
            </w:r>
          </w:p>
        </w:tc>
        <w:tc>
          <w:tcPr>
            <w:tcW w:w="1200" w:type="dxa"/>
            <w:tcBorders>
              <w:top w:val="nil"/>
              <w:left w:val="nil"/>
              <w:bottom w:val="nil"/>
              <w:right w:val="nil"/>
            </w:tcBorders>
            <w:tcMar>
              <w:top w:w="80" w:type="dxa"/>
              <w:left w:w="100" w:type="dxa"/>
              <w:bottom w:w="80" w:type="dxa"/>
              <w:right w:w="100" w:type="dxa"/>
            </w:tcMar>
            <w:vAlign w:val="center"/>
          </w:tcPr>
          <w:p w14:paraId="2BAB48DD" w14:textId="77777777" w:rsidR="00015DBE" w:rsidRPr="005E0481" w:rsidRDefault="00E43BD1">
            <w:pPr>
              <w:jc w:val="center"/>
              <w:rPr>
                <w:lang w:val="id-ID"/>
              </w:rPr>
            </w:pPr>
            <w:r w:rsidRPr="005E0481">
              <w:rPr>
                <w:rFonts w:ascii="Calibri" w:eastAsia="Calibri" w:hAnsi="Calibri" w:cs="Calibri"/>
                <w:sz w:val="24"/>
                <w:szCs w:val="24"/>
                <w:lang w:val="id-ID"/>
              </w:rPr>
              <w:t>1.93</w:t>
            </w:r>
          </w:p>
        </w:tc>
        <w:tc>
          <w:tcPr>
            <w:tcW w:w="1700" w:type="dxa"/>
            <w:tcBorders>
              <w:top w:val="nil"/>
              <w:left w:val="nil"/>
              <w:bottom w:val="nil"/>
              <w:right w:val="nil"/>
            </w:tcBorders>
            <w:tcMar>
              <w:top w:w="80" w:type="dxa"/>
              <w:left w:w="100" w:type="dxa"/>
              <w:bottom w:w="80" w:type="dxa"/>
              <w:right w:w="100" w:type="dxa"/>
            </w:tcMar>
            <w:vAlign w:val="center"/>
          </w:tcPr>
          <w:p w14:paraId="65170765" w14:textId="77777777" w:rsidR="00015DBE" w:rsidRPr="005E0481" w:rsidRDefault="00E43BD1">
            <w:pPr>
              <w:jc w:val="center"/>
              <w:rPr>
                <w:lang w:val="id-ID"/>
              </w:rPr>
            </w:pPr>
            <w:r w:rsidRPr="005E0481">
              <w:rPr>
                <w:rFonts w:ascii="Calibri" w:eastAsia="Calibri" w:hAnsi="Calibri" w:cs="Calibri"/>
                <w:sz w:val="24"/>
                <w:szCs w:val="24"/>
                <w:lang w:val="id-ID"/>
              </w:rPr>
              <w:t>48.3%</w:t>
            </w:r>
          </w:p>
        </w:tc>
        <w:tc>
          <w:tcPr>
            <w:tcW w:w="1806" w:type="dxa"/>
            <w:tcBorders>
              <w:top w:val="nil"/>
              <w:left w:val="nil"/>
              <w:bottom w:val="nil"/>
              <w:right w:val="nil"/>
            </w:tcBorders>
            <w:tcMar>
              <w:top w:w="80" w:type="dxa"/>
              <w:left w:w="100" w:type="dxa"/>
              <w:bottom w:w="80" w:type="dxa"/>
              <w:right w:w="100" w:type="dxa"/>
            </w:tcMar>
            <w:vAlign w:val="center"/>
          </w:tcPr>
          <w:p w14:paraId="3F83A7FA"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2810BF45"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1ABA7951" w14:textId="77777777" w:rsidR="00015DBE" w:rsidRPr="005E0481" w:rsidRDefault="00E43BD1">
            <w:pPr>
              <w:jc w:val="center"/>
              <w:rPr>
                <w:lang w:val="id-ID"/>
              </w:rPr>
            </w:pPr>
            <w:r w:rsidRPr="005E0481">
              <w:rPr>
                <w:rFonts w:ascii="Calibri" w:eastAsia="Calibri" w:hAnsi="Calibri" w:cs="Calibri"/>
                <w:sz w:val="24"/>
                <w:szCs w:val="24"/>
                <w:lang w:val="id-ID"/>
              </w:rPr>
              <w:t>13</w:t>
            </w:r>
          </w:p>
        </w:tc>
        <w:tc>
          <w:tcPr>
            <w:tcW w:w="4080" w:type="dxa"/>
            <w:tcBorders>
              <w:top w:val="nil"/>
              <w:left w:val="nil"/>
              <w:bottom w:val="nil"/>
              <w:right w:val="nil"/>
            </w:tcBorders>
            <w:tcMar>
              <w:top w:w="80" w:type="dxa"/>
              <w:left w:w="100" w:type="dxa"/>
              <w:bottom w:w="80" w:type="dxa"/>
              <w:right w:w="100" w:type="dxa"/>
            </w:tcMar>
            <w:vAlign w:val="center"/>
          </w:tcPr>
          <w:p w14:paraId="7ECCC90D" w14:textId="77777777" w:rsidR="00015DBE" w:rsidRPr="005E0481" w:rsidRDefault="00E43BD1">
            <w:pPr>
              <w:rPr>
                <w:lang w:val="id-ID"/>
              </w:rPr>
            </w:pPr>
            <w:r w:rsidRPr="005E0481">
              <w:rPr>
                <w:rFonts w:ascii="Calibri" w:eastAsia="Calibri" w:hAnsi="Calibri" w:cs="Calibri"/>
                <w:sz w:val="24"/>
                <w:szCs w:val="24"/>
                <w:lang w:val="id-ID"/>
              </w:rPr>
              <w:t>Actions if chemicals contact the eyes</w:t>
            </w:r>
          </w:p>
        </w:tc>
        <w:tc>
          <w:tcPr>
            <w:tcW w:w="1200" w:type="dxa"/>
            <w:tcBorders>
              <w:top w:val="nil"/>
              <w:left w:val="nil"/>
              <w:bottom w:val="nil"/>
              <w:right w:val="nil"/>
            </w:tcBorders>
            <w:tcMar>
              <w:top w:w="80" w:type="dxa"/>
              <w:left w:w="100" w:type="dxa"/>
              <w:bottom w:w="80" w:type="dxa"/>
              <w:right w:w="100" w:type="dxa"/>
            </w:tcMar>
            <w:vAlign w:val="center"/>
          </w:tcPr>
          <w:p w14:paraId="1149F382" w14:textId="77777777" w:rsidR="00015DBE" w:rsidRPr="005E0481" w:rsidRDefault="00E43BD1">
            <w:pPr>
              <w:jc w:val="center"/>
              <w:rPr>
                <w:lang w:val="id-ID"/>
              </w:rPr>
            </w:pPr>
            <w:r w:rsidRPr="005E0481">
              <w:rPr>
                <w:rFonts w:ascii="Calibri" w:eastAsia="Calibri" w:hAnsi="Calibri" w:cs="Calibri"/>
                <w:sz w:val="24"/>
                <w:szCs w:val="24"/>
                <w:lang w:val="id-ID"/>
              </w:rPr>
              <w:t>2.00</w:t>
            </w:r>
          </w:p>
        </w:tc>
        <w:tc>
          <w:tcPr>
            <w:tcW w:w="1700" w:type="dxa"/>
            <w:tcBorders>
              <w:top w:val="nil"/>
              <w:left w:val="nil"/>
              <w:bottom w:val="nil"/>
              <w:right w:val="nil"/>
            </w:tcBorders>
            <w:tcMar>
              <w:top w:w="80" w:type="dxa"/>
              <w:left w:w="100" w:type="dxa"/>
              <w:bottom w:w="80" w:type="dxa"/>
              <w:right w:w="100" w:type="dxa"/>
            </w:tcMar>
            <w:vAlign w:val="center"/>
          </w:tcPr>
          <w:p w14:paraId="5D0F7866" w14:textId="77777777" w:rsidR="00015DBE" w:rsidRPr="005E0481" w:rsidRDefault="00E43BD1">
            <w:pPr>
              <w:jc w:val="center"/>
              <w:rPr>
                <w:lang w:val="id-ID"/>
              </w:rPr>
            </w:pPr>
            <w:r w:rsidRPr="005E0481">
              <w:rPr>
                <w:rFonts w:ascii="Calibri" w:eastAsia="Calibri" w:hAnsi="Calibri" w:cs="Calibri"/>
                <w:sz w:val="24"/>
                <w:szCs w:val="24"/>
                <w:lang w:val="id-ID"/>
              </w:rPr>
              <w:t>50.0%</w:t>
            </w:r>
          </w:p>
        </w:tc>
        <w:tc>
          <w:tcPr>
            <w:tcW w:w="1806" w:type="dxa"/>
            <w:tcBorders>
              <w:top w:val="nil"/>
              <w:left w:val="nil"/>
              <w:bottom w:val="nil"/>
              <w:right w:val="nil"/>
            </w:tcBorders>
            <w:tcMar>
              <w:top w:w="80" w:type="dxa"/>
              <w:left w:w="100" w:type="dxa"/>
              <w:bottom w:w="80" w:type="dxa"/>
              <w:right w:w="100" w:type="dxa"/>
            </w:tcMar>
            <w:vAlign w:val="center"/>
          </w:tcPr>
          <w:p w14:paraId="358AC768"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r w:rsidR="00015DBE" w:rsidRPr="005E0481" w14:paraId="24B7FB5A"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25866F6B" w14:textId="77777777" w:rsidR="00015DBE" w:rsidRPr="005E0481" w:rsidRDefault="00E43BD1">
            <w:pPr>
              <w:jc w:val="center"/>
              <w:rPr>
                <w:lang w:val="id-ID"/>
              </w:rPr>
            </w:pPr>
            <w:r w:rsidRPr="005E0481">
              <w:rPr>
                <w:rFonts w:ascii="Calibri" w:eastAsia="Calibri" w:hAnsi="Calibri" w:cs="Calibri"/>
                <w:sz w:val="24"/>
                <w:szCs w:val="24"/>
                <w:lang w:val="id-ID"/>
              </w:rPr>
              <w:t>14</w:t>
            </w:r>
          </w:p>
        </w:tc>
        <w:tc>
          <w:tcPr>
            <w:tcW w:w="4080" w:type="dxa"/>
            <w:tcBorders>
              <w:top w:val="nil"/>
              <w:left w:val="nil"/>
              <w:bottom w:val="nil"/>
              <w:right w:val="nil"/>
            </w:tcBorders>
            <w:tcMar>
              <w:top w:w="80" w:type="dxa"/>
              <w:left w:w="100" w:type="dxa"/>
              <w:bottom w:w="80" w:type="dxa"/>
              <w:right w:w="100" w:type="dxa"/>
            </w:tcMar>
            <w:vAlign w:val="center"/>
          </w:tcPr>
          <w:p w14:paraId="316D1BF0" w14:textId="77777777" w:rsidR="00015DBE" w:rsidRPr="005E0481" w:rsidRDefault="00E43BD1">
            <w:pPr>
              <w:rPr>
                <w:lang w:val="id-ID"/>
              </w:rPr>
            </w:pPr>
            <w:r w:rsidRPr="005E0481">
              <w:rPr>
                <w:rFonts w:ascii="Calibri" w:eastAsia="Calibri" w:hAnsi="Calibri" w:cs="Calibri"/>
                <w:sz w:val="24"/>
                <w:szCs w:val="24"/>
                <w:lang w:val="id-ID"/>
              </w:rPr>
              <w:t>Returning equipment to its place</w:t>
            </w:r>
          </w:p>
        </w:tc>
        <w:tc>
          <w:tcPr>
            <w:tcW w:w="1200" w:type="dxa"/>
            <w:tcBorders>
              <w:top w:val="nil"/>
              <w:left w:val="nil"/>
              <w:bottom w:val="nil"/>
              <w:right w:val="nil"/>
            </w:tcBorders>
            <w:tcMar>
              <w:top w:w="80" w:type="dxa"/>
              <w:left w:w="100" w:type="dxa"/>
              <w:bottom w:w="80" w:type="dxa"/>
              <w:right w:w="100" w:type="dxa"/>
            </w:tcMar>
            <w:vAlign w:val="center"/>
          </w:tcPr>
          <w:p w14:paraId="41D58547" w14:textId="77777777" w:rsidR="00015DBE" w:rsidRPr="005E0481" w:rsidRDefault="00E43BD1">
            <w:pPr>
              <w:jc w:val="center"/>
              <w:rPr>
                <w:lang w:val="id-ID"/>
              </w:rPr>
            </w:pPr>
            <w:r w:rsidRPr="005E0481">
              <w:rPr>
                <w:rFonts w:ascii="Calibri" w:eastAsia="Calibri" w:hAnsi="Calibri" w:cs="Calibri"/>
                <w:sz w:val="24"/>
                <w:szCs w:val="24"/>
                <w:lang w:val="id-ID"/>
              </w:rPr>
              <w:t>2.73</w:t>
            </w:r>
          </w:p>
        </w:tc>
        <w:tc>
          <w:tcPr>
            <w:tcW w:w="1700" w:type="dxa"/>
            <w:tcBorders>
              <w:top w:val="nil"/>
              <w:left w:val="nil"/>
              <w:bottom w:val="nil"/>
              <w:right w:val="nil"/>
            </w:tcBorders>
            <w:tcMar>
              <w:top w:w="80" w:type="dxa"/>
              <w:left w:w="100" w:type="dxa"/>
              <w:bottom w:w="80" w:type="dxa"/>
              <w:right w:w="100" w:type="dxa"/>
            </w:tcMar>
            <w:vAlign w:val="center"/>
          </w:tcPr>
          <w:p w14:paraId="3766CC63" w14:textId="77777777" w:rsidR="00015DBE" w:rsidRPr="005E0481" w:rsidRDefault="00E43BD1">
            <w:pPr>
              <w:jc w:val="center"/>
              <w:rPr>
                <w:lang w:val="id-ID"/>
              </w:rPr>
            </w:pPr>
            <w:r w:rsidRPr="005E0481">
              <w:rPr>
                <w:rFonts w:ascii="Calibri" w:eastAsia="Calibri" w:hAnsi="Calibri" w:cs="Calibri"/>
                <w:sz w:val="24"/>
                <w:szCs w:val="24"/>
                <w:lang w:val="id-ID"/>
              </w:rPr>
              <w:t>68.3%</w:t>
            </w:r>
          </w:p>
        </w:tc>
        <w:tc>
          <w:tcPr>
            <w:tcW w:w="1806" w:type="dxa"/>
            <w:tcBorders>
              <w:top w:val="nil"/>
              <w:left w:val="nil"/>
              <w:bottom w:val="nil"/>
              <w:right w:val="nil"/>
            </w:tcBorders>
            <w:tcMar>
              <w:top w:w="80" w:type="dxa"/>
              <w:left w:w="100" w:type="dxa"/>
              <w:bottom w:w="80" w:type="dxa"/>
              <w:right w:w="100" w:type="dxa"/>
            </w:tcMar>
            <w:vAlign w:val="center"/>
          </w:tcPr>
          <w:p w14:paraId="7DBBB266" w14:textId="77777777" w:rsidR="00015DBE" w:rsidRPr="005E0481" w:rsidRDefault="00E43BD1">
            <w:pPr>
              <w:jc w:val="center"/>
              <w:rPr>
                <w:lang w:val="id-ID"/>
              </w:rPr>
            </w:pPr>
            <w:r w:rsidRPr="005E0481">
              <w:rPr>
                <w:rFonts w:ascii="Calibri" w:eastAsia="Calibri" w:hAnsi="Calibri" w:cs="Calibri"/>
                <w:sz w:val="24"/>
                <w:szCs w:val="24"/>
                <w:lang w:val="id-ID"/>
              </w:rPr>
              <w:t>Good</w:t>
            </w:r>
          </w:p>
        </w:tc>
      </w:tr>
      <w:tr w:rsidR="00015DBE" w:rsidRPr="005E0481" w14:paraId="65E0BD47" w14:textId="77777777">
        <w:tblPrEx>
          <w:tblCellMar>
            <w:top w:w="0" w:type="dxa"/>
            <w:bottom w:w="0" w:type="dxa"/>
          </w:tblCellMar>
        </w:tblPrEx>
        <w:tc>
          <w:tcPr>
            <w:tcW w:w="620" w:type="dxa"/>
            <w:tcBorders>
              <w:top w:val="nil"/>
              <w:left w:val="nil"/>
              <w:bottom w:val="nil"/>
              <w:right w:val="nil"/>
            </w:tcBorders>
            <w:tcMar>
              <w:top w:w="80" w:type="dxa"/>
              <w:left w:w="100" w:type="dxa"/>
              <w:bottom w:w="80" w:type="dxa"/>
              <w:right w:w="100" w:type="dxa"/>
            </w:tcMar>
            <w:vAlign w:val="center"/>
          </w:tcPr>
          <w:p w14:paraId="41326EC2" w14:textId="77777777" w:rsidR="00015DBE" w:rsidRPr="005E0481" w:rsidRDefault="00E43BD1">
            <w:pPr>
              <w:jc w:val="center"/>
              <w:rPr>
                <w:lang w:val="id-ID"/>
              </w:rPr>
            </w:pPr>
            <w:r w:rsidRPr="005E0481">
              <w:rPr>
                <w:rFonts w:ascii="Calibri" w:eastAsia="Calibri" w:hAnsi="Calibri" w:cs="Calibri"/>
                <w:sz w:val="24"/>
                <w:szCs w:val="24"/>
                <w:lang w:val="id-ID"/>
              </w:rPr>
              <w:t>15</w:t>
            </w:r>
          </w:p>
        </w:tc>
        <w:tc>
          <w:tcPr>
            <w:tcW w:w="4080" w:type="dxa"/>
            <w:tcBorders>
              <w:top w:val="nil"/>
              <w:left w:val="nil"/>
              <w:bottom w:val="nil"/>
              <w:right w:val="nil"/>
            </w:tcBorders>
            <w:tcMar>
              <w:top w:w="80" w:type="dxa"/>
              <w:left w:w="100" w:type="dxa"/>
              <w:bottom w:w="80" w:type="dxa"/>
              <w:right w:w="100" w:type="dxa"/>
            </w:tcMar>
            <w:vAlign w:val="center"/>
          </w:tcPr>
          <w:p w14:paraId="46CFD1C2" w14:textId="77777777" w:rsidR="00015DBE" w:rsidRPr="005E0481" w:rsidRDefault="00E43BD1">
            <w:pPr>
              <w:rPr>
                <w:lang w:val="id-ID"/>
              </w:rPr>
            </w:pPr>
            <w:r w:rsidRPr="005E0481">
              <w:rPr>
                <w:rFonts w:ascii="Calibri" w:eastAsia="Calibri" w:hAnsi="Calibri" w:cs="Calibri"/>
                <w:sz w:val="24"/>
                <w:szCs w:val="24"/>
                <w:lang w:val="id-ID"/>
              </w:rPr>
              <w:t>Washing hands after practicum</w:t>
            </w:r>
          </w:p>
        </w:tc>
        <w:tc>
          <w:tcPr>
            <w:tcW w:w="1200" w:type="dxa"/>
            <w:tcBorders>
              <w:top w:val="nil"/>
              <w:left w:val="nil"/>
              <w:bottom w:val="nil"/>
              <w:right w:val="nil"/>
            </w:tcBorders>
            <w:tcMar>
              <w:top w:w="80" w:type="dxa"/>
              <w:left w:w="100" w:type="dxa"/>
              <w:bottom w:w="80" w:type="dxa"/>
              <w:right w:w="100" w:type="dxa"/>
            </w:tcMar>
            <w:vAlign w:val="center"/>
          </w:tcPr>
          <w:p w14:paraId="2DAECBAE" w14:textId="77777777" w:rsidR="00015DBE" w:rsidRPr="005E0481" w:rsidRDefault="00E43BD1">
            <w:pPr>
              <w:jc w:val="center"/>
              <w:rPr>
                <w:lang w:val="id-ID"/>
              </w:rPr>
            </w:pPr>
            <w:r w:rsidRPr="005E0481">
              <w:rPr>
                <w:rFonts w:ascii="Calibri" w:eastAsia="Calibri" w:hAnsi="Calibri" w:cs="Calibri"/>
                <w:sz w:val="24"/>
                <w:szCs w:val="24"/>
                <w:lang w:val="id-ID"/>
              </w:rPr>
              <w:t>2.80</w:t>
            </w:r>
          </w:p>
        </w:tc>
        <w:tc>
          <w:tcPr>
            <w:tcW w:w="1700" w:type="dxa"/>
            <w:tcBorders>
              <w:top w:val="nil"/>
              <w:left w:val="nil"/>
              <w:bottom w:val="nil"/>
              <w:right w:val="nil"/>
            </w:tcBorders>
            <w:tcMar>
              <w:top w:w="80" w:type="dxa"/>
              <w:left w:w="100" w:type="dxa"/>
              <w:bottom w:w="80" w:type="dxa"/>
              <w:right w:w="100" w:type="dxa"/>
            </w:tcMar>
            <w:vAlign w:val="center"/>
          </w:tcPr>
          <w:p w14:paraId="25C8A1A3" w14:textId="77777777" w:rsidR="00015DBE" w:rsidRPr="005E0481" w:rsidRDefault="00E43BD1">
            <w:pPr>
              <w:jc w:val="center"/>
              <w:rPr>
                <w:lang w:val="id-ID"/>
              </w:rPr>
            </w:pPr>
            <w:r w:rsidRPr="005E0481">
              <w:rPr>
                <w:rFonts w:ascii="Calibri" w:eastAsia="Calibri" w:hAnsi="Calibri" w:cs="Calibri"/>
                <w:sz w:val="24"/>
                <w:szCs w:val="24"/>
                <w:lang w:val="id-ID"/>
              </w:rPr>
              <w:t>70.0%</w:t>
            </w:r>
          </w:p>
        </w:tc>
        <w:tc>
          <w:tcPr>
            <w:tcW w:w="1806" w:type="dxa"/>
            <w:tcBorders>
              <w:top w:val="nil"/>
              <w:left w:val="nil"/>
              <w:bottom w:val="nil"/>
              <w:right w:val="nil"/>
            </w:tcBorders>
            <w:tcMar>
              <w:top w:w="80" w:type="dxa"/>
              <w:left w:w="100" w:type="dxa"/>
              <w:bottom w:w="80" w:type="dxa"/>
              <w:right w:w="100" w:type="dxa"/>
            </w:tcMar>
            <w:vAlign w:val="center"/>
          </w:tcPr>
          <w:p w14:paraId="1CEDB260" w14:textId="77777777" w:rsidR="00015DBE" w:rsidRPr="005E0481" w:rsidRDefault="00E43BD1">
            <w:pPr>
              <w:jc w:val="center"/>
              <w:rPr>
                <w:lang w:val="id-ID"/>
              </w:rPr>
            </w:pPr>
            <w:r w:rsidRPr="005E0481">
              <w:rPr>
                <w:rFonts w:ascii="Calibri" w:eastAsia="Calibri" w:hAnsi="Calibri" w:cs="Calibri"/>
                <w:sz w:val="24"/>
                <w:szCs w:val="24"/>
                <w:lang w:val="id-ID"/>
              </w:rPr>
              <w:t>Good</w:t>
            </w:r>
          </w:p>
        </w:tc>
      </w:tr>
      <w:tr w:rsidR="00015DBE" w:rsidRPr="005E0481" w14:paraId="2B7E2AB4" w14:textId="77777777">
        <w:tblPrEx>
          <w:tblCellMar>
            <w:top w:w="0" w:type="dxa"/>
            <w:bottom w:w="0" w:type="dxa"/>
          </w:tblCellMar>
        </w:tblPrEx>
        <w:tc>
          <w:tcPr>
            <w:tcW w:w="620" w:type="dxa"/>
            <w:tcBorders>
              <w:top w:val="nil"/>
              <w:left w:val="nil"/>
              <w:bottom w:val="single" w:sz="6" w:space="0" w:color="000000"/>
              <w:right w:val="nil"/>
            </w:tcBorders>
            <w:tcMar>
              <w:top w:w="80" w:type="dxa"/>
              <w:left w:w="100" w:type="dxa"/>
              <w:bottom w:w="80" w:type="dxa"/>
              <w:right w:w="100" w:type="dxa"/>
            </w:tcMar>
            <w:vAlign w:val="center"/>
          </w:tcPr>
          <w:p w14:paraId="79CA33AB" w14:textId="77777777" w:rsidR="00015DBE" w:rsidRPr="005E0481" w:rsidRDefault="00015DBE">
            <w:pPr>
              <w:jc w:val="center"/>
              <w:rPr>
                <w:lang w:val="id-ID"/>
              </w:rPr>
            </w:pPr>
          </w:p>
        </w:tc>
        <w:tc>
          <w:tcPr>
            <w:tcW w:w="4080" w:type="dxa"/>
            <w:tcBorders>
              <w:top w:val="nil"/>
              <w:left w:val="nil"/>
              <w:bottom w:val="single" w:sz="6" w:space="0" w:color="000000"/>
              <w:right w:val="nil"/>
            </w:tcBorders>
            <w:tcMar>
              <w:top w:w="80" w:type="dxa"/>
              <w:left w:w="100" w:type="dxa"/>
              <w:bottom w:w="80" w:type="dxa"/>
              <w:right w:w="100" w:type="dxa"/>
            </w:tcMar>
            <w:vAlign w:val="center"/>
          </w:tcPr>
          <w:p w14:paraId="5D2D1005" w14:textId="77777777" w:rsidR="00015DBE" w:rsidRPr="005E0481" w:rsidRDefault="00E43BD1">
            <w:pPr>
              <w:rPr>
                <w:lang w:val="id-ID"/>
              </w:rPr>
            </w:pPr>
            <w:r w:rsidRPr="005E0481">
              <w:rPr>
                <w:rFonts w:ascii="Calibri" w:eastAsia="Calibri" w:hAnsi="Calibri" w:cs="Calibri"/>
                <w:sz w:val="24"/>
                <w:szCs w:val="24"/>
                <w:lang w:val="id-ID"/>
              </w:rPr>
              <w:t>Overall mean</w:t>
            </w:r>
          </w:p>
        </w:tc>
        <w:tc>
          <w:tcPr>
            <w:tcW w:w="1200" w:type="dxa"/>
            <w:tcBorders>
              <w:top w:val="nil"/>
              <w:left w:val="nil"/>
              <w:bottom w:val="single" w:sz="6" w:space="0" w:color="000000"/>
              <w:right w:val="nil"/>
            </w:tcBorders>
            <w:tcMar>
              <w:top w:w="80" w:type="dxa"/>
              <w:left w:w="100" w:type="dxa"/>
              <w:bottom w:w="80" w:type="dxa"/>
              <w:right w:w="100" w:type="dxa"/>
            </w:tcMar>
            <w:vAlign w:val="center"/>
          </w:tcPr>
          <w:p w14:paraId="24CC750C" w14:textId="77777777" w:rsidR="00015DBE" w:rsidRPr="005E0481" w:rsidRDefault="00E43BD1">
            <w:pPr>
              <w:jc w:val="center"/>
              <w:rPr>
                <w:lang w:val="id-ID"/>
              </w:rPr>
            </w:pPr>
            <w:r w:rsidRPr="005E0481">
              <w:rPr>
                <w:rFonts w:ascii="Calibri" w:eastAsia="Calibri" w:hAnsi="Calibri" w:cs="Calibri"/>
                <w:sz w:val="24"/>
                <w:szCs w:val="24"/>
                <w:lang w:val="id-ID"/>
              </w:rPr>
              <w:t>2.24</w:t>
            </w:r>
          </w:p>
        </w:tc>
        <w:tc>
          <w:tcPr>
            <w:tcW w:w="1700" w:type="dxa"/>
            <w:tcBorders>
              <w:top w:val="nil"/>
              <w:left w:val="nil"/>
              <w:bottom w:val="single" w:sz="6" w:space="0" w:color="000000"/>
              <w:right w:val="nil"/>
            </w:tcBorders>
            <w:tcMar>
              <w:top w:w="80" w:type="dxa"/>
              <w:left w:w="100" w:type="dxa"/>
              <w:bottom w:w="80" w:type="dxa"/>
              <w:right w:w="100" w:type="dxa"/>
            </w:tcMar>
            <w:vAlign w:val="center"/>
          </w:tcPr>
          <w:p w14:paraId="52B3100B" w14:textId="77777777" w:rsidR="00015DBE" w:rsidRPr="005E0481" w:rsidRDefault="00E43BD1">
            <w:pPr>
              <w:jc w:val="center"/>
              <w:rPr>
                <w:lang w:val="id-ID"/>
              </w:rPr>
            </w:pPr>
            <w:r w:rsidRPr="005E0481">
              <w:rPr>
                <w:rFonts w:ascii="Calibri" w:eastAsia="Calibri" w:hAnsi="Calibri" w:cs="Calibri"/>
                <w:sz w:val="24"/>
                <w:szCs w:val="24"/>
                <w:lang w:val="id-ID"/>
              </w:rPr>
              <w:t>56.1%</w:t>
            </w:r>
          </w:p>
        </w:tc>
        <w:tc>
          <w:tcPr>
            <w:tcW w:w="1806" w:type="dxa"/>
            <w:tcBorders>
              <w:top w:val="nil"/>
              <w:left w:val="nil"/>
              <w:bottom w:val="single" w:sz="6" w:space="0" w:color="000000"/>
              <w:right w:val="nil"/>
            </w:tcBorders>
            <w:tcMar>
              <w:top w:w="80" w:type="dxa"/>
              <w:left w:w="100" w:type="dxa"/>
              <w:bottom w:w="80" w:type="dxa"/>
              <w:right w:w="100" w:type="dxa"/>
            </w:tcMar>
            <w:vAlign w:val="center"/>
          </w:tcPr>
          <w:p w14:paraId="3A7B6929" w14:textId="77777777" w:rsidR="00015DBE" w:rsidRPr="005E0481" w:rsidRDefault="00E43BD1">
            <w:pPr>
              <w:jc w:val="center"/>
              <w:rPr>
                <w:lang w:val="id-ID"/>
              </w:rPr>
            </w:pPr>
            <w:r w:rsidRPr="005E0481">
              <w:rPr>
                <w:rFonts w:ascii="Calibri" w:eastAsia="Calibri" w:hAnsi="Calibri" w:cs="Calibri"/>
                <w:sz w:val="24"/>
                <w:szCs w:val="24"/>
                <w:lang w:val="id-ID"/>
              </w:rPr>
              <w:t>Fair</w:t>
            </w:r>
          </w:p>
        </w:tc>
      </w:tr>
    </w:tbl>
    <w:p w14:paraId="223908F2" w14:textId="77777777" w:rsidR="00015DBE" w:rsidRPr="005E0481" w:rsidRDefault="00015DBE">
      <w:pPr>
        <w:spacing w:before="100"/>
        <w:rPr>
          <w:lang w:val="id-ID"/>
        </w:rPr>
      </w:pPr>
    </w:p>
    <w:p w14:paraId="0118DF52"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Based on Table 4, the statement items with the highest percentages were item 1 (keeping the laboratory clean and tidy, 65.8%), item 10 (wearing a laboratory coat, 70.0%), item 14 (returning equipment to its place, 68.3%), and item 15 (washing hands after practicum, 70.0%), all of which fall into the “Good” category. Conversely, the statement items with the lowest percentages were item 3 (actions if chemicals spill or splash, 42.5%) and item 6 (use of fire-extinguishing sand, 47.5%), both of which lie at the</w:t>
      </w:r>
      <w:r w:rsidRPr="005E0481">
        <w:rPr>
          <w:rFonts w:ascii="Calibri" w:eastAsia="Calibri" w:hAnsi="Calibri" w:cs="Calibri"/>
          <w:sz w:val="24"/>
          <w:szCs w:val="24"/>
          <w:lang w:val="id-ID"/>
        </w:rPr>
        <w:t xml:space="preserve"> lower boundary of the “Fair” category.</w:t>
      </w:r>
    </w:p>
    <w:p w14:paraId="323BF121"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This item-level pattern confirms that items related to everyday habits (cleanliness and handwashing) obtained higher scores than items concerning technical procedures (use of fire extinguishers, sand, fire blankets, and evacuation routes). This finding is consistent with the study by Caymaz (2021), which states that secondary school students generally possess general safety knowledge but experience deficiencies in specific and procedural OHS aspects.</w:t>
      </w:r>
    </w:p>
    <w:p w14:paraId="409E5C80"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The dominance of the “Fair” category (73%) requires an analysis of its contributing factors. Within the SMPIT curriculum structure, the dense academic and religious workload may limit the time allocated for comprehensive safety instruction and laboratory orientation prior to practicum (Famsah et al., 2025). This condition is presumed to cause in-depth explanations of chemical risks or emergency-handling simulations to often be cut short by time constraints. It should be noted that this presumption is infere</w:t>
      </w:r>
      <w:r w:rsidRPr="005E0481">
        <w:rPr>
          <w:rFonts w:ascii="Calibri" w:eastAsia="Calibri" w:hAnsi="Calibri" w:cs="Calibri"/>
          <w:sz w:val="24"/>
          <w:szCs w:val="24"/>
          <w:lang w:val="id-ID"/>
        </w:rPr>
        <w:t>ntial in nature, as the study was not supported by interview or direct observation data that could confirm such a mechanism.</w:t>
      </w:r>
    </w:p>
    <w:p w14:paraId="164F73DB"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The results for items 1 and 15, which fall into the “Good” category, are likely related to the habituation of cleanliness values within the context of Islamic education, in which cleanliness forms part of students’ daily conduct (Daryanto et al., 2025). However, success in this habitual aspect does not necessarily reflect comprehensive OHS understanding, as evidenced by the low scores on the technical items. Meanwhile, the result for item 10 (laboratory coat, 70.0%) indicates that compliance with formal pra</w:t>
      </w:r>
      <w:r w:rsidRPr="005E0481">
        <w:rPr>
          <w:rFonts w:ascii="Calibri" w:eastAsia="Calibri" w:hAnsi="Calibri" w:cs="Calibri"/>
          <w:sz w:val="24"/>
          <w:szCs w:val="24"/>
          <w:lang w:val="id-ID"/>
        </w:rPr>
        <w:t>cticum rules is fairly good, although understanding of the protective function of laboratory coats against corrosive chemical exposure needs to be further strengthened.</w:t>
      </w:r>
    </w:p>
    <w:p w14:paraId="011C5029"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The results for item 5 (fire extinguisher, 55.8%), item 8 (evacuation route, 54.2%), and item 9 (first-aid kit, 50.8%), which lie at the midpoint of the “Fair” category, indicate that students’ knowledge of emergency handling remains theoretical and lacks adequate simulation experience. This is reinforced by the study of Dewanto (2018), which emphasizes the importance of direct experience in building self-efficacy in the context of technical procedures.</w:t>
      </w:r>
    </w:p>
    <w:p w14:paraId="363BDFD4"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Students’ inability to recognize the actions required when chemicals spill or splash (item 3, 42.5%) represents a particular challenge. As stated by Permana (2022), many junior secondary school students experience misconceptions in identifying hazard signs, causing them to underestimate the potential risks of substances that do not appear visually hazardous.</w:t>
      </w:r>
    </w:p>
    <w:p w14:paraId="3206A4EE"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Data collection was conducted online with unrestricted completion time and without direct supervision. This condition opens the possibility of perception bias, in which students tend to provide answers they consider correct or expected rather than answers based on actual experience (Iskandar et al., 2023). This may lead to an overly favorable assessment of students’ level of understanding and safety behavior. The finding showing a dominance of the “Fair” category should therefore be interpreted with caution</w:t>
      </w:r>
      <w:r w:rsidRPr="005E0481">
        <w:rPr>
          <w:rFonts w:ascii="Calibri" w:eastAsia="Calibri" w:hAnsi="Calibri" w:cs="Calibri"/>
          <w:sz w:val="24"/>
          <w:szCs w:val="24"/>
          <w:lang w:val="id-ID"/>
        </w:rPr>
        <w:t>, since actual field conditions may in fact be at a lower level. Consequently, triangulation methods, such as direct observation and practicum simulation, are needed to obtain a more valid and comprehensive picture.</w:t>
      </w:r>
    </w:p>
    <w:p w14:paraId="43F20664"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The finding that 73% of students fall into the “Fair” category, with an overall mean of 56.1%, carries significant practical implications. First, structured safety instruction should be provided before each practicum session, including a direct introduction to the function of safety equipment. Second, schools are advised to schedule periodic simulations of fire extinguisher use and evacuation routes so that technical knowledge is not merely memorized. Third, the installation of OHS posters on laboratory wal</w:t>
      </w:r>
      <w:r w:rsidRPr="005E0481">
        <w:rPr>
          <w:rFonts w:ascii="Calibri" w:eastAsia="Calibri" w:hAnsi="Calibri" w:cs="Calibri"/>
          <w:sz w:val="24"/>
          <w:szCs w:val="24"/>
          <w:lang w:val="id-ID"/>
        </w:rPr>
        <w:t>ls can serve as an effective reminder medium for students. Fourth, demonstrations of first-aid procedures and chemical-spill handling techniques should be integrated into pre-practicum activities. Fifth, the laboratory OHS module needs to be explicitly integrated into science learning as an assessed competency, rather than merely an additional rule.</w:t>
      </w:r>
    </w:p>
    <w:p w14:paraId="36EC128E" w14:textId="77777777" w:rsidR="00015DBE" w:rsidRPr="005E0481" w:rsidRDefault="00E43BD1">
      <w:pPr>
        <w:spacing w:before="280" w:after="160" w:line="276" w:lineRule="auto"/>
        <w:rPr>
          <w:lang w:val="id-ID"/>
        </w:rPr>
      </w:pPr>
      <w:r w:rsidRPr="005E0481">
        <w:rPr>
          <w:rFonts w:ascii="Calibri" w:eastAsia="Calibri" w:hAnsi="Calibri" w:cs="Calibri"/>
          <w:b/>
          <w:bCs/>
          <w:sz w:val="24"/>
          <w:szCs w:val="24"/>
          <w:lang w:val="id-ID"/>
        </w:rPr>
        <w:t>CONCLUSION</w:t>
      </w:r>
    </w:p>
    <w:p w14:paraId="19909E77" w14:textId="77777777" w:rsidR="00015DBE" w:rsidRPr="005E0481" w:rsidRDefault="00E43BD1">
      <w:pPr>
        <w:spacing w:line="276" w:lineRule="auto"/>
        <w:ind w:firstLine="480"/>
        <w:jc w:val="both"/>
        <w:rPr>
          <w:lang w:val="id-ID"/>
        </w:rPr>
      </w:pPr>
      <w:r w:rsidRPr="005E0481">
        <w:rPr>
          <w:rFonts w:ascii="Calibri" w:eastAsia="Calibri" w:hAnsi="Calibri" w:cs="Calibri"/>
          <w:sz w:val="24"/>
          <w:szCs w:val="24"/>
          <w:lang w:val="id-ID"/>
        </w:rPr>
        <w:t>The results of this study show that the level of understanding of OHS procedures and the implementation of laboratory safety behavior among SMPIT Izzatul Islam students remains within the “Fair” category, with a dominance of 73% and an overall mean percentage of 56.1%. This condition indicates that students already possess basic knowledge of, and compliance with, the rules, but have not yet achieved a deep and consistent understanding, particularly in the technical aspects of OHS. Statement items related to</w:t>
      </w:r>
      <w:r w:rsidRPr="005E0481">
        <w:rPr>
          <w:rFonts w:ascii="Calibri" w:eastAsia="Calibri" w:hAnsi="Calibri" w:cs="Calibri"/>
          <w:sz w:val="24"/>
          <w:szCs w:val="24"/>
          <w:lang w:val="id-ID"/>
        </w:rPr>
        <w:t xml:space="preserve"> daily habits (laboratory cleanliness and handwashing) obtained higher scores (the “Good” category) compared to items of a technical and procedural nature, such as the use of fire extinguishers, evacuation routes, and chemical-spill handling (which remained at the lower boundary of the “Fair” category). This reflects that students’ understanding remains at a basic level and has not yet achieved consistency in the technical aspects of laboratory safety. The presence of 17% of students in the “Very Good” cate</w:t>
      </w:r>
      <w:r w:rsidRPr="005E0481">
        <w:rPr>
          <w:rFonts w:ascii="Calibri" w:eastAsia="Calibri" w:hAnsi="Calibri" w:cs="Calibri"/>
          <w:sz w:val="24"/>
          <w:szCs w:val="24"/>
          <w:lang w:val="id-ID"/>
        </w:rPr>
        <w:t>gory indicates the existence of strong potential, although it has not been sufficient to raise the collective achievement, while the continued presence of the “Poor” category (3%) signifies that the minimum standard has not yet been evenly met. Based on these findings, it is recommended that schools implement: (1) routine OHS training prior to practicum; (2) periodic emergency simulations (fire and evacuation); (3) verification of OHS understanding before students are permitted to begin practicum; and (4) i</w:t>
      </w:r>
      <w:r w:rsidRPr="005E0481">
        <w:rPr>
          <w:rFonts w:ascii="Calibri" w:eastAsia="Calibri" w:hAnsi="Calibri" w:cs="Calibri"/>
          <w:sz w:val="24"/>
          <w:szCs w:val="24"/>
          <w:lang w:val="id-ID"/>
        </w:rPr>
        <w:t>ntegration of the OHS module into science learning as a formally assessed competency.</w:t>
      </w:r>
    </w:p>
    <w:p w14:paraId="5C1BFCA4" w14:textId="77777777" w:rsidR="00015DBE" w:rsidRPr="005E0481" w:rsidRDefault="00E43BD1">
      <w:pPr>
        <w:spacing w:before="280" w:after="160" w:line="276" w:lineRule="auto"/>
        <w:rPr>
          <w:lang w:val="id-ID"/>
        </w:rPr>
      </w:pPr>
      <w:r w:rsidRPr="005E0481">
        <w:rPr>
          <w:rFonts w:ascii="Calibri" w:eastAsia="Calibri" w:hAnsi="Calibri" w:cs="Calibri"/>
          <w:b/>
          <w:bCs/>
          <w:sz w:val="24"/>
          <w:szCs w:val="24"/>
          <w:lang w:val="id-ID"/>
        </w:rPr>
        <w:t>REFERENCES</w:t>
      </w:r>
    </w:p>
    <w:p w14:paraId="38B80F5F"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Akpullukcu, S., &amp; Cavas, B. (2017). The development of laboratory safety questionnaire for middle school science teachers. </w:t>
      </w:r>
      <w:r w:rsidRPr="005E0481">
        <w:rPr>
          <w:rFonts w:ascii="Calibri" w:eastAsia="Calibri" w:hAnsi="Calibri" w:cs="Calibri"/>
          <w:i/>
          <w:iCs/>
          <w:sz w:val="24"/>
          <w:szCs w:val="24"/>
          <w:lang w:val="id-ID"/>
        </w:rPr>
        <w:t>Science Education International</w:t>
      </w:r>
      <w:r w:rsidRPr="005E0481">
        <w:rPr>
          <w:rFonts w:ascii="Calibri" w:eastAsia="Calibri" w:hAnsi="Calibri" w:cs="Calibri"/>
          <w:sz w:val="24"/>
          <w:szCs w:val="24"/>
          <w:lang w:val="id-ID"/>
        </w:rPr>
        <w:t>, 28(3), 224–233.</w:t>
      </w:r>
    </w:p>
    <w:p w14:paraId="083289A7"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Caymaz, B. (2021). Secondary school students’ knowledge and views on laboratory safety. </w:t>
      </w:r>
      <w:r w:rsidRPr="005E0481">
        <w:rPr>
          <w:rFonts w:ascii="Calibri" w:eastAsia="Calibri" w:hAnsi="Calibri" w:cs="Calibri"/>
          <w:i/>
          <w:iCs/>
          <w:sz w:val="24"/>
          <w:szCs w:val="24"/>
          <w:lang w:val="id-ID"/>
        </w:rPr>
        <w:t>Journal of Science Learning</w:t>
      </w:r>
      <w:r w:rsidRPr="005E0481">
        <w:rPr>
          <w:rFonts w:ascii="Calibri" w:eastAsia="Calibri" w:hAnsi="Calibri" w:cs="Calibri"/>
          <w:sz w:val="24"/>
          <w:szCs w:val="24"/>
          <w:lang w:val="id-ID"/>
        </w:rPr>
        <w:t>, 4(3), 220–229.</w:t>
      </w:r>
    </w:p>
    <w:p w14:paraId="15D792DA"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Daryanto, D., Handayani, R. T., Fatimah, A. N., &amp; Aminudin, M. F. (2025). Kebersihan bagian dari iman: Persepsi siswa tentang pengetahuan kesehatan PHBS di Madrasah Ibtidaiyah. </w:t>
      </w:r>
      <w:r w:rsidRPr="005E0481">
        <w:rPr>
          <w:rFonts w:ascii="Calibri" w:eastAsia="Calibri" w:hAnsi="Calibri" w:cs="Calibri"/>
          <w:i/>
          <w:iCs/>
          <w:sz w:val="24"/>
          <w:szCs w:val="24"/>
          <w:lang w:val="id-ID"/>
        </w:rPr>
        <w:t>Jurnal Tawadhu</w:t>
      </w:r>
      <w:r w:rsidRPr="005E0481">
        <w:rPr>
          <w:rFonts w:ascii="Calibri" w:eastAsia="Calibri" w:hAnsi="Calibri" w:cs="Calibri"/>
          <w:sz w:val="24"/>
          <w:szCs w:val="24"/>
          <w:lang w:val="id-ID"/>
        </w:rPr>
        <w:t>, 9(1), 117–128.</w:t>
      </w:r>
    </w:p>
    <w:p w14:paraId="0A297E1B"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Dewanto, A. C. (2018). Efektivitas PPL untuk meningkatkan efikasi diri mengajar pada mahasiswa pendidikan matematika. </w:t>
      </w:r>
      <w:r w:rsidRPr="005E0481">
        <w:rPr>
          <w:rFonts w:ascii="Calibri" w:eastAsia="Calibri" w:hAnsi="Calibri" w:cs="Calibri"/>
          <w:i/>
          <w:iCs/>
          <w:sz w:val="24"/>
          <w:szCs w:val="24"/>
          <w:lang w:val="id-ID"/>
        </w:rPr>
        <w:t>Delta: Jurnal Ilmiah Pendidikan Matematika</w:t>
      </w:r>
      <w:r w:rsidRPr="005E0481">
        <w:rPr>
          <w:rFonts w:ascii="Calibri" w:eastAsia="Calibri" w:hAnsi="Calibri" w:cs="Calibri"/>
          <w:sz w:val="24"/>
          <w:szCs w:val="24"/>
          <w:lang w:val="id-ID"/>
        </w:rPr>
        <w:t>, 6(1), 1–9.</w:t>
      </w:r>
    </w:p>
    <w:p w14:paraId="74D77B2B"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Famsah, S., Fatmawati, L., Dhohirrobbi, A., &amp; Putra, M. R. N. (2025). Implementasi kurikulum sekolah Islam terpadu dalam mata pelajaran Pendidikan Agama Islam di SMPIT Al-Uswah Bangil. </w:t>
      </w:r>
      <w:r w:rsidRPr="005E0481">
        <w:rPr>
          <w:rFonts w:ascii="Calibri" w:eastAsia="Calibri" w:hAnsi="Calibri" w:cs="Calibri"/>
          <w:i/>
          <w:iCs/>
          <w:sz w:val="24"/>
          <w:szCs w:val="24"/>
          <w:lang w:val="id-ID"/>
        </w:rPr>
        <w:t>Jurnal Tinta</w:t>
      </w:r>
      <w:r w:rsidRPr="005E0481">
        <w:rPr>
          <w:rFonts w:ascii="Calibri" w:eastAsia="Calibri" w:hAnsi="Calibri" w:cs="Calibri"/>
          <w:sz w:val="24"/>
          <w:szCs w:val="24"/>
          <w:lang w:val="id-ID"/>
        </w:rPr>
        <w:t>, 7(1), 13–21.</w:t>
      </w:r>
    </w:p>
    <w:p w14:paraId="099D04A7"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Ihsanudin, N., &amp; Soleh, N. (2023). Integrasi sains dan Islam pada sekolah Islam terpadu di Indonesia. </w:t>
      </w:r>
      <w:r w:rsidRPr="005E0481">
        <w:rPr>
          <w:rFonts w:ascii="Calibri" w:eastAsia="Calibri" w:hAnsi="Calibri" w:cs="Calibri"/>
          <w:i/>
          <w:iCs/>
          <w:sz w:val="24"/>
          <w:szCs w:val="24"/>
          <w:lang w:val="id-ID"/>
        </w:rPr>
        <w:t>Al-Ihda’: Jurnal Pendidikan dan Pemikiran</w:t>
      </w:r>
      <w:r w:rsidRPr="005E0481">
        <w:rPr>
          <w:rFonts w:ascii="Calibri" w:eastAsia="Calibri" w:hAnsi="Calibri" w:cs="Calibri"/>
          <w:sz w:val="24"/>
          <w:szCs w:val="24"/>
          <w:lang w:val="id-ID"/>
        </w:rPr>
        <w:t>, 18(1), 850–865.</w:t>
      </w:r>
    </w:p>
    <w:p w14:paraId="67C84106"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Iskandar, A., Fitriani, R., Ida, N., &amp; Sitompul, P. H. S. (2023). </w:t>
      </w:r>
      <w:r w:rsidRPr="005E0481">
        <w:rPr>
          <w:rFonts w:ascii="Calibri" w:eastAsia="Calibri" w:hAnsi="Calibri" w:cs="Calibri"/>
          <w:i/>
          <w:iCs/>
          <w:sz w:val="24"/>
          <w:szCs w:val="24"/>
          <w:lang w:val="id-ID"/>
        </w:rPr>
        <w:t>Dasar metode penelitian.</w:t>
      </w:r>
      <w:r w:rsidRPr="005E0481">
        <w:rPr>
          <w:rFonts w:ascii="Calibri" w:eastAsia="Calibri" w:hAnsi="Calibri" w:cs="Calibri"/>
          <w:sz w:val="24"/>
          <w:szCs w:val="24"/>
          <w:lang w:val="id-ID"/>
        </w:rPr>
        <w:t xml:space="preserve"> Yayasan Cendekiawan Inovasi Digital Indonesia.</w:t>
      </w:r>
    </w:p>
    <w:p w14:paraId="08737287"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Jafar, F. I., Rianto, M. R., Ginting, E. S. B., Yusaerah, N., &amp; Ubaedillah, M. I. (2025). </w:t>
      </w:r>
      <w:r w:rsidRPr="005E0481">
        <w:rPr>
          <w:rFonts w:ascii="Calibri" w:eastAsia="Calibri" w:hAnsi="Calibri" w:cs="Calibri"/>
          <w:i/>
          <w:iCs/>
          <w:sz w:val="24"/>
          <w:szCs w:val="24"/>
          <w:lang w:val="id-ID"/>
        </w:rPr>
        <w:t>Keselamatan dan kesehatan kerja di laboratorium.</w:t>
      </w:r>
      <w:r w:rsidRPr="005E0481">
        <w:rPr>
          <w:rFonts w:ascii="Calibri" w:eastAsia="Calibri" w:hAnsi="Calibri" w:cs="Calibri"/>
          <w:sz w:val="24"/>
          <w:szCs w:val="24"/>
          <w:lang w:val="id-ID"/>
        </w:rPr>
        <w:t xml:space="preserve"> Padang: CV GET PRESS INDONESIA.</w:t>
      </w:r>
    </w:p>
    <w:p w14:paraId="4FFD555F"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Kisno, Siregar, V. M. M., Sugara, H., &amp; Purba, A. T. (2022). Edukasi keselamatan. </w:t>
      </w:r>
      <w:r w:rsidRPr="005E0481">
        <w:rPr>
          <w:rFonts w:ascii="Calibri" w:eastAsia="Calibri" w:hAnsi="Calibri" w:cs="Calibri"/>
          <w:i/>
          <w:iCs/>
          <w:sz w:val="24"/>
          <w:szCs w:val="24"/>
          <w:lang w:val="id-ID"/>
        </w:rPr>
        <w:t>Jurnal Abdi Insani</w:t>
      </w:r>
      <w:r w:rsidRPr="005E0481">
        <w:rPr>
          <w:rFonts w:ascii="Calibri" w:eastAsia="Calibri" w:hAnsi="Calibri" w:cs="Calibri"/>
          <w:sz w:val="24"/>
          <w:szCs w:val="24"/>
          <w:lang w:val="id-ID"/>
        </w:rPr>
        <w:t>, 9(2), 448–459.</w:t>
      </w:r>
    </w:p>
    <w:p w14:paraId="44C0FD6C"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Mubarak, H., Fajriah, I., Syafitri, N. M., Aminuddin, A., Sofyan, Y. F. F., Yunus, A. T., &amp; Bora, M. A. (2025). </w:t>
      </w:r>
      <w:r w:rsidRPr="005E0481">
        <w:rPr>
          <w:rFonts w:ascii="Calibri" w:eastAsia="Calibri" w:hAnsi="Calibri" w:cs="Calibri"/>
          <w:i/>
          <w:iCs/>
          <w:sz w:val="24"/>
          <w:szCs w:val="24"/>
          <w:lang w:val="id-ID"/>
        </w:rPr>
        <w:t>Keselamatan dan kesehatan kerja (K3) dalam konstruksi.</w:t>
      </w:r>
      <w:r w:rsidRPr="005E0481">
        <w:rPr>
          <w:rFonts w:ascii="Calibri" w:eastAsia="Calibri" w:hAnsi="Calibri" w:cs="Calibri"/>
          <w:sz w:val="24"/>
          <w:szCs w:val="24"/>
          <w:lang w:val="id-ID"/>
        </w:rPr>
        <w:t xml:space="preserve"> Agam: Yayasan Tri Edukasi Ilmiah.</w:t>
      </w:r>
    </w:p>
    <w:p w14:paraId="3AC6DEE4"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Permana, A. C. (2022). Pemahaman dan kesadaran keselamatan kerja laboratorium IPA siswa SMP. </w:t>
      </w:r>
      <w:r w:rsidRPr="005E0481">
        <w:rPr>
          <w:rFonts w:ascii="Calibri" w:eastAsia="Calibri" w:hAnsi="Calibri" w:cs="Calibri"/>
          <w:i/>
          <w:iCs/>
          <w:sz w:val="24"/>
          <w:szCs w:val="24"/>
          <w:lang w:val="id-ID"/>
        </w:rPr>
        <w:t>Jurnal Pendidikan Modern</w:t>
      </w:r>
      <w:r w:rsidRPr="005E0481">
        <w:rPr>
          <w:rFonts w:ascii="Calibri" w:eastAsia="Calibri" w:hAnsi="Calibri" w:cs="Calibri"/>
          <w:sz w:val="24"/>
          <w:szCs w:val="24"/>
          <w:lang w:val="id-ID"/>
        </w:rPr>
        <w:t>, 7(3), 87–96.</w:t>
      </w:r>
    </w:p>
    <w:p w14:paraId="7A61B5AE"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Riduwan. (2014). </w:t>
      </w:r>
      <w:r w:rsidRPr="005E0481">
        <w:rPr>
          <w:rFonts w:ascii="Calibri" w:eastAsia="Calibri" w:hAnsi="Calibri" w:cs="Calibri"/>
          <w:i/>
          <w:iCs/>
          <w:sz w:val="24"/>
          <w:szCs w:val="24"/>
          <w:lang w:val="id-ID"/>
        </w:rPr>
        <w:t>Dasar-dasar statistika.</w:t>
      </w:r>
      <w:r w:rsidRPr="005E0481">
        <w:rPr>
          <w:rFonts w:ascii="Calibri" w:eastAsia="Calibri" w:hAnsi="Calibri" w:cs="Calibri"/>
          <w:sz w:val="24"/>
          <w:szCs w:val="24"/>
          <w:lang w:val="id-ID"/>
        </w:rPr>
        <w:t xml:space="preserve"> Bandung: Alfabeta.</w:t>
      </w:r>
    </w:p>
    <w:p w14:paraId="1183C0C9"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Salcha, M. A., Juliani, A., &amp; Pangande, J. M. H. (2022). Kepatuhan penggunaan alat pelindung diri (APD) pada pekerja di Sorowako Sulawesi Selatan. </w:t>
      </w:r>
      <w:r w:rsidRPr="005E0481">
        <w:rPr>
          <w:rFonts w:ascii="Calibri" w:eastAsia="Calibri" w:hAnsi="Calibri" w:cs="Calibri"/>
          <w:i/>
          <w:iCs/>
          <w:sz w:val="24"/>
          <w:szCs w:val="24"/>
          <w:lang w:val="id-ID"/>
        </w:rPr>
        <w:t>PREPOTIF: Jurnal Kesehatan Masyarakat</w:t>
      </w:r>
      <w:r w:rsidRPr="005E0481">
        <w:rPr>
          <w:rFonts w:ascii="Calibri" w:eastAsia="Calibri" w:hAnsi="Calibri" w:cs="Calibri"/>
          <w:sz w:val="24"/>
          <w:szCs w:val="24"/>
          <w:lang w:val="id-ID"/>
        </w:rPr>
        <w:t>, 6(2), 1838–1845.</w:t>
      </w:r>
    </w:p>
    <w:p w14:paraId="06879A24"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Sangi, M. S., &amp; Tanauma, A. (2018). Keselamatan dan keamanan laboratorium IPA. </w:t>
      </w:r>
      <w:r w:rsidRPr="005E0481">
        <w:rPr>
          <w:rFonts w:ascii="Calibri" w:eastAsia="Calibri" w:hAnsi="Calibri" w:cs="Calibri"/>
          <w:i/>
          <w:iCs/>
          <w:sz w:val="24"/>
          <w:szCs w:val="24"/>
          <w:lang w:val="id-ID"/>
        </w:rPr>
        <w:t>Jurnal Mipa</w:t>
      </w:r>
      <w:r w:rsidRPr="005E0481">
        <w:rPr>
          <w:rFonts w:ascii="Calibri" w:eastAsia="Calibri" w:hAnsi="Calibri" w:cs="Calibri"/>
          <w:sz w:val="24"/>
          <w:szCs w:val="24"/>
          <w:lang w:val="id-ID"/>
        </w:rPr>
        <w:t>, 7(1), 20–24.</w:t>
      </w:r>
    </w:p>
    <w:p w14:paraId="1B31169F"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Shana, Z., &amp; Abulibdeh, E. S. (2020). Science lab experiments and their impact on students’ science achievement. </w:t>
      </w:r>
      <w:r w:rsidRPr="005E0481">
        <w:rPr>
          <w:rFonts w:ascii="Calibri" w:eastAsia="Calibri" w:hAnsi="Calibri" w:cs="Calibri"/>
          <w:i/>
          <w:iCs/>
          <w:sz w:val="24"/>
          <w:szCs w:val="24"/>
          <w:lang w:val="id-ID"/>
        </w:rPr>
        <w:t>Journal of Technology and Science Education</w:t>
      </w:r>
      <w:r w:rsidRPr="005E0481">
        <w:rPr>
          <w:rFonts w:ascii="Calibri" w:eastAsia="Calibri" w:hAnsi="Calibri" w:cs="Calibri"/>
          <w:sz w:val="24"/>
          <w:szCs w:val="24"/>
          <w:lang w:val="id-ID"/>
        </w:rPr>
        <w:t>, 10, 199–215.</w:t>
      </w:r>
    </w:p>
    <w:p w14:paraId="453D8670" w14:textId="77777777" w:rsidR="00015DBE" w:rsidRPr="005E0481" w:rsidRDefault="00E43BD1">
      <w:pPr>
        <w:spacing w:after="180" w:line="276" w:lineRule="auto"/>
        <w:rPr>
          <w:lang w:val="id-ID"/>
        </w:rPr>
      </w:pPr>
      <w:r w:rsidRPr="005E0481">
        <w:rPr>
          <w:rFonts w:ascii="Calibri" w:eastAsia="Calibri" w:hAnsi="Calibri" w:cs="Calibri"/>
          <w:sz w:val="24"/>
          <w:szCs w:val="24"/>
          <w:lang w:val="id-ID"/>
        </w:rPr>
        <w:t xml:space="preserve">Simamora, S. S. (2018). Analisis pelaksanaan praktikum biologi kelas VII di SMP Negeri se-Kecamatan Medan Kota. </w:t>
      </w:r>
      <w:r w:rsidRPr="005E0481">
        <w:rPr>
          <w:rFonts w:ascii="Calibri" w:eastAsia="Calibri" w:hAnsi="Calibri" w:cs="Calibri"/>
          <w:i/>
          <w:iCs/>
          <w:sz w:val="24"/>
          <w:szCs w:val="24"/>
          <w:lang w:val="id-ID"/>
        </w:rPr>
        <w:t>Jurnal Eduscience</w:t>
      </w:r>
      <w:r w:rsidRPr="005E0481">
        <w:rPr>
          <w:rFonts w:ascii="Calibri" w:eastAsia="Calibri" w:hAnsi="Calibri" w:cs="Calibri"/>
          <w:sz w:val="24"/>
          <w:szCs w:val="24"/>
          <w:lang w:val="id-ID"/>
        </w:rPr>
        <w:t>, 5(1), 37–46.</w:t>
      </w:r>
    </w:p>
    <w:sectPr w:rsidR="00015DBE" w:rsidRPr="005E0481">
      <w:headerReference w:type="default" r:id="rId7"/>
      <w:footerReference w:type="default" r:id="rId8"/>
      <w:headerReference w:type="first" r:id="rId9"/>
      <w:footerReference w:type="first" r:id="rId10"/>
      <w:pgSz w:w="12242" w:h="15842"/>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6A1C" w14:textId="77777777" w:rsidR="00E43BD1" w:rsidRDefault="00E43BD1">
      <w:r>
        <w:separator/>
      </w:r>
    </w:p>
  </w:endnote>
  <w:endnote w:type="continuationSeparator" w:id="0">
    <w:p w14:paraId="70A1C90F" w14:textId="77777777" w:rsidR="00E43BD1" w:rsidRDefault="00E43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DCCEB" w14:textId="77777777" w:rsidR="00015DBE" w:rsidRDefault="00015DB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8C97" w14:textId="77777777" w:rsidR="00015DBE" w:rsidRDefault="00E43BD1">
    <w:pPr>
      <w:jc w:val="center"/>
    </w:pP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5E0481">
      <w:rPr>
        <w:rFonts w:ascii="Calibri" w:eastAsia="Calibri" w:hAnsi="Calibri" w:cs="Calibri"/>
        <w:noProof/>
        <w:sz w:val="24"/>
        <w:szCs w:val="24"/>
      </w:rPr>
      <w:t>1</w:t>
    </w:r>
    <w:r>
      <w:rPr>
        <w:rFonts w:ascii="Calibri" w:eastAsia="Calibri"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04BB3" w14:textId="77777777" w:rsidR="00E43BD1" w:rsidRDefault="00E43BD1">
      <w:r>
        <w:separator/>
      </w:r>
    </w:p>
  </w:footnote>
  <w:footnote w:type="continuationSeparator" w:id="0">
    <w:p w14:paraId="38F0B49A" w14:textId="77777777" w:rsidR="00E43BD1" w:rsidRDefault="00E43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567F4" w14:textId="77777777" w:rsidR="00015DBE" w:rsidRDefault="00E43BD1">
    <w:pPr>
      <w:tabs>
        <w:tab w:val="right" w:pos="9406"/>
      </w:tabs>
    </w:pP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5E0481">
      <w:rPr>
        <w:rFonts w:ascii="Calibri" w:eastAsia="Calibri" w:hAnsi="Calibri" w:cs="Calibri"/>
        <w:noProof/>
        <w:sz w:val="24"/>
        <w:szCs w:val="24"/>
      </w:rPr>
      <w:t>2</w:t>
    </w:r>
    <w:r>
      <w:rPr>
        <w:rFonts w:ascii="Calibri" w:eastAsia="Calibri" w:hAnsi="Calibri" w:cs="Calibri"/>
        <w:sz w:val="24"/>
        <w:szCs w:val="24"/>
      </w:rPr>
      <w:fldChar w:fldCharType="end"/>
    </w:r>
    <w:r>
      <w:rPr>
        <w:rFonts w:ascii="Calibri" w:eastAsia="Calibri" w:hAnsi="Calibri" w:cs="Calibri"/>
        <w:sz w:val="24"/>
        <w:szCs w:val="24"/>
      </w:rPr>
      <w:tab/>
    </w:r>
    <w:r>
      <w:rPr>
        <w:rFonts w:ascii="Calibri" w:eastAsia="Calibri" w:hAnsi="Calibri" w:cs="Calibri"/>
        <w:b/>
        <w:bCs/>
        <w:i/>
        <w:iCs/>
        <w:sz w:val="24"/>
        <w:szCs w:val="24"/>
      </w:rPr>
      <w:t>Indonesian Science Education Letter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0"/>
      <w:gridCol w:w="7856"/>
    </w:tblGrid>
    <w:tr w:rsidR="00015DBE" w14:paraId="7BDA69A8" w14:textId="77777777">
      <w:tblPrEx>
        <w:tblCellMar>
          <w:top w:w="0" w:type="dxa"/>
          <w:bottom w:w="0" w:type="dxa"/>
        </w:tblCellMar>
      </w:tblPrEx>
      <w:tc>
        <w:tcPr>
          <w:tcW w:w="1500" w:type="dxa"/>
          <w:tcBorders>
            <w:top w:val="nil"/>
            <w:left w:val="nil"/>
            <w:bottom w:val="nil"/>
            <w:right w:val="nil"/>
          </w:tcBorders>
          <w:tcMar>
            <w:top w:w="80" w:type="dxa"/>
            <w:left w:w="100" w:type="dxa"/>
            <w:bottom w:w="80" w:type="dxa"/>
            <w:right w:w="100" w:type="dxa"/>
          </w:tcMar>
          <w:vAlign w:val="center"/>
        </w:tcPr>
        <w:p w14:paraId="6968FF0A" w14:textId="77777777" w:rsidR="00015DBE" w:rsidRDefault="00E43BD1">
          <w:r>
            <w:rPr>
              <w:noProof/>
            </w:rPr>
            <w:drawing>
              <wp:inline distT="0" distB="0" distL="0" distR="0" wp14:anchorId="060E65B4" wp14:editId="7160515A">
                <wp:extent cx="857250"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57250" cy="476250"/>
                        </a:xfrm>
                        <a:prstGeom prst="rect">
                          <a:avLst/>
                        </a:prstGeom>
                      </pic:spPr>
                    </pic:pic>
                  </a:graphicData>
                </a:graphic>
              </wp:inline>
            </w:drawing>
          </w:r>
        </w:p>
      </w:tc>
      <w:tc>
        <w:tcPr>
          <w:tcW w:w="7906" w:type="dxa"/>
          <w:tcBorders>
            <w:top w:val="nil"/>
            <w:left w:val="nil"/>
            <w:bottom w:val="nil"/>
            <w:right w:val="nil"/>
          </w:tcBorders>
          <w:tcMar>
            <w:top w:w="80" w:type="dxa"/>
            <w:left w:w="100" w:type="dxa"/>
            <w:bottom w:w="80" w:type="dxa"/>
            <w:right w:w="100" w:type="dxa"/>
          </w:tcMar>
          <w:vAlign w:val="center"/>
        </w:tcPr>
        <w:p w14:paraId="7C0D016A" w14:textId="77777777" w:rsidR="00015DBE" w:rsidRDefault="00E43BD1">
          <w:pPr>
            <w:tabs>
              <w:tab w:val="right" w:pos="7706"/>
            </w:tabs>
          </w:pPr>
          <w:r>
            <w:rPr>
              <w:rFonts w:ascii="Calibri" w:eastAsia="Calibri" w:hAnsi="Calibri" w:cs="Calibri"/>
              <w:b/>
              <w:bCs/>
              <w:i/>
              <w:iCs/>
              <w:sz w:val="24"/>
              <w:szCs w:val="24"/>
            </w:rPr>
            <w:t>Indonesian Science Education Letter</w:t>
          </w:r>
          <w:r>
            <w:rPr>
              <w:rFonts w:ascii="Calibri" w:eastAsia="Calibri" w:hAnsi="Calibri" w:cs="Calibri"/>
              <w:sz w:val="24"/>
              <w:szCs w:val="24"/>
            </w:rPr>
            <w:tab/>
            <w:t>e-ISSN: XXXX-XXXX</w:t>
          </w:r>
        </w:p>
        <w:p w14:paraId="19FC3719" w14:textId="77777777" w:rsidR="00015DBE" w:rsidRDefault="00E43BD1">
          <w:r>
            <w:rPr>
              <w:rFonts w:ascii="Calibri" w:eastAsia="Calibri" w:hAnsi="Calibri" w:cs="Calibri"/>
              <w:i/>
              <w:iCs/>
              <w:sz w:val="24"/>
              <w:szCs w:val="24"/>
            </w:rPr>
            <w:t>Vol. X No. X, December 20XX, pages: XXX - XXX</w:t>
          </w:r>
        </w:p>
      </w:tc>
    </w:tr>
  </w:tbl>
  <w:p w14:paraId="05145F5A" w14:textId="77777777" w:rsidR="00015DBE" w:rsidRDefault="00015DBE">
    <w:pPr>
      <w:pBdr>
        <w:bottom w:val="single" w:sz="6" w:space="4" w:color="2E7D3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226BA"/>
    <w:multiLevelType w:val="hybridMultilevel"/>
    <w:tmpl w:val="BC4E9374"/>
    <w:lvl w:ilvl="0" w:tplc="6848F586">
      <w:start w:val="1"/>
      <w:numFmt w:val="bullet"/>
      <w:lvlText w:val="●"/>
      <w:lvlJc w:val="left"/>
      <w:pPr>
        <w:ind w:left="720" w:hanging="360"/>
      </w:pPr>
    </w:lvl>
    <w:lvl w:ilvl="1" w:tplc="959E53E6">
      <w:start w:val="1"/>
      <w:numFmt w:val="bullet"/>
      <w:lvlText w:val="○"/>
      <w:lvlJc w:val="left"/>
      <w:pPr>
        <w:ind w:left="1440" w:hanging="360"/>
      </w:pPr>
    </w:lvl>
    <w:lvl w:ilvl="2" w:tplc="006ECBF8">
      <w:start w:val="1"/>
      <w:numFmt w:val="bullet"/>
      <w:lvlText w:val="■"/>
      <w:lvlJc w:val="left"/>
      <w:pPr>
        <w:ind w:left="2160" w:hanging="360"/>
      </w:pPr>
    </w:lvl>
    <w:lvl w:ilvl="3" w:tplc="647E8AD4">
      <w:start w:val="1"/>
      <w:numFmt w:val="bullet"/>
      <w:lvlText w:val="●"/>
      <w:lvlJc w:val="left"/>
      <w:pPr>
        <w:ind w:left="2880" w:hanging="360"/>
      </w:pPr>
    </w:lvl>
    <w:lvl w:ilvl="4" w:tplc="58226482">
      <w:start w:val="1"/>
      <w:numFmt w:val="bullet"/>
      <w:lvlText w:val="○"/>
      <w:lvlJc w:val="left"/>
      <w:pPr>
        <w:ind w:left="3600" w:hanging="360"/>
      </w:pPr>
    </w:lvl>
    <w:lvl w:ilvl="5" w:tplc="49D8399A">
      <w:start w:val="1"/>
      <w:numFmt w:val="bullet"/>
      <w:lvlText w:val="■"/>
      <w:lvlJc w:val="left"/>
      <w:pPr>
        <w:ind w:left="4320" w:hanging="360"/>
      </w:pPr>
    </w:lvl>
    <w:lvl w:ilvl="6" w:tplc="3B86ED4C">
      <w:start w:val="1"/>
      <w:numFmt w:val="bullet"/>
      <w:lvlText w:val="●"/>
      <w:lvlJc w:val="left"/>
      <w:pPr>
        <w:ind w:left="5040" w:hanging="360"/>
      </w:pPr>
    </w:lvl>
    <w:lvl w:ilvl="7" w:tplc="0AE0763E">
      <w:start w:val="1"/>
      <w:numFmt w:val="bullet"/>
      <w:lvlText w:val="●"/>
      <w:lvlJc w:val="left"/>
      <w:pPr>
        <w:ind w:left="5760" w:hanging="360"/>
      </w:pPr>
    </w:lvl>
    <w:lvl w:ilvl="8" w:tplc="9F54F98C">
      <w:start w:val="1"/>
      <w:numFmt w:val="bullet"/>
      <w:lvlText w:val="●"/>
      <w:lvlJc w:val="left"/>
      <w:pPr>
        <w:ind w:left="6480" w:hanging="360"/>
      </w:pPr>
    </w:lvl>
  </w:abstractNum>
  <w:num w:numId="1" w16cid:durableId="6093644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DBE"/>
    <w:rsid w:val="00015DBE"/>
    <w:rsid w:val="001F352C"/>
    <w:rsid w:val="005E0481"/>
    <w:rsid w:val="00E43BD1"/>
  </w:rsids>
  <m:mathPr>
    <m:mathFont m:val="Cambria Math"/>
    <m:brkBin m:val="before"/>
    <m:brkBinSub m:val="--"/>
    <m:smallFrac m:val="0"/>
    <m:dispDef/>
    <m:lMargin m:val="0"/>
    <m:rMargin m:val="0"/>
    <m:defJc m:val="centerGroup"/>
    <m:wrapIndent m:val="1440"/>
    <m:intLim m:val="subSup"/>
    <m:naryLim m:val="undOvr"/>
  </m:mathPr>
  <w:themeFontLang w:val="en-ID"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E1283"/>
  <w15:docId w15:val="{616554F9-A2A8-4E60-9129-8DE1300B7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my-MM"/>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2995</Words>
  <Characters>17078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Nur R</cp:lastModifiedBy>
  <cp:revision>2</cp:revision>
  <dcterms:created xsi:type="dcterms:W3CDTF">2026-08-09T12:31:00Z</dcterms:created>
  <dcterms:modified xsi:type="dcterms:W3CDTF">2026-08-09T12:31:00Z</dcterms:modified>
</cp:coreProperties>
</file>