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106B8413" w14:textId="77777777" w:rsidTr="00C73B50">
        <w:tc>
          <w:tcPr>
            <w:tcW w:w="1175" w:type="dxa"/>
            <w:tcBorders>
              <w:top w:val="single" w:sz="4" w:space="0" w:color="auto"/>
              <w:bottom w:val="single" w:sz="4" w:space="0" w:color="auto"/>
            </w:tcBorders>
          </w:tcPr>
          <w:p w14:paraId="169165ED" w14:textId="77777777" w:rsidR="0048529F" w:rsidRPr="00A90BD0" w:rsidRDefault="00FB104C" w:rsidP="00CA23F5">
            <w:pPr>
              <w:pStyle w:val="BasicParagraph"/>
              <w:spacing w:line="276" w:lineRule="auto"/>
              <w:jc w:val="center"/>
              <w:rPr>
                <w:rFonts w:cs="Times New Roman"/>
                <w:b/>
                <w:bCs/>
              </w:rPr>
            </w:pPr>
            <w:r>
              <w:rPr>
                <w:rFonts w:cs="Times New Roman"/>
                <w:noProof/>
                <w:lang w:val="en-US"/>
              </w:rPr>
              <w:drawing>
                <wp:anchor distT="0" distB="0" distL="114300" distR="114300" simplePos="0" relativeHeight="251662336" behindDoc="0" locked="0" layoutInCell="1" allowOverlap="1" wp14:anchorId="09CC513A" wp14:editId="7E54CD7F">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FFF2FD" w14:textId="18854A80" w:rsidR="00486BDE" w:rsidRPr="00486BDE" w:rsidRDefault="009870CB" w:rsidP="00CA23F5">
            <w:pPr>
              <w:pStyle w:val="BasicParagraph"/>
              <w:spacing w:line="276" w:lineRule="auto"/>
              <w:jc w:val="center"/>
              <w:rPr>
                <w:sz w:val="18"/>
              </w:rPr>
            </w:pPr>
            <w:r>
              <w:rPr>
                <w:sz w:val="18"/>
              </w:rPr>
              <w:t>J</w:t>
            </w:r>
            <w:r w:rsidR="00927F0E">
              <w:rPr>
                <w:sz w:val="18"/>
              </w:rPr>
              <w:t>PE</w:t>
            </w:r>
            <w:r>
              <w:rPr>
                <w:sz w:val="18"/>
              </w:rPr>
              <w:t>S</w:t>
            </w:r>
            <w:r w:rsidR="0091376E">
              <w:rPr>
                <w:sz w:val="18"/>
              </w:rPr>
              <w:t xml:space="preserve"> </w:t>
            </w:r>
            <w:r w:rsidR="00927F0E">
              <w:rPr>
                <w:sz w:val="18"/>
              </w:rPr>
              <w:t>1</w:t>
            </w:r>
            <w:r w:rsidR="00974668">
              <w:rPr>
                <w:sz w:val="18"/>
              </w:rPr>
              <w:t>4</w:t>
            </w:r>
            <w:r w:rsidR="0091376E">
              <w:rPr>
                <w:sz w:val="18"/>
              </w:rPr>
              <w:t xml:space="preserve"> (</w:t>
            </w:r>
            <w:r w:rsidR="00974668">
              <w:rPr>
                <w:sz w:val="18"/>
              </w:rPr>
              <w:t>2</w:t>
            </w:r>
            <w:r w:rsidR="0091376E">
              <w:rPr>
                <w:sz w:val="18"/>
              </w:rPr>
              <w:t>) (20</w:t>
            </w:r>
            <w:r w:rsidR="00927F0E">
              <w:rPr>
                <w:sz w:val="18"/>
              </w:rPr>
              <w:t>2</w:t>
            </w:r>
            <w:r w:rsidR="00974668">
              <w:rPr>
                <w:sz w:val="18"/>
              </w:rPr>
              <w:t>5</w:t>
            </w:r>
            <w:r w:rsidR="00486BDE" w:rsidRPr="00486BDE">
              <w:rPr>
                <w:sz w:val="18"/>
              </w:rPr>
              <w:t>)</w:t>
            </w:r>
          </w:p>
          <w:p w14:paraId="1019AF1A" w14:textId="77777777" w:rsidR="004A1CE9" w:rsidRPr="00A90BD0" w:rsidRDefault="004A1CE9" w:rsidP="00CA23F5">
            <w:pPr>
              <w:pStyle w:val="BasicParagraph"/>
              <w:spacing w:line="276" w:lineRule="auto"/>
              <w:jc w:val="center"/>
              <w:rPr>
                <w:rFonts w:cs="Times New Roman"/>
                <w:b/>
                <w:bCs/>
                <w:sz w:val="24"/>
                <w:szCs w:val="28"/>
              </w:rPr>
            </w:pPr>
          </w:p>
          <w:p w14:paraId="23515E15" w14:textId="77777777" w:rsidR="00927F0E" w:rsidRPr="00E62C62" w:rsidRDefault="00927F0E" w:rsidP="00CA23F5">
            <w:pPr>
              <w:pStyle w:val="BasicParagraph"/>
              <w:tabs>
                <w:tab w:val="left" w:pos="3261"/>
              </w:tabs>
              <w:spacing w:line="276" w:lineRule="auto"/>
              <w:jc w:val="center"/>
              <w:rPr>
                <w:b/>
                <w:bCs/>
                <w:sz w:val="28"/>
                <w:szCs w:val="28"/>
              </w:rPr>
            </w:pPr>
            <w:r w:rsidRPr="00E62C62">
              <w:rPr>
                <w:b/>
                <w:bCs/>
                <w:sz w:val="28"/>
                <w:szCs w:val="28"/>
              </w:rPr>
              <w:t>Journal of Physical Education and Sports</w:t>
            </w:r>
          </w:p>
          <w:p w14:paraId="12782AA9" w14:textId="77777777" w:rsidR="00157563" w:rsidRDefault="00157563" w:rsidP="00CA23F5">
            <w:pPr>
              <w:pStyle w:val="BasicParagraph"/>
              <w:spacing w:line="276" w:lineRule="auto"/>
              <w:jc w:val="center"/>
              <w:rPr>
                <w:rFonts w:cs="Times New Roman"/>
                <w:sz w:val="18"/>
                <w:szCs w:val="18"/>
              </w:rPr>
            </w:pPr>
          </w:p>
          <w:p w14:paraId="27094400" w14:textId="0EAE97AF" w:rsidR="0048529F" w:rsidRPr="00B017D2" w:rsidRDefault="00B017D2" w:rsidP="00CA23F5">
            <w:pPr>
              <w:pStyle w:val="BasicParagraph"/>
              <w:spacing w:line="276" w:lineRule="auto"/>
              <w:jc w:val="center"/>
              <w:rPr>
                <w:rFonts w:cs="Times New Roman"/>
                <w:b/>
                <w:bCs/>
                <w:u w:val="single"/>
              </w:rPr>
            </w:pPr>
            <w:r w:rsidRPr="00927F0E">
              <w:rPr>
                <w:u w:color="0000FF"/>
              </w:rPr>
              <w:t>http://journal.unnes.ac.id/sju/index.php/j</w:t>
            </w:r>
            <w:r w:rsidR="00927F0E">
              <w:rPr>
                <w:u w:color="0000FF"/>
              </w:rPr>
              <w:t>pes</w:t>
            </w:r>
          </w:p>
        </w:tc>
        <w:tc>
          <w:tcPr>
            <w:tcW w:w="1447" w:type="dxa"/>
            <w:tcBorders>
              <w:top w:val="single" w:sz="4" w:space="0" w:color="auto"/>
              <w:bottom w:val="single" w:sz="4" w:space="0" w:color="auto"/>
            </w:tcBorders>
          </w:tcPr>
          <w:p w14:paraId="29828D17" w14:textId="30103E79" w:rsidR="0048529F" w:rsidRPr="00A90BD0" w:rsidRDefault="00927F0E" w:rsidP="00CA23F5">
            <w:pPr>
              <w:pStyle w:val="BasicParagraph"/>
              <w:spacing w:line="276" w:lineRule="auto"/>
              <w:jc w:val="center"/>
              <w:rPr>
                <w:rFonts w:cs="Times New Roman"/>
                <w:sz w:val="18"/>
                <w:szCs w:val="18"/>
              </w:rPr>
            </w:pPr>
            <w:r w:rsidRPr="00D10B09">
              <w:rPr>
                <w:noProof/>
                <w:sz w:val="18"/>
                <w:szCs w:val="18"/>
                <w:lang w:val="en-US"/>
              </w:rPr>
              <w:drawing>
                <wp:anchor distT="0" distB="0" distL="114300" distR="114300" simplePos="0" relativeHeight="251664384" behindDoc="0" locked="0" layoutInCell="1" allowOverlap="1" wp14:anchorId="7A396D6A" wp14:editId="4271612A">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A90BD0" w14:paraId="695EE7EA" w14:textId="77777777" w:rsidTr="00C73B50">
        <w:tc>
          <w:tcPr>
            <w:tcW w:w="8905" w:type="dxa"/>
            <w:gridSpan w:val="5"/>
            <w:tcBorders>
              <w:top w:val="single" w:sz="4" w:space="0" w:color="auto"/>
              <w:bottom w:val="single" w:sz="4" w:space="0" w:color="auto"/>
            </w:tcBorders>
          </w:tcPr>
          <w:p w14:paraId="07B682C8" w14:textId="77777777" w:rsidR="0048529F" w:rsidRPr="00A90BD0" w:rsidRDefault="0048529F" w:rsidP="00CA23F5">
            <w:pPr>
              <w:pStyle w:val="Judul"/>
              <w:suppressAutoHyphens/>
              <w:spacing w:line="276" w:lineRule="auto"/>
              <w:rPr>
                <w:rFonts w:ascii="Calisto MT" w:hAnsi="Calisto MT" w:cs="Times New Roman"/>
              </w:rPr>
            </w:pPr>
          </w:p>
          <w:p w14:paraId="3574BE16" w14:textId="22E9B615" w:rsidR="009B24D1" w:rsidRPr="009B24D1" w:rsidRDefault="00C84214" w:rsidP="00CA23F5">
            <w:pPr>
              <w:pStyle w:val="Judul"/>
              <w:suppressAutoHyphens/>
              <w:jc w:val="center"/>
              <w:rPr>
                <w:rFonts w:ascii="Calisto MT" w:hAnsi="Calisto MT" w:cs="Times New Roman"/>
                <w:color w:val="000000" w:themeColor="text1"/>
              </w:rPr>
            </w:pPr>
            <w:r>
              <w:rPr>
                <w:rFonts w:ascii="Calisto MT" w:hAnsi="Calisto MT" w:cs="Times New Roman"/>
                <w:color w:val="000000" w:themeColor="text1"/>
              </w:rPr>
              <w:t>How Concentration Influences Techniqu</w:t>
            </w:r>
            <w:r w:rsidR="00AB2FB4">
              <w:rPr>
                <w:rFonts w:ascii="Calisto MT" w:hAnsi="Calisto MT" w:cs="Times New Roman"/>
                <w:color w:val="000000" w:themeColor="text1"/>
              </w:rPr>
              <w:t xml:space="preserve">e and Success in Playing </w:t>
            </w:r>
            <w:proofErr w:type="spellStart"/>
            <w:r w:rsidR="00AB2FB4">
              <w:rPr>
                <w:rFonts w:ascii="Calisto MT" w:hAnsi="Calisto MT" w:cs="Times New Roman"/>
                <w:color w:val="000000" w:themeColor="text1"/>
              </w:rPr>
              <w:t>Egrang</w:t>
            </w:r>
            <w:proofErr w:type="spellEnd"/>
            <w:r w:rsidR="00AB2FB4">
              <w:rPr>
                <w:rFonts w:ascii="Calisto MT" w:hAnsi="Calisto MT" w:cs="Times New Roman"/>
                <w:color w:val="000000" w:themeColor="text1"/>
              </w:rPr>
              <w:t>?</w:t>
            </w:r>
          </w:p>
          <w:p w14:paraId="1713328A" w14:textId="77777777" w:rsidR="00AB6728" w:rsidRPr="00090C78" w:rsidRDefault="00AB6728" w:rsidP="00CA23F5">
            <w:pPr>
              <w:pStyle w:val="Judul"/>
              <w:suppressAutoHyphens/>
              <w:spacing w:line="276" w:lineRule="auto"/>
              <w:jc w:val="both"/>
              <w:rPr>
                <w:rFonts w:ascii="Calisto MT" w:hAnsi="Calisto MT" w:cs="Times New Roman"/>
                <w:lang w:val="en-US"/>
              </w:rPr>
            </w:pPr>
          </w:p>
          <w:p w14:paraId="56868C0F" w14:textId="596FBB52" w:rsidR="0048529F" w:rsidRPr="00D11CD8" w:rsidRDefault="00C84214" w:rsidP="00CA23F5">
            <w:pPr>
              <w:pStyle w:val="NamaPenulis"/>
              <w:suppressAutoHyphens/>
              <w:spacing w:line="276" w:lineRule="auto"/>
              <w:jc w:val="center"/>
              <w:rPr>
                <w:rFonts w:ascii="Calisto MT" w:hAnsi="Calisto MT" w:cs="Times New Roman"/>
                <w:b/>
                <w:bCs/>
                <w:iCs/>
                <w:color w:val="000000" w:themeColor="text1"/>
                <w:lang w:val="id-ID"/>
              </w:rPr>
            </w:pPr>
            <w:proofErr w:type="spellStart"/>
            <w:r>
              <w:rPr>
                <w:rFonts w:ascii="Calisto MT" w:hAnsi="Calisto MT" w:cs="Times New Roman"/>
                <w:b/>
                <w:bCs/>
                <w:iCs/>
                <w:color w:val="000000" w:themeColor="text1"/>
                <w:lang w:val="en-US"/>
              </w:rPr>
              <w:t>Nonik</w:t>
            </w:r>
            <w:proofErr w:type="spellEnd"/>
            <w:r>
              <w:rPr>
                <w:rFonts w:ascii="Calisto MT" w:hAnsi="Calisto MT" w:cs="Times New Roman"/>
                <w:b/>
                <w:bCs/>
                <w:iCs/>
                <w:color w:val="000000" w:themeColor="text1"/>
                <w:lang w:val="en-US"/>
              </w:rPr>
              <w:t xml:space="preserve"> Rahesti</w:t>
            </w:r>
            <w:r w:rsidR="00E247FD" w:rsidRPr="00E247FD">
              <w:rPr>
                <w:rFonts w:ascii="Calisto MT" w:hAnsi="Calisto MT" w:cs="Times New Roman"/>
                <w:b/>
                <w:bCs/>
                <w:iCs/>
                <w:color w:val="000000" w:themeColor="text1"/>
                <w:vertAlign w:val="superscript"/>
                <w:lang w:val="en-US"/>
              </w:rPr>
              <w:t>1</w:t>
            </w:r>
            <w:r w:rsidR="0014124E" w:rsidRPr="00D11CD8">
              <w:rPr>
                <w:rFonts w:ascii="Calisto MT" w:hAnsi="Calisto MT" w:cs="Times New Roman"/>
                <w:b/>
                <w:bCs/>
                <w:iCs/>
                <w:color w:val="000000" w:themeColor="text1"/>
                <w:vertAlign w:val="superscript"/>
                <w:lang w:val="en-US"/>
              </w:rPr>
              <w:sym w:font="Wingdings" w:char="F02A"/>
            </w:r>
            <w:r w:rsidR="00CA7028" w:rsidRPr="00D11CD8">
              <w:rPr>
                <w:rFonts w:ascii="Calisto MT" w:hAnsi="Calisto MT" w:cs="Times New Roman"/>
                <w:b/>
                <w:bCs/>
                <w:iCs/>
                <w:color w:val="000000" w:themeColor="text1"/>
                <w:vertAlign w:val="superscript"/>
                <w:lang w:val="en-US"/>
              </w:rPr>
              <w:t xml:space="preserve"> </w:t>
            </w:r>
            <w:r w:rsidR="00CA7028" w:rsidRPr="00D11CD8">
              <w:rPr>
                <w:rFonts w:ascii="Calisto MT" w:hAnsi="Calisto MT" w:cs="Times New Roman"/>
                <w:b/>
                <w:bCs/>
                <w:iCs/>
                <w:color w:val="000000" w:themeColor="text1"/>
                <w:lang w:val="en-US"/>
              </w:rPr>
              <w:t xml:space="preserve">, </w:t>
            </w:r>
            <w:r>
              <w:rPr>
                <w:rFonts w:ascii="Calisto MT" w:hAnsi="Calisto MT" w:cs="Times New Roman"/>
                <w:b/>
                <w:bCs/>
                <w:iCs/>
                <w:color w:val="000000" w:themeColor="text1"/>
                <w:lang w:val="en-US"/>
              </w:rPr>
              <w:t>Fajar Awang Irawan</w:t>
            </w:r>
            <w:r w:rsidR="00E247FD" w:rsidRPr="00E247FD">
              <w:rPr>
                <w:rFonts w:ascii="Calisto MT" w:hAnsi="Calisto MT" w:cs="Times New Roman"/>
                <w:b/>
                <w:bCs/>
                <w:iCs/>
                <w:color w:val="000000" w:themeColor="text1"/>
                <w:vertAlign w:val="superscript"/>
                <w:lang w:val="en-US"/>
              </w:rPr>
              <w:t>2</w:t>
            </w:r>
            <w:r w:rsidR="00EF7C54">
              <w:rPr>
                <w:rFonts w:ascii="Calisto MT" w:hAnsi="Calisto MT" w:cs="Times New Roman"/>
                <w:b/>
                <w:bCs/>
                <w:iCs/>
                <w:color w:val="000000" w:themeColor="text1"/>
                <w:lang w:val="id-ID"/>
              </w:rPr>
              <w:t>,</w:t>
            </w:r>
            <w:r w:rsidR="009F5219">
              <w:rPr>
                <w:rFonts w:ascii="Calisto MT" w:hAnsi="Calisto MT" w:cs="Times New Roman"/>
                <w:b/>
                <w:bCs/>
                <w:iCs/>
                <w:color w:val="000000" w:themeColor="text1"/>
                <w:lang w:val="en-US"/>
              </w:rPr>
              <w:t xml:space="preserve"> </w:t>
            </w:r>
            <w:r>
              <w:rPr>
                <w:rFonts w:ascii="Calisto MT" w:hAnsi="Calisto MT" w:cs="Times New Roman"/>
                <w:b/>
                <w:bCs/>
                <w:iCs/>
                <w:color w:val="000000" w:themeColor="text1"/>
                <w:lang w:val="en-US"/>
              </w:rPr>
              <w:t>Bambang Priyono</w:t>
            </w:r>
            <w:r w:rsidR="00E247FD" w:rsidRPr="00E247FD">
              <w:rPr>
                <w:rFonts w:ascii="Calisto MT" w:hAnsi="Calisto MT" w:cs="Times New Roman"/>
                <w:b/>
                <w:bCs/>
                <w:iCs/>
                <w:color w:val="000000" w:themeColor="text1"/>
                <w:vertAlign w:val="superscript"/>
                <w:lang w:val="en-US"/>
              </w:rPr>
              <w:t>3</w:t>
            </w:r>
          </w:p>
          <w:p w14:paraId="02B7F092" w14:textId="77777777" w:rsidR="0048529F" w:rsidRPr="00A90BD0" w:rsidRDefault="0048529F" w:rsidP="00CA23F5">
            <w:pPr>
              <w:pStyle w:val="BasicParagraph"/>
              <w:suppressAutoHyphens/>
              <w:spacing w:line="276" w:lineRule="auto"/>
              <w:jc w:val="center"/>
              <w:rPr>
                <w:rFonts w:cs="Times New Roman"/>
              </w:rPr>
            </w:pPr>
          </w:p>
          <w:p w14:paraId="1F9E4DCE" w14:textId="19E672F9" w:rsidR="00286ADB" w:rsidRDefault="00E247FD" w:rsidP="00CA23F5">
            <w:pPr>
              <w:pStyle w:val="SekolahDiterima"/>
              <w:suppressAutoHyphens/>
              <w:spacing w:line="276" w:lineRule="auto"/>
              <w:rPr>
                <w:rFonts w:cs="Times New Roman"/>
                <w:sz w:val="20"/>
                <w:szCs w:val="20"/>
                <w:lang w:val="id-ID"/>
              </w:rPr>
            </w:pPr>
            <w:r w:rsidRPr="00E247FD">
              <w:rPr>
                <w:rFonts w:cs="Times New Roman"/>
                <w:sz w:val="20"/>
                <w:szCs w:val="20"/>
                <w:vertAlign w:val="superscript"/>
                <w:lang w:val="en-US"/>
              </w:rPr>
              <w:t>1</w:t>
            </w:r>
            <w:r w:rsidR="00B760BD" w:rsidRPr="00B760BD">
              <w:rPr>
                <w:rFonts w:cs="Times New Roman"/>
                <w:sz w:val="20"/>
                <w:szCs w:val="20"/>
                <w:vertAlign w:val="superscript"/>
                <w:lang w:val="en-US"/>
              </w:rPr>
              <w:t>23</w:t>
            </w:r>
            <w:r w:rsidR="00B760BD">
              <w:rPr>
                <w:rFonts w:cs="Times New Roman"/>
                <w:sz w:val="20"/>
                <w:szCs w:val="20"/>
                <w:lang w:val="en-US"/>
              </w:rPr>
              <w:t xml:space="preserve"> </w:t>
            </w:r>
            <w:r w:rsidR="00C84214">
              <w:rPr>
                <w:rFonts w:cs="Times New Roman"/>
                <w:sz w:val="20"/>
                <w:szCs w:val="20"/>
                <w:lang w:val="en-US"/>
              </w:rPr>
              <w:t>Universitas Negeri Semarang</w:t>
            </w:r>
          </w:p>
          <w:p w14:paraId="6E716485" w14:textId="77777777" w:rsidR="00286ADB" w:rsidRDefault="00286ADB" w:rsidP="00CA23F5">
            <w:pPr>
              <w:pStyle w:val="SekolahDiterima"/>
              <w:suppressAutoHyphens/>
              <w:spacing w:line="276" w:lineRule="auto"/>
              <w:rPr>
                <w:rFonts w:cs="Times New Roman"/>
                <w:sz w:val="20"/>
                <w:szCs w:val="20"/>
                <w:lang w:val="id-ID"/>
              </w:rPr>
            </w:pPr>
          </w:p>
          <w:p w14:paraId="7C51CE29" w14:textId="77777777" w:rsidR="0048529F" w:rsidRPr="00A90BD0" w:rsidRDefault="0048529F" w:rsidP="00CA23F5">
            <w:pPr>
              <w:pStyle w:val="SekolahDiterima"/>
              <w:suppressAutoHyphens/>
              <w:spacing w:line="276" w:lineRule="auto"/>
              <w:jc w:val="both"/>
              <w:rPr>
                <w:rFonts w:cs="Times New Roman"/>
              </w:rPr>
            </w:pPr>
          </w:p>
        </w:tc>
      </w:tr>
      <w:tr w:rsidR="0048529F" w:rsidRPr="00A90BD0" w14:paraId="0D777AB9" w14:textId="77777777" w:rsidTr="00C73B50">
        <w:tc>
          <w:tcPr>
            <w:tcW w:w="1985" w:type="dxa"/>
            <w:gridSpan w:val="2"/>
            <w:tcBorders>
              <w:top w:val="single" w:sz="4" w:space="0" w:color="auto"/>
              <w:bottom w:val="single" w:sz="4" w:space="0" w:color="auto"/>
            </w:tcBorders>
          </w:tcPr>
          <w:p w14:paraId="78F3E0EF" w14:textId="77777777" w:rsidR="0048529F" w:rsidRPr="00A90BD0" w:rsidRDefault="00C60740" w:rsidP="00CA23F5">
            <w:pPr>
              <w:pStyle w:val="BasicParagraph"/>
              <w:spacing w:line="240" w:lineRule="auto"/>
              <w:rPr>
                <w:rFonts w:cs="Times New Roman"/>
                <w:position w:val="-18"/>
              </w:rPr>
            </w:pPr>
            <w:r>
              <w:rPr>
                <w:rFonts w:cs="Times New Roman"/>
                <w:b/>
                <w:bCs/>
                <w:position w:val="-20"/>
                <w:sz w:val="22"/>
                <w:szCs w:val="22"/>
              </w:rPr>
              <w:t>Article Info</w:t>
            </w:r>
          </w:p>
          <w:p w14:paraId="3F09245D" w14:textId="77777777" w:rsidR="0048529F" w:rsidRPr="00A90BD0" w:rsidRDefault="0048529F" w:rsidP="00CA23F5">
            <w:pPr>
              <w:pStyle w:val="BasicParagraph"/>
              <w:spacing w:line="276" w:lineRule="auto"/>
              <w:rPr>
                <w:rFonts w:cs="Times New Roman"/>
              </w:rPr>
            </w:pPr>
            <w:r w:rsidRPr="00A90BD0">
              <w:rPr>
                <w:rFonts w:cs="Times New Roman"/>
              </w:rPr>
              <w:t>________________</w:t>
            </w:r>
          </w:p>
          <w:p w14:paraId="5CC4E138" w14:textId="77777777" w:rsidR="00C60740" w:rsidRPr="00C60740" w:rsidRDefault="00C60740" w:rsidP="00CA23F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i/>
                <w:iCs/>
                <w:color w:val="000000" w:themeColor="text1"/>
                <w:position w:val="-6"/>
                <w:sz w:val="16"/>
                <w:szCs w:val="16"/>
                <w:lang w:val="en-GB"/>
              </w:rPr>
              <w:t>History Articles</w:t>
            </w:r>
          </w:p>
          <w:p w14:paraId="08010E98" w14:textId="77777777" w:rsidR="00C60740" w:rsidRPr="00C60740" w:rsidRDefault="00C60740" w:rsidP="00CA23F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Received: </w:t>
            </w:r>
          </w:p>
          <w:p w14:paraId="2B998A41" w14:textId="493CA816" w:rsidR="00C60740" w:rsidRPr="00664C05" w:rsidRDefault="00974668" w:rsidP="00CA23F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January 2025 </w:t>
            </w:r>
          </w:p>
          <w:p w14:paraId="3C599975" w14:textId="77777777" w:rsidR="00C60740" w:rsidRPr="00C60740" w:rsidRDefault="00C60740" w:rsidP="00CA23F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Accepted: </w:t>
            </w:r>
          </w:p>
          <w:p w14:paraId="54610009" w14:textId="3C13B06E" w:rsidR="00C60740" w:rsidRPr="00664C05" w:rsidRDefault="00974668" w:rsidP="00CA23F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January 2025 </w:t>
            </w:r>
          </w:p>
          <w:p w14:paraId="284B2DA4" w14:textId="77777777" w:rsidR="00C60740" w:rsidRPr="00C60740" w:rsidRDefault="00C60740" w:rsidP="00CA23F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Published:</w:t>
            </w:r>
          </w:p>
          <w:p w14:paraId="6722B448" w14:textId="4FFFEE77" w:rsidR="00C73B50" w:rsidRPr="00664C05" w:rsidRDefault="00974668" w:rsidP="00CA23F5">
            <w:pPr>
              <w:pStyle w:val="Disetujui"/>
              <w:spacing w:line="276" w:lineRule="auto"/>
              <w:rPr>
                <w:rFonts w:ascii="Calisto MT" w:hAnsi="Calisto MT" w:cs="Times New Roman"/>
                <w:position w:val="-6"/>
                <w:lang w:val="id-ID"/>
              </w:rPr>
            </w:pPr>
            <w:r>
              <w:rPr>
                <w:rFonts w:ascii="Calisto MT" w:hAnsi="Calisto MT" w:cs="Times New Roman"/>
                <w:color w:val="000000" w:themeColor="text1"/>
                <w:position w:val="-6"/>
                <w:lang w:val="en-US"/>
              </w:rPr>
              <w:t xml:space="preserve">June 2025 </w:t>
            </w:r>
          </w:p>
          <w:p w14:paraId="396B27D7" w14:textId="77777777" w:rsidR="0048529F" w:rsidRPr="00A90BD0" w:rsidRDefault="0048529F" w:rsidP="00CA23F5">
            <w:pPr>
              <w:pStyle w:val="BasicParagraph"/>
              <w:spacing w:line="276" w:lineRule="auto"/>
              <w:rPr>
                <w:rFonts w:cs="Times New Roman"/>
              </w:rPr>
            </w:pPr>
            <w:r w:rsidRPr="00A90BD0">
              <w:rPr>
                <w:rFonts w:cs="Times New Roman"/>
              </w:rPr>
              <w:t>________________</w:t>
            </w:r>
          </w:p>
          <w:p w14:paraId="5EE43C58" w14:textId="77777777" w:rsidR="0048529F" w:rsidRPr="00A90BD0" w:rsidRDefault="0048529F" w:rsidP="00CA23F5">
            <w:pPr>
              <w:pStyle w:val="BasicParagraph"/>
              <w:spacing w:line="276" w:lineRule="auto"/>
              <w:rPr>
                <w:rFonts w:cs="Times New Roman"/>
                <w:i/>
                <w:iCs/>
                <w:sz w:val="16"/>
                <w:szCs w:val="16"/>
              </w:rPr>
            </w:pPr>
            <w:r w:rsidRPr="00A90BD0">
              <w:rPr>
                <w:rFonts w:cs="Times New Roman"/>
                <w:i/>
                <w:iCs/>
                <w:sz w:val="16"/>
                <w:szCs w:val="16"/>
              </w:rPr>
              <w:t>Keywords:</w:t>
            </w:r>
          </w:p>
          <w:p w14:paraId="1861C1C2" w14:textId="64E3A43B" w:rsidR="0048529F" w:rsidRPr="00BA6915" w:rsidRDefault="00B23507" w:rsidP="00CA23F5">
            <w:pPr>
              <w:pStyle w:val="BasicParagraph"/>
              <w:spacing w:line="276" w:lineRule="auto"/>
              <w:rPr>
                <w:rFonts w:cs="Times New Roman"/>
                <w:i/>
                <w:sz w:val="16"/>
                <w:szCs w:val="16"/>
                <w:lang w:val="en-US"/>
              </w:rPr>
            </w:pPr>
            <w:r>
              <w:rPr>
                <w:rFonts w:cs="Times New Roman"/>
                <w:bCs/>
                <w:i/>
                <w:color w:val="000000" w:themeColor="text1"/>
                <w:sz w:val="16"/>
                <w:szCs w:val="16"/>
                <w:lang w:val="en-US"/>
              </w:rPr>
              <w:t xml:space="preserve">Concentration, </w:t>
            </w:r>
            <w:proofErr w:type="spellStart"/>
            <w:r>
              <w:rPr>
                <w:rFonts w:cs="Times New Roman"/>
                <w:bCs/>
                <w:i/>
                <w:color w:val="000000" w:themeColor="text1"/>
                <w:sz w:val="16"/>
                <w:szCs w:val="16"/>
                <w:lang w:val="en-US"/>
              </w:rPr>
              <w:t>Egrang</w:t>
            </w:r>
            <w:proofErr w:type="spellEnd"/>
            <w:r>
              <w:rPr>
                <w:rFonts w:cs="Times New Roman"/>
                <w:bCs/>
                <w:i/>
                <w:color w:val="000000" w:themeColor="text1"/>
                <w:sz w:val="16"/>
                <w:szCs w:val="16"/>
                <w:lang w:val="en-US"/>
              </w:rPr>
              <w:t xml:space="preserve"> Game A</w:t>
            </w:r>
            <w:r w:rsidR="001A08E6">
              <w:rPr>
                <w:rFonts w:cs="Times New Roman"/>
                <w:bCs/>
                <w:i/>
                <w:color w:val="000000" w:themeColor="text1"/>
                <w:sz w:val="16"/>
                <w:szCs w:val="16"/>
                <w:lang w:val="en-US"/>
              </w:rPr>
              <w:t>naly</w:t>
            </w:r>
            <w:r>
              <w:rPr>
                <w:rFonts w:cs="Times New Roman"/>
                <w:bCs/>
                <w:i/>
                <w:color w:val="000000" w:themeColor="text1"/>
                <w:sz w:val="16"/>
                <w:szCs w:val="16"/>
                <w:lang w:val="en-US"/>
              </w:rPr>
              <w:t>sis, Traditional Game</w:t>
            </w:r>
            <w:r w:rsidR="00286ADB" w:rsidRPr="00286ADB">
              <w:rPr>
                <w:rFonts w:cs="Times New Roman"/>
                <w:bCs/>
                <w:i/>
                <w:color w:val="000000" w:themeColor="text1"/>
                <w:sz w:val="16"/>
                <w:szCs w:val="16"/>
                <w:lang w:val="en-US"/>
              </w:rPr>
              <w:t>.</w:t>
            </w:r>
            <w:r w:rsidR="0036011F" w:rsidRPr="00D11CD8">
              <w:rPr>
                <w:rFonts w:cs="Times New Roman"/>
                <w:bCs/>
                <w:i/>
                <w:color w:val="000000" w:themeColor="text1"/>
                <w:sz w:val="16"/>
                <w:szCs w:val="16"/>
                <w:lang w:val="en-US"/>
              </w:rPr>
              <w:t xml:space="preserve"> </w:t>
            </w:r>
            <w:r w:rsidR="0048529F"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7952FAC7" w14:textId="77777777" w:rsidR="0048529F" w:rsidRPr="00A90BD0" w:rsidRDefault="00C60740" w:rsidP="00CA23F5">
            <w:pPr>
              <w:pStyle w:val="BasicParagraph"/>
              <w:suppressAutoHyphens/>
              <w:spacing w:line="276" w:lineRule="auto"/>
              <w:rPr>
                <w:rFonts w:cs="Times New Roman"/>
                <w:sz w:val="24"/>
                <w:szCs w:val="24"/>
              </w:rPr>
            </w:pPr>
            <w:r w:rsidRPr="00C60740">
              <w:rPr>
                <w:rFonts w:cs="Times New Roman"/>
                <w:b/>
                <w:bCs/>
                <w:position w:val="-18"/>
                <w:sz w:val="22"/>
                <w:szCs w:val="22"/>
              </w:rPr>
              <w:t>Abstract</w:t>
            </w:r>
          </w:p>
          <w:p w14:paraId="7F6B932F" w14:textId="77777777" w:rsidR="0048529F" w:rsidRPr="00A90BD0" w:rsidRDefault="0048529F" w:rsidP="00CA23F5">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20E8C709" w14:textId="1D1933BF" w:rsidR="000009A2" w:rsidRDefault="00C84214" w:rsidP="00CA23F5">
            <w:pPr>
              <w:pStyle w:val="NoSpacing"/>
              <w:spacing w:line="240" w:lineRule="auto"/>
              <w:rPr>
                <w:sz w:val="20"/>
                <w:szCs w:val="20"/>
              </w:rPr>
            </w:pPr>
            <w:r w:rsidRPr="00720E2D">
              <w:rPr>
                <w:sz w:val="20"/>
                <w:szCs w:val="20"/>
              </w:rPr>
              <w:t xml:space="preserve">Playing </w:t>
            </w:r>
            <w:proofErr w:type="spellStart"/>
            <w:r w:rsidRPr="00720E2D">
              <w:rPr>
                <w:sz w:val="20"/>
                <w:szCs w:val="20"/>
              </w:rPr>
              <w:t>egrang</w:t>
            </w:r>
            <w:proofErr w:type="spellEnd"/>
            <w:r w:rsidRPr="00720E2D">
              <w:rPr>
                <w:sz w:val="20"/>
                <w:szCs w:val="20"/>
              </w:rPr>
              <w:t xml:space="preserve"> does not only rely on physicality, it also requires concentration to focus full attention on each movement and maintain balance. Concentration plays an important role in the game of </w:t>
            </w:r>
            <w:proofErr w:type="spellStart"/>
            <w:r w:rsidRPr="00720E2D">
              <w:rPr>
                <w:sz w:val="20"/>
                <w:szCs w:val="20"/>
              </w:rPr>
              <w:t>egrang</w:t>
            </w:r>
            <w:proofErr w:type="spellEnd"/>
            <w:r w:rsidRPr="00720E2D">
              <w:rPr>
                <w:sz w:val="20"/>
                <w:szCs w:val="20"/>
              </w:rPr>
              <w:t xml:space="preserve">, allowing players to better control their bodies to maintain balance. The purpose of this study is to analyze the contribution of concentration to the success of playing </w:t>
            </w:r>
            <w:proofErr w:type="spellStart"/>
            <w:r w:rsidRPr="00720E2D">
              <w:rPr>
                <w:sz w:val="20"/>
                <w:szCs w:val="20"/>
              </w:rPr>
              <w:t>egrang</w:t>
            </w:r>
            <w:proofErr w:type="spellEnd"/>
            <w:r w:rsidRPr="00720E2D">
              <w:rPr>
                <w:sz w:val="20"/>
                <w:szCs w:val="20"/>
              </w:rPr>
              <w:t xml:space="preserve">. This study uses quantitative methods with regression correlation design. The samples used in this study were 51 elementary school students in Semarang Regency who had filled out inform consent as a willingness to participate in the study. The data in this study were obtained using ice grid concentration exercise and success test of playing </w:t>
            </w:r>
            <w:proofErr w:type="spellStart"/>
            <w:r w:rsidRPr="00720E2D">
              <w:rPr>
                <w:sz w:val="20"/>
                <w:szCs w:val="20"/>
              </w:rPr>
              <w:t>egrang</w:t>
            </w:r>
            <w:proofErr w:type="spellEnd"/>
            <w:r w:rsidRPr="00720E2D">
              <w:rPr>
                <w:sz w:val="20"/>
                <w:szCs w:val="20"/>
              </w:rPr>
              <w:t xml:space="preserve"> which then the data were processed using SPSS </w:t>
            </w:r>
            <w:r w:rsidRPr="00720E2D">
              <w:rPr>
                <w:i/>
                <w:sz w:val="20"/>
                <w:szCs w:val="20"/>
              </w:rPr>
              <w:t xml:space="preserve">software </w:t>
            </w:r>
            <w:r w:rsidRPr="00720E2D">
              <w:rPr>
                <w:sz w:val="20"/>
                <w:szCs w:val="20"/>
              </w:rPr>
              <w:t xml:space="preserve">version 25.0. The results showed that concentration has no contribution to the success of </w:t>
            </w:r>
            <w:proofErr w:type="spellStart"/>
            <w:r w:rsidRPr="00720E2D">
              <w:rPr>
                <w:sz w:val="20"/>
                <w:szCs w:val="20"/>
              </w:rPr>
              <w:t>egrang</w:t>
            </w:r>
            <w:proofErr w:type="spellEnd"/>
            <w:r w:rsidRPr="00720E2D">
              <w:rPr>
                <w:sz w:val="20"/>
                <w:szCs w:val="20"/>
              </w:rPr>
              <w:t xml:space="preserve"> with a contribution value of 4.1%, and with a significance value of 0.153 (p&gt; 0.05), so that the contribution of concentration to the success of </w:t>
            </w:r>
            <w:proofErr w:type="spellStart"/>
            <w:r w:rsidRPr="00720E2D">
              <w:rPr>
                <w:sz w:val="20"/>
                <w:szCs w:val="20"/>
              </w:rPr>
              <w:t>egrnag</w:t>
            </w:r>
            <w:proofErr w:type="spellEnd"/>
            <w:r w:rsidRPr="00720E2D">
              <w:rPr>
                <w:sz w:val="20"/>
                <w:szCs w:val="20"/>
              </w:rPr>
              <w:t xml:space="preserve"> is not significant. This indicates that although concentration is required in the </w:t>
            </w:r>
            <w:proofErr w:type="spellStart"/>
            <w:r w:rsidRPr="00720E2D">
              <w:rPr>
                <w:sz w:val="20"/>
                <w:szCs w:val="20"/>
              </w:rPr>
              <w:t>egrang</w:t>
            </w:r>
            <w:proofErr w:type="spellEnd"/>
            <w:r w:rsidRPr="00720E2D">
              <w:rPr>
                <w:sz w:val="20"/>
                <w:szCs w:val="20"/>
              </w:rPr>
              <w:t xml:space="preserve"> game, this factor is not the main determinant of </w:t>
            </w:r>
            <w:proofErr w:type="spellStart"/>
            <w:r w:rsidRPr="00720E2D">
              <w:rPr>
                <w:sz w:val="20"/>
                <w:szCs w:val="20"/>
              </w:rPr>
              <w:t>egrang</w:t>
            </w:r>
            <w:proofErr w:type="spellEnd"/>
            <w:r w:rsidRPr="00720E2D">
              <w:rPr>
                <w:sz w:val="20"/>
                <w:szCs w:val="20"/>
              </w:rPr>
              <w:t xml:space="preserve"> success. Future research is expected to be able to analyze and identify other factors that can contribute to the success of </w:t>
            </w:r>
            <w:proofErr w:type="spellStart"/>
            <w:r w:rsidRPr="00720E2D">
              <w:rPr>
                <w:sz w:val="20"/>
                <w:szCs w:val="20"/>
              </w:rPr>
              <w:t>egrang</w:t>
            </w:r>
            <w:proofErr w:type="spellEnd"/>
            <w:r w:rsidR="004A4BEF">
              <w:rPr>
                <w:sz w:val="20"/>
                <w:szCs w:val="20"/>
              </w:rPr>
              <w:t>.</w:t>
            </w:r>
          </w:p>
          <w:p w14:paraId="3BCD9417" w14:textId="77777777" w:rsidR="004A4BEF" w:rsidRDefault="004A4BEF" w:rsidP="00CA23F5">
            <w:pPr>
              <w:pStyle w:val="NoSpacing"/>
              <w:spacing w:line="240" w:lineRule="auto"/>
              <w:rPr>
                <w:sz w:val="20"/>
                <w:szCs w:val="20"/>
              </w:rPr>
            </w:pPr>
          </w:p>
          <w:p w14:paraId="01262927" w14:textId="3183D7AF" w:rsidR="004A4BEF" w:rsidRPr="004A4BEF" w:rsidRDefault="004A4BEF" w:rsidP="00CA23F5">
            <w:pPr>
              <w:pStyle w:val="BasicParagraph"/>
              <w:spacing w:line="240" w:lineRule="auto"/>
              <w:rPr>
                <w:color w:val="000000" w:themeColor="text1"/>
              </w:rPr>
            </w:pPr>
            <w:r w:rsidRPr="004A4BEF">
              <w:rPr>
                <w:rFonts w:cs="Times New Roman"/>
                <w:b/>
                <w:iCs/>
              </w:rPr>
              <w:t>Keywords</w:t>
            </w:r>
            <w:r w:rsidRPr="004A4BEF">
              <w:rPr>
                <w:rFonts w:cs="Times New Roman"/>
                <w:iCs/>
              </w:rPr>
              <w:t xml:space="preserve">: </w:t>
            </w:r>
            <w:r w:rsidRPr="004A4BEF">
              <w:rPr>
                <w:rFonts w:cs="Times New Roman"/>
                <w:bCs/>
                <w:color w:val="000000" w:themeColor="text1"/>
                <w:lang w:val="en-US"/>
              </w:rPr>
              <w:t xml:space="preserve">Concentration, </w:t>
            </w:r>
            <w:proofErr w:type="spellStart"/>
            <w:r w:rsidRPr="004A4BEF">
              <w:rPr>
                <w:rFonts w:cs="Times New Roman"/>
                <w:bCs/>
                <w:color w:val="000000" w:themeColor="text1"/>
                <w:lang w:val="en-US"/>
              </w:rPr>
              <w:t>Egrang</w:t>
            </w:r>
            <w:proofErr w:type="spellEnd"/>
            <w:r w:rsidRPr="004A4BEF">
              <w:rPr>
                <w:rFonts w:cs="Times New Roman"/>
                <w:bCs/>
                <w:color w:val="000000" w:themeColor="text1"/>
                <w:lang w:val="en-US"/>
              </w:rPr>
              <w:t xml:space="preserve"> Game </w:t>
            </w:r>
            <w:r w:rsidR="001A08E6">
              <w:rPr>
                <w:rFonts w:cs="Times New Roman"/>
                <w:bCs/>
                <w:color w:val="000000" w:themeColor="text1"/>
                <w:lang w:val="en-US"/>
              </w:rPr>
              <w:t>A</w:t>
            </w:r>
            <w:r w:rsidR="001A08E6" w:rsidRPr="001A08E6">
              <w:rPr>
                <w:rFonts w:cs="Times New Roman"/>
                <w:bCs/>
                <w:color w:val="000000" w:themeColor="text1"/>
                <w:lang w:val="en-US"/>
              </w:rPr>
              <w:t>nalysis</w:t>
            </w:r>
            <w:r w:rsidRPr="004A4BEF">
              <w:rPr>
                <w:rFonts w:cs="Times New Roman"/>
                <w:bCs/>
                <w:color w:val="000000" w:themeColor="text1"/>
                <w:lang w:val="en-US"/>
              </w:rPr>
              <w:t>, Traditional Game.</w:t>
            </w:r>
          </w:p>
          <w:p w14:paraId="1D287379" w14:textId="77777777" w:rsidR="000009A2" w:rsidRDefault="000009A2" w:rsidP="00CA23F5">
            <w:pPr>
              <w:pStyle w:val="NoSpacing"/>
              <w:rPr>
                <w:color w:val="000000" w:themeColor="text1"/>
                <w:sz w:val="20"/>
                <w:szCs w:val="20"/>
              </w:rPr>
            </w:pPr>
          </w:p>
          <w:p w14:paraId="33E29C36" w14:textId="77777777" w:rsidR="000009A2" w:rsidRDefault="000009A2" w:rsidP="00CA23F5">
            <w:pPr>
              <w:pStyle w:val="NoSpacing"/>
              <w:rPr>
                <w:color w:val="000000" w:themeColor="text1"/>
                <w:sz w:val="20"/>
                <w:szCs w:val="20"/>
              </w:rPr>
            </w:pPr>
          </w:p>
          <w:p w14:paraId="178F8063" w14:textId="77777777" w:rsidR="000009A2" w:rsidRDefault="000009A2" w:rsidP="00CA23F5">
            <w:pPr>
              <w:pStyle w:val="NoSpacing"/>
              <w:rPr>
                <w:color w:val="000000" w:themeColor="text1"/>
                <w:sz w:val="20"/>
                <w:szCs w:val="20"/>
              </w:rPr>
            </w:pPr>
          </w:p>
          <w:p w14:paraId="773D155A" w14:textId="77777777" w:rsidR="000009A2" w:rsidRDefault="000009A2" w:rsidP="00CA23F5">
            <w:pPr>
              <w:pStyle w:val="NoSpacing"/>
              <w:rPr>
                <w:color w:val="000000" w:themeColor="text1"/>
                <w:sz w:val="20"/>
                <w:szCs w:val="20"/>
              </w:rPr>
            </w:pPr>
          </w:p>
          <w:p w14:paraId="7D691128" w14:textId="77777777" w:rsidR="000009A2" w:rsidRDefault="000009A2" w:rsidP="00CA23F5">
            <w:pPr>
              <w:pStyle w:val="NoSpacing"/>
              <w:rPr>
                <w:color w:val="000000" w:themeColor="text1"/>
                <w:sz w:val="20"/>
                <w:szCs w:val="20"/>
              </w:rPr>
            </w:pPr>
          </w:p>
          <w:p w14:paraId="42C42849" w14:textId="77777777" w:rsidR="00B9145B" w:rsidRDefault="00B9145B" w:rsidP="00CA23F5">
            <w:pPr>
              <w:pStyle w:val="BasicParagraph"/>
              <w:suppressAutoHyphens/>
              <w:spacing w:line="276" w:lineRule="auto"/>
              <w:jc w:val="right"/>
              <w:rPr>
                <w:rFonts w:cs="Times New Roman"/>
                <w:lang w:val="en-US"/>
              </w:rPr>
            </w:pPr>
          </w:p>
          <w:p w14:paraId="7A4A62FD" w14:textId="77777777" w:rsidR="00E247FD" w:rsidRDefault="00E247FD" w:rsidP="00CA23F5">
            <w:pPr>
              <w:pStyle w:val="BasicParagraph"/>
              <w:suppressAutoHyphens/>
              <w:spacing w:line="276" w:lineRule="auto"/>
              <w:jc w:val="right"/>
              <w:rPr>
                <w:rFonts w:cs="Times New Roman"/>
                <w:lang w:val="en-US"/>
              </w:rPr>
            </w:pPr>
          </w:p>
          <w:p w14:paraId="5DD290F2" w14:textId="77777777" w:rsidR="00286ADB" w:rsidRDefault="00286ADB" w:rsidP="00CA23F5">
            <w:pPr>
              <w:pStyle w:val="BasicParagraph"/>
              <w:suppressAutoHyphens/>
              <w:spacing w:line="276" w:lineRule="auto"/>
              <w:jc w:val="right"/>
              <w:rPr>
                <w:rFonts w:cs="Times New Roman"/>
                <w:lang w:val="id-ID"/>
              </w:rPr>
            </w:pPr>
          </w:p>
          <w:p w14:paraId="720F8B59" w14:textId="77777777" w:rsidR="00286ADB" w:rsidRDefault="00286ADB" w:rsidP="00CA23F5">
            <w:pPr>
              <w:pStyle w:val="BasicParagraph"/>
              <w:suppressAutoHyphens/>
              <w:spacing w:line="276" w:lineRule="auto"/>
              <w:jc w:val="right"/>
              <w:rPr>
                <w:rFonts w:cs="Times New Roman"/>
                <w:lang w:val="id-ID"/>
              </w:rPr>
            </w:pPr>
          </w:p>
          <w:p w14:paraId="5961CF2A" w14:textId="77777777" w:rsidR="00286ADB" w:rsidRDefault="00286ADB" w:rsidP="00CA23F5">
            <w:pPr>
              <w:pStyle w:val="BasicParagraph"/>
              <w:suppressAutoHyphens/>
              <w:spacing w:line="276" w:lineRule="auto"/>
              <w:jc w:val="right"/>
              <w:rPr>
                <w:rFonts w:cs="Times New Roman"/>
                <w:lang w:val="id-ID"/>
              </w:rPr>
            </w:pPr>
          </w:p>
          <w:p w14:paraId="2568E9DE" w14:textId="77777777" w:rsidR="00E247FD" w:rsidRDefault="00E247FD" w:rsidP="00CA23F5">
            <w:pPr>
              <w:pStyle w:val="BasicParagraph"/>
              <w:suppressAutoHyphens/>
              <w:spacing w:line="276" w:lineRule="auto"/>
              <w:jc w:val="right"/>
              <w:rPr>
                <w:rFonts w:cs="Times New Roman"/>
                <w:lang w:val="en-US"/>
              </w:rPr>
            </w:pPr>
          </w:p>
          <w:p w14:paraId="44E0ADE8" w14:textId="77777777" w:rsidR="00E247FD" w:rsidRDefault="00E247FD" w:rsidP="00CA23F5">
            <w:pPr>
              <w:pStyle w:val="BasicParagraph"/>
              <w:suppressAutoHyphens/>
              <w:spacing w:line="276" w:lineRule="auto"/>
              <w:jc w:val="right"/>
              <w:rPr>
                <w:rFonts w:cs="Times New Roman"/>
                <w:lang w:val="en-US"/>
              </w:rPr>
            </w:pPr>
          </w:p>
          <w:p w14:paraId="7A7C8953" w14:textId="77777777" w:rsidR="0048529F" w:rsidRPr="00A90BD0" w:rsidRDefault="0048529F" w:rsidP="00CA23F5">
            <w:pPr>
              <w:pStyle w:val="BasicParagraph"/>
              <w:suppressAutoHyphens/>
              <w:spacing w:line="276" w:lineRule="auto"/>
              <w:jc w:val="right"/>
              <w:rPr>
                <w:rFonts w:cs="Times New Roman"/>
              </w:rPr>
            </w:pPr>
            <w:r w:rsidRPr="00A90BD0">
              <w:rPr>
                <w:rFonts w:cs="Times New Roman"/>
              </w:rPr>
              <w:t>© 201</w:t>
            </w:r>
            <w:r w:rsidR="005F5854">
              <w:rPr>
                <w:rFonts w:cs="Times New Roman"/>
              </w:rPr>
              <w:t>8</w:t>
            </w:r>
            <w:r w:rsidRPr="00A90BD0">
              <w:rPr>
                <w:rFonts w:cs="Times New Roman"/>
              </w:rPr>
              <w:t xml:space="preserve"> Universitas Negeri Semarang</w:t>
            </w:r>
          </w:p>
          <w:p w14:paraId="16AD3283" w14:textId="77777777" w:rsidR="0048529F" w:rsidRPr="00A90BD0" w:rsidRDefault="0048529F" w:rsidP="00CA23F5">
            <w:pPr>
              <w:pStyle w:val="BasicParagraph"/>
              <w:suppressAutoHyphens/>
              <w:spacing w:line="276" w:lineRule="auto"/>
              <w:jc w:val="right"/>
              <w:rPr>
                <w:rFonts w:cs="Times New Roman"/>
              </w:rPr>
            </w:pPr>
          </w:p>
        </w:tc>
      </w:tr>
      <w:tr w:rsidR="0048529F" w:rsidRPr="00A90BD0" w14:paraId="14E6AB43" w14:textId="77777777" w:rsidTr="00C73B50">
        <w:tc>
          <w:tcPr>
            <w:tcW w:w="4936" w:type="dxa"/>
            <w:gridSpan w:val="3"/>
            <w:tcBorders>
              <w:top w:val="single" w:sz="4" w:space="0" w:color="auto"/>
            </w:tcBorders>
          </w:tcPr>
          <w:p w14:paraId="3BABC859" w14:textId="58B70ACC" w:rsidR="0048529F" w:rsidRPr="00A90BD0" w:rsidRDefault="0048529F" w:rsidP="00CA23F5">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r w:rsidR="00C60740" w:rsidRPr="00C60740">
              <w:rPr>
                <w:rFonts w:cs="Times New Roman"/>
                <w:sz w:val="16"/>
                <w:szCs w:val="16"/>
              </w:rPr>
              <w:t>Address correspondence</w:t>
            </w:r>
            <w:r w:rsidRPr="00A90BD0">
              <w:rPr>
                <w:rFonts w:cs="Times New Roman"/>
                <w:sz w:val="16"/>
                <w:szCs w:val="16"/>
              </w:rPr>
              <w:t xml:space="preserve">: </w:t>
            </w:r>
          </w:p>
          <w:p w14:paraId="49D2EB0E" w14:textId="77777777" w:rsidR="00286ADB" w:rsidRPr="00286ADB" w:rsidRDefault="0048529F" w:rsidP="00CA23F5">
            <w:pPr>
              <w:pStyle w:val="BasicParagraph"/>
              <w:spacing w:line="276" w:lineRule="auto"/>
              <w:rPr>
                <w:rFonts w:cs="Times New Roman"/>
                <w:sz w:val="16"/>
                <w:szCs w:val="16"/>
                <w:lang w:val="id-ID"/>
              </w:rPr>
            </w:pPr>
            <w:r w:rsidRPr="00A90BD0">
              <w:rPr>
                <w:rFonts w:cs="Times New Roman"/>
                <w:sz w:val="16"/>
                <w:szCs w:val="16"/>
              </w:rPr>
              <w:t xml:space="preserve">    </w:t>
            </w:r>
            <w:r w:rsidR="00286ADB" w:rsidRPr="00286ADB">
              <w:rPr>
                <w:rFonts w:cs="Times New Roman"/>
                <w:sz w:val="16"/>
                <w:szCs w:val="16"/>
                <w:lang w:val="en"/>
              </w:rPr>
              <w:t>Author Correspondence Address</w:t>
            </w:r>
          </w:p>
          <w:p w14:paraId="3C80D32C" w14:textId="7F298517" w:rsidR="0048529F" w:rsidRPr="00EA3BCE" w:rsidRDefault="0048529F" w:rsidP="00CA23F5">
            <w:pPr>
              <w:pStyle w:val="BasicParagraph"/>
              <w:rPr>
                <w:rFonts w:cs="Times New Roman"/>
                <w:sz w:val="16"/>
                <w:szCs w:val="16"/>
                <w:lang w:val="id-ID"/>
              </w:rPr>
            </w:pPr>
            <w:r w:rsidRPr="00A90BD0">
              <w:rPr>
                <w:rFonts w:cs="Times New Roman"/>
                <w:sz w:val="16"/>
                <w:szCs w:val="16"/>
              </w:rPr>
              <w:t xml:space="preserve">    E-mail: </w:t>
            </w:r>
            <w:r w:rsidR="00E247FD">
              <w:rPr>
                <w:rFonts w:cs="Times New Roman"/>
                <w:sz w:val="16"/>
                <w:szCs w:val="16"/>
              </w:rPr>
              <w:t>(</w:t>
            </w:r>
            <w:r w:rsidR="00932F00">
              <w:rPr>
                <w:rFonts w:cs="Times New Roman"/>
                <w:sz w:val="16"/>
                <w:szCs w:val="16"/>
                <w:lang w:val="en"/>
              </w:rPr>
              <w:t>nonikrahesti@students.unnes.ac.id</w:t>
            </w:r>
            <w:r w:rsidR="00E247FD">
              <w:rPr>
                <w:rFonts w:cs="Times New Roman"/>
                <w:sz w:val="16"/>
                <w:szCs w:val="16"/>
              </w:rPr>
              <w:t>)</w:t>
            </w:r>
          </w:p>
        </w:tc>
        <w:tc>
          <w:tcPr>
            <w:tcW w:w="3969" w:type="dxa"/>
            <w:gridSpan w:val="2"/>
            <w:tcBorders>
              <w:top w:val="single" w:sz="4" w:space="0" w:color="auto"/>
            </w:tcBorders>
          </w:tcPr>
          <w:p w14:paraId="716C4D70" w14:textId="77777777" w:rsidR="00927F0E" w:rsidRPr="00927F0E" w:rsidRDefault="00585DC1" w:rsidP="00CA23F5">
            <w:pPr>
              <w:pStyle w:val="BasicParagraph"/>
              <w:tabs>
                <w:tab w:val="left" w:pos="3431"/>
                <w:tab w:val="right" w:pos="4823"/>
              </w:tabs>
              <w:spacing w:line="276" w:lineRule="auto"/>
              <w:jc w:val="right"/>
              <w:rPr>
                <w:b/>
                <w:bCs/>
                <w:u w:val="single"/>
                <w:lang w:val="en-US"/>
              </w:rPr>
            </w:pPr>
            <w:r>
              <w:rPr>
                <w:rFonts w:cs="Times New Roman"/>
              </w:rPr>
              <w:t xml:space="preserve">  </w:t>
            </w:r>
            <w:r w:rsidR="00927F0E" w:rsidRPr="00927F0E">
              <w:rPr>
                <w:b/>
                <w:bCs/>
                <w:lang w:val="en-US"/>
              </w:rPr>
              <w:t>p-ISSN 2252-648X</w:t>
            </w:r>
          </w:p>
          <w:p w14:paraId="5DAFEB2B" w14:textId="62E3AAF6" w:rsidR="0014124E" w:rsidRPr="006718B5" w:rsidRDefault="00927F0E" w:rsidP="00CA23F5">
            <w:pPr>
              <w:pStyle w:val="BasicParagraph"/>
              <w:tabs>
                <w:tab w:val="left" w:pos="3431"/>
                <w:tab w:val="right" w:pos="4823"/>
              </w:tabs>
              <w:spacing w:line="276" w:lineRule="auto"/>
              <w:jc w:val="right"/>
              <w:rPr>
                <w:rFonts w:cs="Times New Roman"/>
                <w:b/>
                <w:bCs/>
                <w:u w:val="single"/>
                <w:lang w:val="en-US"/>
              </w:rPr>
            </w:pPr>
            <w:r w:rsidRPr="00927F0E">
              <w:rPr>
                <w:b/>
                <w:bCs/>
                <w:lang w:val="en-US"/>
              </w:rPr>
              <w:t>e-ISSN 2502-4477</w:t>
            </w:r>
          </w:p>
          <w:p w14:paraId="40DDB7F3" w14:textId="77777777" w:rsidR="0048529F" w:rsidRPr="0091376E" w:rsidRDefault="0048529F" w:rsidP="00CA23F5">
            <w:pPr>
              <w:pStyle w:val="BasicParagraph"/>
              <w:tabs>
                <w:tab w:val="left" w:pos="3431"/>
                <w:tab w:val="right" w:pos="4823"/>
              </w:tabs>
              <w:spacing w:line="276" w:lineRule="auto"/>
              <w:jc w:val="right"/>
              <w:rPr>
                <w:rFonts w:cs="Times New Roman"/>
                <w:lang w:val="en-US"/>
              </w:rPr>
            </w:pPr>
          </w:p>
        </w:tc>
      </w:tr>
    </w:tbl>
    <w:p w14:paraId="7044F5D7" w14:textId="77777777" w:rsidR="00B60EF7" w:rsidRPr="00A90BD0" w:rsidRDefault="00B60EF7" w:rsidP="00CA23F5">
      <w:pPr>
        <w:spacing w:before="0" w:beforeAutospacing="0" w:after="0" w:afterAutospacing="0" w:line="276" w:lineRule="auto"/>
        <w:ind w:left="0"/>
        <w:jc w:val="both"/>
        <w:rPr>
          <w:rFonts w:ascii="Calisto MT" w:hAnsi="Calisto MT" w:cs="Times New Roman"/>
        </w:rPr>
        <w:sectPr w:rsidR="00B60EF7" w:rsidRPr="00A90BD0" w:rsidSect="00974668">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720" w:footer="720" w:gutter="0"/>
          <w:pgNumType w:start="23"/>
          <w:cols w:space="720"/>
          <w:titlePg/>
          <w:docGrid w:linePitch="360"/>
        </w:sectPr>
      </w:pPr>
    </w:p>
    <w:p w14:paraId="20982468" w14:textId="77777777" w:rsidR="00B316FD" w:rsidRPr="003447B2" w:rsidRDefault="00A067F6" w:rsidP="00A51101">
      <w:pPr>
        <w:pStyle w:val="Heading2"/>
        <w:spacing w:after="240"/>
      </w:pPr>
      <w:r w:rsidRPr="00A067F6">
        <w:lastRenderedPageBreak/>
        <w:t>INTRODUCTION</w:t>
      </w:r>
    </w:p>
    <w:p w14:paraId="63C568E7" w14:textId="6BFBBE7E" w:rsidR="00B23507" w:rsidRPr="00B23507" w:rsidRDefault="00B23507" w:rsidP="00524F35">
      <w:pPr>
        <w:pStyle w:val="ListParagraph"/>
        <w:ind w:left="0" w:firstLine="426"/>
        <w:jc w:val="both"/>
        <w:rPr>
          <w:rFonts w:ascii="Calisto MT" w:hAnsi="Calisto MT"/>
          <w:sz w:val="20"/>
          <w:szCs w:val="20"/>
          <w:lang w:val="en-US"/>
        </w:rPr>
      </w:pPr>
      <w:r w:rsidRPr="00B23507">
        <w:rPr>
          <w:rFonts w:ascii="Calisto MT" w:hAnsi="Calisto MT"/>
          <w:sz w:val="20"/>
          <w:szCs w:val="20"/>
        </w:rPr>
        <w:t>Moving is a basic need that becomes a daily activity. The form of movement activity that can be done, especially in early childhood, is play</w:t>
      </w:r>
      <w:r w:rsidR="00E837A0">
        <w:rPr>
          <w:rFonts w:ascii="Calisto MT" w:hAnsi="Calisto MT"/>
          <w:sz w:val="20"/>
          <w:szCs w:val="20"/>
          <w:lang w:val="en-US"/>
        </w:rPr>
        <w:t xml:space="preserve"> </w:t>
      </w:r>
      <w:r w:rsidR="00E837A0">
        <w:rPr>
          <w:rFonts w:ascii="Calisto MT" w:hAnsi="Calisto MT"/>
          <w:sz w:val="20"/>
          <w:szCs w:val="20"/>
          <w:lang w:val="en-US"/>
        </w:rPr>
        <w:fldChar w:fldCharType="begin" w:fldLock="1"/>
      </w:r>
      <w:r w:rsidR="00524F35">
        <w:rPr>
          <w:rFonts w:ascii="Calisto MT" w:hAnsi="Calisto MT"/>
          <w:sz w:val="20"/>
          <w:szCs w:val="20"/>
          <w:lang w:val="en-US"/>
        </w:rPr>
        <w:instrText>ADDIN CSL_CITATION {"citationItems":[{"id":"ITEM-1","itemData":{"abstract":"Ketapel merupakan permainan tradisional yang memiliki beberapa teknik yang harus diketahui, beberapa teknik dasar dalam permainan tradisional ketapel belum sepenuhnya dipahami oleh beberapa penggiat. Tujuan penelitian ini adalah untuk menganalisis biomekanika pegangan dan akurasi pada permainan tradisional. Penelitian ini menggunakan metode kuantitatif yang dijabarkan secara rinci menggunakan deskriptif analitik dengan desain one shot case study. Sampel dalam penelitian ini terdiri dari 10 orang penggiat permainan tradisional yang ada di Kabupaten Semarang dan telah mengisi inform consent sebagai kesediaan untuk berpartisipasi dalam penelitian hingga selesai. Data dalam penelitian ini menggunakan data kinematik yang diperoleh dari hasil analisis video shooting permainan ketapel dengan menggunakan software kinovea versi 0.9.5. Hasil dari penelitian penelitian ini menemukan bahwa analisis pegangan dan penggiat permainan tradisional ketapel di Kabupaten Semarang pada fase persiapan memiliki rata-rata sudut pegangan 99,08 ± 5,995°, kemudian pada fase release dengan rata rata sudut pegangan 99,66 ± 4, 977. Sudut yang terbentuk oleh lengan sebagai pegangan dan bahu sebagai penarik dapat mempengaruhi hasil akhir tembakan.. Teknik pegangan yang sesuai yaitu dengan pegangan gangster grip, kemudian lengan pegangan lurus, dan membentuk sudut kurang lebih 90 derajat dari togok tubuh dikatakan efektif karena dengan teknik tersebut akan mengurangi setidaknya getaran-getaran pada gerakan tubuh yang akan menghasilkan tingkat akurasi tembakan meningkat.","author":[{"dropping-particle":"","family":"Rahesti","given":"Nonik","non-dropping-particle":"","parse-names":false,"suffix":""},{"dropping-particle":"","family":"Irawan","given":"Fajar Awang","non-dropping-particle":"","parse-names":false,"suffix":""}],"container-title":"Journal of Physical Education Health And Sport Sciences","id":"ITEM-1","issue":"1","issued":{"date-parts":[["2024"]]},"page":"1-10","title":"Analisis Gerak Permainan Ketapel : Pegangan dan Akurasi Tembakan Game Movement Analysis : Grip and Shooting Accuracy","type":"article-journal","volume":"3"},"uris":["http://www.mendeley.com/documents/?uuid=91677ce1-469e-460e-b49b-f844cf6ca3fa"]}],"mendeley":{"formattedCitation":"(Rahesti &amp; Irawan, 2024a)","manualFormatting":"(Rahesti &amp; Irawan, 2024)","plainTextFormattedCitation":"(Rahesti &amp; Irawan, 2024a)","previouslyFormattedCitation":"(Rahesti &amp; Irawan, 2024a)"},"properties":{"noteIndex":0},"schema":"https://github.com/citation-style-language/schema/raw/master/csl-citation.json"}</w:instrText>
      </w:r>
      <w:r w:rsidR="00E837A0">
        <w:rPr>
          <w:rFonts w:ascii="Calisto MT" w:hAnsi="Calisto MT"/>
          <w:sz w:val="20"/>
          <w:szCs w:val="20"/>
          <w:lang w:val="en-US"/>
        </w:rPr>
        <w:fldChar w:fldCharType="separate"/>
      </w:r>
      <w:r w:rsidR="00524F35" w:rsidRPr="00524F35">
        <w:rPr>
          <w:rFonts w:ascii="Calisto MT" w:hAnsi="Calisto MT"/>
          <w:noProof/>
          <w:sz w:val="20"/>
          <w:szCs w:val="20"/>
          <w:lang w:val="en-US"/>
        </w:rPr>
        <w:t>(Rahesti &amp; Irawan, 2024)</w:t>
      </w:r>
      <w:r w:rsidR="00E837A0">
        <w:rPr>
          <w:rFonts w:ascii="Calisto MT" w:hAnsi="Calisto MT"/>
          <w:sz w:val="20"/>
          <w:szCs w:val="20"/>
          <w:lang w:val="en-US"/>
        </w:rPr>
        <w:fldChar w:fldCharType="end"/>
      </w:r>
      <w:r w:rsidRPr="00B23507">
        <w:rPr>
          <w:rFonts w:ascii="Calisto MT" w:hAnsi="Calisto MT"/>
          <w:sz w:val="20"/>
          <w:szCs w:val="20"/>
        </w:rPr>
        <w:t xml:space="preserve">. Play is considered to be a movement activity that has long been recognized because it is an activity that can reduce workload and can be a rest or </w:t>
      </w:r>
      <w:r w:rsidRPr="00B23507">
        <w:rPr>
          <w:rFonts w:ascii="Calisto MT" w:hAnsi="Calisto MT"/>
          <w:i/>
          <w:sz w:val="20"/>
          <w:szCs w:val="20"/>
        </w:rPr>
        <w:t xml:space="preserve">refreshing </w:t>
      </w:r>
      <w:r w:rsidRPr="00B23507">
        <w:rPr>
          <w:rFonts w:ascii="Calisto MT" w:hAnsi="Calisto MT"/>
          <w:sz w:val="20"/>
          <w:szCs w:val="20"/>
        </w:rPr>
        <w:t>activity</w:t>
      </w:r>
      <w:r w:rsidRPr="00B23507">
        <w:rPr>
          <w:rFonts w:ascii="Calisto MT" w:hAnsi="Calisto MT"/>
          <w:sz w:val="20"/>
          <w:szCs w:val="20"/>
        </w:rPr>
        <w:fldChar w:fldCharType="begin" w:fldLock="1"/>
      </w:r>
      <w:r w:rsidR="008E3C63">
        <w:rPr>
          <w:rFonts w:ascii="Calisto MT" w:hAnsi="Calisto MT"/>
          <w:sz w:val="20"/>
          <w:szCs w:val="20"/>
        </w:rPr>
        <w:instrText>ADDIN CSL_CITATION {"citationItems":[{"id":"ITEM-1","itemData":{"ISBN":"9786235287256","abstract":"Prestasi olahraga patut diperjuangkan oleh semua bangsa- bangsa yang berdaulat karena hanya negara yang berdaulat yang memiliki hak untuk mengibarkan bendera kenegaraan dan mengumandangkan lagu nasional di negara lain. Hanya ada dua kesempatan untuk melakukan hal tersebut yaitu ketika perwakilan negara yang berkunjung ke negara lain dan tercapainya prestasi tertinggi dalam olahraga. Suatu kebanggaan yang besar jika negara dengan pengakuan atas prestasi olahraga di kancah dunia. Oleh karena itu, Indonesia membuat rumusan pembinaan olahraga yang terstruktur, terukur, dan terencana sebagai wadah investasi prestasi nasional di bidang olahraga dengan merancang Desain Besar Olahraga Nasional (DBON) yang ditetapkan dalam Perpres Nomor 86 Tahun 2021. Rancangan","author":[{"dropping-particle":"","family":"Asmawi","given":"Mochammad","non-dropping-particle":"","parse-names":false,"suffix":""},{"dropping-particle":"","family":"Yudho","given":"Firdaus Hendry Prabowo","non-dropping-particle":"","parse-names":false,"suffix":""},{"dropping-particle":"","family":"Sina","given":"Ibnu","non-dropping-particle":"","parse-names":false,"suffix":""},{"dropping-particle":"","family":"Gumantan","given":"Aditya","non-dropping-particle":"","parse-names":false,"suffix":""},{"dropping-particle":"","family":"Kemala","given":"Aisya","non-dropping-particle":"","parse-names":false,"suffix":""},{"dropping-particle":"","family":"Iqbal","given":"Rahmat","non-dropping-particle":"","parse-names":false,"suffix":""},{"dropping-particle":"","family":"Resita","given":"Citra","non-dropping-particle":"","parse-names":false,"suffix":""}],"id":"ITEM-1","issue":"April","issued":{"date-parts":[["2022"]]},"number-of-pages":"1-330","title":"Desain Besar Olahraga Nasional Menuju Indonesia Emas","type":"book"},"uris":["http://www.mendeley.com/documents/?uuid=92455e48-e9d0-44ed-90c0-555d94749129"]}],"mendeley":{"formattedCitation":"(Asmawi et al., 2022)","manualFormatting":" (Asmawi et al., 2022)","plainTextFormattedCitation":"(Asmawi et al., 2022)","previouslyFormattedCitation":"(Asmawi et al., 2022)"},"properties":{"noteIndex":0},"schema":"https://github.com/citation-style-language/schema/raw/master/csl-citation.json"}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(Asmawi et al., 2022)</w:t>
      </w:r>
      <w:r w:rsidRPr="00B23507">
        <w:rPr>
          <w:rFonts w:ascii="Calisto MT" w:hAnsi="Calisto MT"/>
          <w:sz w:val="20"/>
          <w:szCs w:val="20"/>
        </w:rPr>
        <w:fldChar w:fldCharType="end"/>
      </w:r>
      <w:r w:rsidRPr="00B23507">
        <w:rPr>
          <w:rFonts w:ascii="Calisto MT" w:hAnsi="Calisto MT"/>
          <w:sz w:val="20"/>
          <w:szCs w:val="20"/>
        </w:rPr>
        <w:t xml:space="preserve"> . According to</w:t>
      </w:r>
      <w:r w:rsidRPr="00B23507">
        <w:rPr>
          <w:rFonts w:ascii="Calisto MT" w:hAnsi="Calisto MT"/>
          <w:sz w:val="20"/>
          <w:szCs w:val="20"/>
        </w:rPr>
        <w:fldChar w:fldCharType="begin" w:fldLock="1"/>
      </w:r>
      <w:r w:rsidRPr="00B23507">
        <w:rPr>
          <w:rFonts w:ascii="Calisto MT" w:hAnsi="Calisto MT"/>
          <w:sz w:val="20"/>
          <w:szCs w:val="20"/>
        </w:rPr>
        <w:instrText>ADDIN CSL_CITATION {"citationItems":[{"id":"ITEM-1","itemData":{"ISBN":"9786237123750","author":[{"dropping-particle":"","family":"Kurniaziz","given":"Septian Bagas Panji","non-dropping-particle":"","parse-names":false,"suffix":""},{"dropping-particle":"","family":"Irawan","given":"Fajar Awang","non-dropping-particle":"","parse-names":false,"suffix":""},{"dropping-particle":"","family":"Permana","given":"Dhias Fajar Widya","non-dropping-particle":"","parse-names":false,"suffix":""},{"dropping-particle":"","family":"Asnawi","given":"Slamet","non-dropping-particle":"","parse-names":false,"suffix":""},{"dropping-particle":"","family":"Setyawan","given":"Alfa Budi","non-dropping-particle":"","parse-names":false,"suffix":""},{"dropping-particle":"","family":"Pamungkas","given":"Aji Tri","non-dropping-particle":"","parse-names":false,"suffix":""}],"edition":"1","editor":[{"dropping-particle":"","family":"Irawan","given":"Fajar Awang","non-dropping-particle":"","parse-names":false,"suffix":""}],"id":"ITEM-1","issued":{"date-parts":[["2022"]]},"number-of-pages":"94","publisher":"Fakultas Ilmu Keolahragaan Universitas Negeri Semarang","publisher-place":"Semarang","title":"Media Sosial Membangun Kembali Olahraga Tradisional","type":"book"},"uris":["http://www.mendeley.com/documents/?uuid=6e7d4dd5-137d-46c4-b9f3-46706c34f57e"]}],"mendeley":{"formattedCitation":"(Kurniaziz et al., 2022)","manualFormatting":" Kurniaziz et al., (2022)","plainTextFormattedCitation":"(Kurniaziz et al., 2022)","previouslyFormattedCitation":"(Kurniaziz et al., 2022)"},"properties":{"noteIndex":0},"schema":"https://github.com/citation-style-language/schema/raw/master/csl-citation.json"}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Kurniaziz et al., (2022)</w:t>
      </w:r>
      <w:r w:rsidRPr="00B23507">
        <w:rPr>
          <w:rFonts w:ascii="Calisto MT" w:hAnsi="Calisto MT"/>
          <w:sz w:val="20"/>
          <w:szCs w:val="20"/>
        </w:rPr>
        <w:fldChar w:fldCharType="end"/>
      </w:r>
      <w:r w:rsidRPr="00B23507">
        <w:rPr>
          <w:rFonts w:ascii="Calisto MT" w:hAnsi="Calisto MT"/>
          <w:sz w:val="20"/>
          <w:szCs w:val="20"/>
        </w:rPr>
        <w:t xml:space="preserve"> game comes from the word "play" which means doing activities that make you feel good, whether using tools or not.  Play is synonymous with the world of children as entertainment that functions as an activity needed to socialize, improve emotional intelligence and also physical exercise</w:t>
      </w:r>
      <w:r w:rsidRPr="00B23507">
        <w:rPr>
          <w:rFonts w:ascii="Calisto MT" w:hAnsi="Calisto MT"/>
          <w:sz w:val="20"/>
          <w:szCs w:val="20"/>
        </w:rPr>
        <w:fldChar w:fldCharType="begin" w:fldLock="1"/>
      </w:r>
      <w:r w:rsidR="008E3C63">
        <w:rPr>
          <w:rFonts w:ascii="Calisto MT" w:hAnsi="Calisto MT"/>
          <w:sz w:val="20"/>
          <w:szCs w:val="20"/>
        </w:rPr>
        <w:instrText>ADDIN CSL_CITATION {"citationItems":[{"id":"ITEM-1","itemData":{"DOI":"10.26740/jossae.v9n1.p18-27","ISSN":"2723-6676","abstract":"Slingshot is a traditional game that has several basic techniques that must be mastered. Some of the basic techniques in the traditional slingshot game have not been fully understood by some players. This study aims to analyze the biomechanical grip and pull of slingshot in traditional games. This quantitative study used a sample consisting of 10 traditional slingshot game players in Semarang Regency. Kinematic data were obtained from the slingshot shooting video analysis using Kinovea software version 0.9.5. The kinematic data consisted of three phases: preparation, release, and followthrough. This study found that the ideal grip is a straight hand position that is parallel to the arm pull until an angle of 90o is formed. Effective and efficient pulling techniques are carried out by pulling and anchoring the rubber in the preparation phase right on the cheekbone as a support point. Hence, the rubber pull is consistent in the same position. Further study needs to be conducted to discuss the analysis of the length of the pulling and shooting accuracy.","author":[{"dropping-particle":"","family":"Rahesti","given":"Nonik","non-dropping-particle":"","parse-names":false,"suffix":""},{"dropping-particle":"","family":"Irawan","given":"Fajar Awang","non-dropping-particle":"","parse-names":false,"suffix":""},{"dropping-particle":"","family":"Long-Ren","given":"Chuang","non-dropping-particle":"","parse-names":false,"suffix":""}],"container-title":"JOSSAE (Journal of Sport Science and Education)","id":"ITEM-1","issue":"1","issued":{"date-parts":[["2024"]]},"page":"18-27","title":"Biomechanical Analysis of Slingshot Grip dan Pull in Traditional Game","type":"article-journal","volume":"9"},"uris":["http://www.mendeley.com/documents/?uuid=9ac7746e-2a71-427f-998f-3f56bdfdf049"]}],"mendeley":{"formattedCitation":"(Rahesti et al., 2024)","manualFormatting":" (Rahesti et al., 2024)","plainTextFormattedCitation":"(Rahesti et al., 2024)","previouslyFormattedCitation":"(Rahesti et al., 2024)"},"properties":{"noteIndex":0},"schema":"https://github.com/citation-style-language/schema/raw/master/csl-citation.json"}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(Rahesti et al., 2024)</w:t>
      </w:r>
      <w:r w:rsidRPr="00B23507">
        <w:rPr>
          <w:rFonts w:ascii="Calisto MT" w:hAnsi="Calisto MT"/>
          <w:sz w:val="20"/>
          <w:szCs w:val="20"/>
        </w:rPr>
        <w:fldChar w:fldCharType="end"/>
      </w:r>
      <w:r w:rsidRPr="00B23507">
        <w:rPr>
          <w:rFonts w:ascii="Calisto MT" w:hAnsi="Calisto MT"/>
          <w:sz w:val="20"/>
          <w:szCs w:val="20"/>
        </w:rPr>
        <w:t xml:space="preserve"> . The games carried out in ancient children are traditional games</w:t>
      </w:r>
      <w:r w:rsidRPr="00B23507">
        <w:rPr>
          <w:rFonts w:ascii="Calisto MT" w:hAnsi="Calisto MT"/>
          <w:sz w:val="20"/>
          <w:szCs w:val="20"/>
        </w:rPr>
        <w:fldChar w:fldCharType="begin" w:fldLock="1"/>
      </w:r>
      <w:r w:rsidR="008E3C63">
        <w:rPr>
          <w:rFonts w:ascii="Calisto MT" w:hAnsi="Calisto MT"/>
          <w:sz w:val="20"/>
          <w:szCs w:val="20"/>
        </w:rPr>
        <w:instrText>ADDIN CSL_CITATION {"citationItems":[{"id":"ITEM-1","itemData":{"DOI":"https://doi.org/https://doi.org/10.21831/jpok.v4i1.19304","author":[{"dropping-particle":"","family":"Rahesti","given":"Nonik","non-dropping-particle":"","parse-names":false,"suffix":""},{"dropping-particle":"","family":"Irawan","given":"Fajar Awang","non-dropping-particle":"","parse-names":false,"suffix":""},{"dropping-particle":"","family":"Chuang","given":"Long-ren","non-dropping-particle":"","parse-names":false,"suffix":""}],"container-title":"Jurnal Pedagogi Olahraga dan Kesehatan","id":"ITEM-1","issue":"1","issued":{"date-parts":[["2023"]]},"page":"22-29","title":"Analisis permainan tradisional dalam pelestarian budaya : Systematic literatur review Analysis of traditional games in cultural preservation : Systematic literature review","type":"article-journal","volume":"4"},"uris":["http://www.mendeley.com/documents/?uuid=d61b64fb-77c6-463a-b212-e55e2f9f9189"]}],"mendeley":{"formattedCitation":"(Rahesti et al., 2023)","manualFormatting":" (Rahesti et al., 2023) . ","plainTextFormattedCitation":"(Rahesti et al., 2023)","previouslyFormattedCitation":"(Rahesti et al., 2023)"},"properties":{"noteIndex":0},"schema":"https://github.com/citation-style-language/schema/raw/master/csl-citation.json"}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(Rahesti et al., 2023) . </w:t>
      </w:r>
      <w:r w:rsidRPr="00B23507">
        <w:rPr>
          <w:rFonts w:ascii="Calisto MT" w:hAnsi="Calisto MT"/>
          <w:sz w:val="20"/>
          <w:szCs w:val="20"/>
        </w:rPr>
        <w:fldChar w:fldCharType="end"/>
      </w:r>
    </w:p>
    <w:p w14:paraId="1AAE73CD" w14:textId="34BF92AD" w:rsidR="00B23507" w:rsidRDefault="00B23507" w:rsidP="00524F35">
      <w:pPr>
        <w:pStyle w:val="ListParagraph"/>
        <w:spacing w:after="0"/>
        <w:ind w:left="0" w:firstLine="426"/>
        <w:jc w:val="both"/>
        <w:rPr>
          <w:rFonts w:ascii="Calisto MT" w:hAnsi="Calisto MT"/>
          <w:sz w:val="20"/>
          <w:szCs w:val="20"/>
          <w:lang w:val="en-US"/>
        </w:rPr>
      </w:pPr>
      <w:r w:rsidRPr="00B23507">
        <w:rPr>
          <w:rFonts w:ascii="Calisto MT" w:hAnsi="Calisto MT"/>
          <w:sz w:val="20"/>
          <w:szCs w:val="20"/>
        </w:rPr>
        <w:t>Traditional games have an important role of children</w:t>
      </w:r>
      <w:r w:rsidRPr="00B23507">
        <w:rPr>
          <w:rFonts w:ascii="Calisto MT" w:hAnsi="Calisto MT"/>
          <w:sz w:val="20"/>
          <w:szCs w:val="20"/>
        </w:rPr>
        <w:fldChar w:fldCharType="begin" w:fldLock="1"/>
      </w:r>
      <w:r w:rsidR="008E3C63">
        <w:rPr>
          <w:rFonts w:ascii="Calisto MT" w:hAnsi="Calisto MT"/>
          <w:sz w:val="20"/>
          <w:szCs w:val="20"/>
        </w:rPr>
        <w:instrText>ADDIN CSL_CITATION {"citationItems":[{"id":"ITEM-1","itemData":{"DOI":"10.5281/zenodo.10837470","ISSN":"2583-2034","author":[{"dropping-particle":"","family":"Priyono","given":"Bambang","non-dropping-particle":"","parse-names":false,"suffix":""},{"dropping-particle":"","family":"Wahyudi","given":"Agung","non-dropping-particle":"","parse-names":false,"suffix":""},{"dropping-particle":"","family":"Irawan","given":"Ricko","non-dropping-particle":"","parse-names":false,"suffix":""},{"dropping-particle":"","family":"Rozi","given":"Fatkhur","non-dropping-particle":"","parse-names":false,"suffix":""}],"id":"ITEM-1","issued":{"date-parts":[["2024"]]},"page":"233-236","title":"Global Journal of Arts Humanity and Social Sciences Character Values in Gongcik Traditional Martial Arts","type":"article-journal"},"uris":["http://www.mendeley.com/documents/?uuid=ca65d643-9c4c-4e95-af5f-654d621cb769"]}],"mendeley":{"formattedCitation":"(Priyono et al., 2024)","manualFormatting":" (Priyono et al., 2024) ","plainTextFormattedCitation":"(Priyono et al., 2024)","previouslyFormattedCitation":"(Priyono et al., 2024)"},"properties":{"noteIndex":0},"schema":"https://github.com/citation-style-language/schema/raw/master/csl-citation.json"}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(Priyono et al., 2024) </w:t>
      </w:r>
      <w:r w:rsidRPr="00B23507">
        <w:rPr>
          <w:rFonts w:ascii="Calisto MT" w:hAnsi="Calisto MT"/>
          <w:sz w:val="20"/>
          <w:szCs w:val="20"/>
        </w:rPr>
        <w:fldChar w:fldCharType="end"/>
      </w:r>
      <w:r w:rsidRPr="00B23507">
        <w:rPr>
          <w:rFonts w:ascii="Calisto MT" w:hAnsi="Calisto MT"/>
          <w:sz w:val="20"/>
          <w:szCs w:val="20"/>
        </w:rPr>
        <w:fldChar w:fldCharType="begin" w:fldLock="1"/>
      </w:r>
      <w:r w:rsidR="00E837A0">
        <w:rPr>
          <w:rFonts w:ascii="Calisto MT" w:hAnsi="Calisto MT"/>
          <w:sz w:val="20"/>
          <w:szCs w:val="20"/>
        </w:rPr>
        <w:instrText>ADDIN CSL_CITATION {"citationItems":[{"id":"ITEM-1","itemData":{"DOI":"10.24042/ajipaud.v4i1.8215","ISSN":"2622-5484","abstract":"Motor coordination will be hampered if the stimulation of children's movement development tends to be neglected. This will have an impact on the child's movement skills. The purpose of this study was to determine traditional games in basic physical activities using locomotor skills. This study uses Classroom Action Research (PTK) which aims to see how much increase in the application of traditional games. The research was conducted at Madrasah Ibtidaiyah Lerep Ungaran Barat and this study used male students aged 7-9 years. There were 18 children who followed and participated in traditional games in this study. Only 8 children scored 44-62 and 10 children scored 63-81, so there were still some children who had not developed according to expectations in cycle I. Basic locomotor skills in cycle II obtained the developing category according to expectations. totaled 3 children and Very Good Development as many as 15 children. Activities carried out by children can increase stimulation and can develop movement skills to improve children's motor skills. The data on basic locomotor motion skills in pre-cycle is 33% in the Undeveloped category. In the first cycle, 45% was found in the Start Developing category and in the second cycle it was 83% in the Very Developed category. This study found that traditional games are suitable for the development of fundamental locomotor skills. Future research can add to children's physical fitness activities that can monitor their increase in physical abilities.","author":[{"dropping-particle":"","family":"Irawan","given":"Fajar Awang","non-dropping-particle":"","parse-names":false,"suffix":""},{"dropping-particle":"","family":"Sutaryono","given":"Sutaryono","non-dropping-particle":"","parse-names":false,"suffix":""},{"dropping-particle":"","family":"Permana","given":"Dhias Fajar Widya","non-dropping-particle":"","parse-names":false,"suffix":""},{"dropping-particle":"","family":"Chuang","given":"Long-Ren","non-dropping-particle":"","parse-names":false,"suffix":""},{"dropping-particle":"","family":"Yuwono","given":"Yuwono","non-dropping-particle":"","parse-names":false,"suffix":""}],"container-title":"Al-Athfaal: Jurnal Ilmiah Pendidikan Anak Usia Dini","id":"ITEM-1","issue":"1","issued":{"date-parts":[["2021"]]},"page":"1-13","title":"Locomotor Skills: Traditional Games in the Fundamental of Physical Activities","type":"article-journal","volume":"4"},"uris":["http://www.mendeley.com/documents/?uuid=ce4dd661-8d99-435a-bda2-464b5ac4dd4d"]}],"mendeley":{"formattedCitation":"(Irawan, Sutaryono, Permana, Chuang, et al., 2021)","plainTextFormattedCitation":"(Irawan, Sutaryono, Permana, Chuang, et al., 2021)","previouslyFormattedCitation":"(Irawan, Sutaryono, Permana, Chuang, et al., 2021)"},"properties":{"noteIndex":0},"schema":"https://github.com/citation-style-language/schema/raw/master/csl-citation.json"}</w:instrText>
      </w:r>
      <w:r w:rsidRPr="00B23507">
        <w:rPr>
          <w:rFonts w:ascii="Calisto MT" w:hAnsi="Calisto MT"/>
          <w:sz w:val="20"/>
          <w:szCs w:val="20"/>
        </w:rPr>
        <w:fldChar w:fldCharType="separate"/>
      </w:r>
      <w:r w:rsidR="00E837A0" w:rsidRPr="00E837A0">
        <w:rPr>
          <w:rFonts w:ascii="Calisto MT" w:hAnsi="Calisto MT"/>
          <w:noProof/>
          <w:sz w:val="20"/>
          <w:szCs w:val="20"/>
        </w:rPr>
        <w:t>(Irawan, Sutaryono, Permana, Chuang, et al., 2021)</w:t>
      </w:r>
      <w:r w:rsidRPr="00B23507">
        <w:rPr>
          <w:rFonts w:ascii="Calisto MT" w:hAnsi="Calisto MT"/>
          <w:sz w:val="20"/>
          <w:szCs w:val="20"/>
        </w:rPr>
        <w:fldChar w:fldCharType="end"/>
      </w:r>
      <w:r w:rsidRPr="00B23507">
        <w:rPr>
          <w:rFonts w:ascii="Calisto MT" w:hAnsi="Calisto MT"/>
          <w:sz w:val="20"/>
          <w:szCs w:val="20"/>
        </w:rPr>
        <w:t xml:space="preserve"> . One of the traditional games that is still played today is the egrang game.  The egrang game is a traditional game made from two bamboo sticks whose size is adjusted to the height of the user's body</w:t>
      </w:r>
      <w:r w:rsidRPr="00B23507">
        <w:rPr>
          <w:rFonts w:ascii="Calisto MT" w:hAnsi="Calisto MT"/>
          <w:sz w:val="20"/>
          <w:szCs w:val="20"/>
        </w:rPr>
        <w:fldChar w:fldCharType="begin" w:fldLock="1"/>
      </w:r>
      <w:r w:rsidR="008E3C63">
        <w:rPr>
          <w:rFonts w:ascii="Calisto MT" w:hAnsi="Calisto MT"/>
          <w:sz w:val="20"/>
          <w:szCs w:val="20"/>
        </w:rPr>
        <w:instrText>ADDIN CSL_CITATION {"citationItems":[{"id":"ITEM-1","itemData":{"DOI":"10.21831/jpji.v16i1.30785","ISSN":"0216-1699","abstract":"Penelitian ini dilatarbelakangi banyak siswa yang memiliki keterampilan gerak fundamental yang kurang optimal. Penguasaan keterampilan gerak fundamental yang kurang optimal akan berpengaruh terhadap pencapaian keterampilan gerak tahap berikutnya. Berdasarkan hal tersebut, penelitian dilakukan bertujuan untuk meningkatkan keterampilan gerak fundamental dengan menggunakan permainan tradisional. Penelitian menggunakan metode eksperimen dengan menggunakan desain one group pretest-posttest design. Penelitian dilakukan dengan mengimplementasikan permainan tradisional dalam pembelajaran pendidikan jasmani. Subjek penelitian adalah siswa sekolah dasar kelas satu dengan jumlah partisipan 30 orang yang terdiri atas 16 siswa dan 14 siswi dengan rata-rata umur 6 tahun. Teknik pengumpulan data menggunakan Test of Gross Motor Skill-Second Edition (TGMD-2) dan dianalisis menggunakan deskripsi kuantitatif dan uji beda. Hasil penelitian menunjukkan bahwa telah terjadi peningkatan keterampilan gerak fundamental siswa sekolah dasar. Adanya peningkatan dikarenakan permainan tradisional mampu menstimulus siswa untuk aktif dalam melakukan gerak dan aktivitas yang menyenangkan bagi siswa. Berdasarkan hasil analisis tersebut maka dapat ditarik kesimpulan terdapat pengaruh secara signifikan permainan tradisional terhadap keterampilan gerak fundamental siswa sekolah dasar. Use of traditional game to improve fundamental movement skills of elementary school studentsAbstractmovement skills. Mastery of fundamental movement skills that are less than optimal will affect the achievement of the next stage of motion skills. Based on this, the research carried out aims to improve fundamental movement skills by using traditional games. The study used an experimental method using one group pretest-posttest design. The study was conducted by implementing traditional games in physical education learning. The research subjects were first grade elementary school students with 30 participants consisting of 16 boys and 14 girls with an average age of 6 years. Data collection techniques using the Test of Gross Motor Skill-Second Edition (TGMD-2) and analyzed using quantitative descriptions and different tests. The results showed that there had been an increase in the fundamental skills of elementary school students. There is an increase due to traditional games able to stimulate students to be active in doing movements and activities that are fun for students. Based on the results of the analysis …","author":[{"dropping-particle":"","family":"Ariyanto","given":"Ariyanto","non-dropping-particle":"","parse-names":false,"suffix":""},{"dropping-particle":"","family":"Triansyah","given":"Andika","non-dropping-particle":"","parse-names":false,"suffix":""},{"dropping-particle":"","family":"Gustian","given":"Uray","non-dropping-particle":"","parse-names":false,"suffix":""}],"container-title":"Jurnal Pendidikan Jasmani Indonesia","id":"ITEM-1","issue":"1","issued":{"date-parts":[["2020"]]},"page":"78-91","title":"Penggunaan permainan tradisional untuk meningkatkan keterampilan gerak fundamental siswa Sekolah Dasar","type":"article-journal","volume":"16"},"uris":["http://www.mendeley.com/documents/?uuid=62e33f79-9232-4047-a47e-eb2dc1e8b03c"]}],"mendeley":{"formattedCitation":"(Ariyanto et al., 2020)","manualFormatting":" (Ariyanto et al., 2020)","plainTextFormattedCitation":"(Ariyanto et al., 2020)","previouslyFormattedCitation":"(Ariyanto et al., 2020)"},"properties":{"noteIndex":0},"schema":"https://github.com/citation-style-language/schema/raw/master/csl-citation.json"}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(Ariyanto et al., 2020)</w:t>
      </w:r>
      <w:r w:rsidRPr="00B23507">
        <w:rPr>
          <w:rFonts w:ascii="Calisto MT" w:hAnsi="Calisto MT"/>
          <w:sz w:val="20"/>
          <w:szCs w:val="20"/>
        </w:rPr>
        <w:fldChar w:fldCharType="end"/>
      </w:r>
      <w:r w:rsidRPr="00B23507">
        <w:rPr>
          <w:rFonts w:ascii="Calisto MT" w:hAnsi="Calisto MT"/>
          <w:sz w:val="20"/>
          <w:szCs w:val="20"/>
        </w:rPr>
        <w:t xml:space="preserve"> . According to</w:t>
      </w:r>
      <w:r w:rsidRPr="00B23507">
        <w:rPr>
          <w:rFonts w:ascii="Calisto MT" w:hAnsi="Calisto MT"/>
          <w:sz w:val="20"/>
          <w:szCs w:val="20"/>
        </w:rPr>
        <w:fldChar w:fldCharType="begin" w:fldLock="1"/>
      </w:r>
      <w:r w:rsidR="008E3C63">
        <w:rPr>
          <w:rFonts w:ascii="Calisto MT" w:hAnsi="Calisto MT"/>
          <w:sz w:val="20"/>
          <w:szCs w:val="20"/>
        </w:rPr>
        <w:instrText>ADDIN CSL_CITATION {"citationItems":[{"id":"ITEM-1","itemData":{"abstract":"trabajo de investigacion","author":[{"dropping-particle":"","family":"Gulo","given":"Rudolf Kesatria","non-dropping-particle":"","parse-names":false,"suffix":""},{"dropping-particle":"","family":"Putri","given":"Rachel Junika Abelia","non-dropping-particle":"","parse-names":false,"suffix":""},{"dropping-particle":"","family":"Sitepu","given":"Pijai Prana","non-dropping-particle":"","parse-names":false,"suffix":""},{"dropping-particle":"","family":"Tarigan","given":"Prama Uda","non-dropping-particle":"","parse-names":false,"suffix":""},{"dropping-particle":"","family":"Praninci","given":"","non-dropping-particle":"","parse-names":false,"suffix":""},{"dropping-particle":"","family":"Gea","given":"Putra Friendlyman","non-dropping-particle":"","parse-names":false,"suffix":""},{"dropping-particle":"","family":"Siregar","given":"Primayadi Perwira","non-dropping-particle":"","parse-names":false,"suffix":""},{"dropping-particle":"","family":"Silaban","given":"Putra Anugrah","non-dropping-particle":"","parse-names":false,"suffix":""},{"dropping-particle":"","family":"Girsang","given":"Parulian Pandapotan","non-dropping-particle":"","parse-names":false,"suffix":""},{"dropping-particle":"","family":"Pardede","given":"Prayesti Br.","non-dropping-particle":"","parse-names":false,"suffix":""}],"id":"ITEM-1","issued":{"date-parts":[["2023"]]},"page":"pp.1-14","title":"Studi Analisis Permainan Tradisional Egrang Terhadap Kebugaran Jasmani Untuk Siswa SD Negeri Doulu Kecamatan Berastagi","type":"article-journal","volume":"vol.11"},"uris":["http://www.mendeley.com/documents/?uuid=8e78d620-a099-4547-8a9f-e37f34965199"]}],"mendeley":{"formattedCitation":"(Gulo et al., 2023)","manualFormatting":" Gulo et al., (2023)","plainTextFormattedCitation":"(Gulo et al., 2023)","previouslyFormattedCitation":"(Gulo et al., 2023)"},"properties":{"noteIndex":0},"schema":"https://github.com/citation-style-language/schema/raw/master/csl-citation.json"}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Gulo et al., (2023)</w:t>
      </w:r>
      <w:r w:rsidRPr="00B23507">
        <w:rPr>
          <w:rFonts w:ascii="Calisto MT" w:hAnsi="Calisto MT"/>
          <w:sz w:val="20"/>
          <w:szCs w:val="20"/>
        </w:rPr>
        <w:fldChar w:fldCharType="end"/>
      </w:r>
      <w:r w:rsidRPr="00B23507">
        <w:rPr>
          <w:rFonts w:ascii="Calisto MT" w:hAnsi="Calisto MT"/>
          <w:sz w:val="20"/>
          <w:szCs w:val="20"/>
        </w:rPr>
        <w:t xml:space="preserve"> egrang egrang consists of two pieces of bamboo with a length of 1.5 cm for children aged 6 to 12 years and 2.5 for ages 13 years and over. Then a pedestal is made with a larger bamboo material with an elbow lock as a footrest. The essence of this egrang game is to require a person to be able to walk properly using a long bamboo with a footrest. The tools used in the egrang game are bamboo or wood which are adjusted to their respective regions, such as in the Kalimantan region the material used is wood. But for other regions more use bamboo which is strong, light, and not too big in size.</w:t>
      </w:r>
    </w:p>
    <w:p w14:paraId="26F2A45F" w14:textId="29345359" w:rsidR="00B23507" w:rsidRDefault="00B23507" w:rsidP="00524F35">
      <w:pPr>
        <w:pStyle w:val="ListParagraph"/>
        <w:spacing w:after="0"/>
        <w:ind w:left="0" w:firstLine="426"/>
        <w:jc w:val="both"/>
        <w:rPr>
          <w:rFonts w:ascii="Calisto MT" w:hAnsi="Calisto MT"/>
          <w:sz w:val="20"/>
          <w:szCs w:val="20"/>
          <w:lang w:val="en-US"/>
        </w:rPr>
      </w:pPr>
      <w:r w:rsidRPr="00B23507">
        <w:rPr>
          <w:rFonts w:ascii="Calisto MT" w:hAnsi="Calisto MT"/>
          <w:sz w:val="20"/>
          <w:szCs w:val="20"/>
        </w:rPr>
        <w:t xml:space="preserve">Playing egrang does not only rely on physicality, it also requires concentration as one of the crucial elements where players must be able to focus their full attention on each movement to maintain balance. When standing on the narrow supports of the egrang, players must be completely focused on their body position and the steps they take. Even a slight </w:t>
      </w:r>
      <w:r w:rsidRPr="00B23507">
        <w:rPr>
          <w:rFonts w:ascii="Calisto MT" w:hAnsi="Calisto MT"/>
          <w:sz w:val="20"/>
          <w:szCs w:val="20"/>
        </w:rPr>
        <w:t>distraction or inattention can cause a loss of balance and lead to a fall. In the event of a distraction players will be faced with the challenge of being able to quickly adjust steps and speed based on terrain conditions or perceived changes in balance, full concentration helps players to process information quickly and make the right decision in an instant</w:t>
      </w:r>
      <w:r w:rsidR="00E837A0">
        <w:rPr>
          <w:rFonts w:ascii="Calisto MT" w:hAnsi="Calisto MT"/>
          <w:sz w:val="20"/>
          <w:szCs w:val="20"/>
          <w:lang w:val="en-US"/>
        </w:rPr>
        <w:t xml:space="preserve"> </w:t>
      </w:r>
      <w:r w:rsidR="00524F35">
        <w:rPr>
          <w:rFonts w:ascii="Calisto MT" w:hAnsi="Calisto MT"/>
          <w:sz w:val="20"/>
          <w:szCs w:val="20"/>
          <w:lang w:val="en-US"/>
        </w:rPr>
        <w:fldChar w:fldCharType="begin" w:fldLock="1"/>
      </w:r>
      <w:r w:rsidR="00CF0C4E">
        <w:rPr>
          <w:rFonts w:ascii="Calisto MT" w:hAnsi="Calisto MT"/>
          <w:sz w:val="20"/>
          <w:szCs w:val="20"/>
          <w:lang w:val="en-US"/>
        </w:rPr>
        <w:instrText>ADDIN CSL_CITATION {"citationItems":[{"id":"ITEM-1","itemData":{"ISBN":"0858660245","author":[{"dropping-particle":"","family":"Rahesti","given":"Nonik","non-dropping-particle":"","parse-names":false,"suffix":""},{"dropping-particle":"","family":"Irawan","given":"Fajar Awang","non-dropping-particle":"","parse-names":false,"suffix":""}],"container-title":"Journal of Sport Coaching and Physical Education","id":"ITEM-1","issue":"1","issued":{"date-parts":[["2024"]]},"page":"pp.71-79","title":"Analisis Teknik Tarikan yang Ideal pada Permainan Tradisional Ketapel : Tinjauan Biomekanika Olahraga","type":"article-journal","volume":"vol.9"},"uris":["http://www.mendeley.com/documents/?uuid=7a52bf8d-99b1-4a59-9068-9277a58791d2"]}],"mendeley":{"formattedCitation":"(Rahesti &amp; Irawan, 2024b)","manualFormatting":"(Rahesti &amp; Irawan, 2024)","plainTextFormattedCitation":"(Rahesti &amp; Irawan, 2024b)","previouslyFormattedCitation":"(Rahesti &amp; Irawan, 2024b)"},"properties":{"noteIndex":0},"schema":"https://github.com/citation-style-language/schema/raw/master/csl-citation.json"}</w:instrText>
      </w:r>
      <w:r w:rsidR="00524F35">
        <w:rPr>
          <w:rFonts w:ascii="Calisto MT" w:hAnsi="Calisto MT"/>
          <w:sz w:val="20"/>
          <w:szCs w:val="20"/>
          <w:lang w:val="en-US"/>
        </w:rPr>
        <w:fldChar w:fldCharType="separate"/>
      </w:r>
      <w:r w:rsidR="00524F35" w:rsidRPr="00524F35">
        <w:rPr>
          <w:rFonts w:ascii="Calisto MT" w:hAnsi="Calisto MT"/>
          <w:noProof/>
          <w:sz w:val="20"/>
          <w:szCs w:val="20"/>
          <w:lang w:val="en-US"/>
        </w:rPr>
        <w:t>(Rahesti &amp; Irawan, 2024)</w:t>
      </w:r>
      <w:r w:rsidR="00524F35">
        <w:rPr>
          <w:rFonts w:ascii="Calisto MT" w:hAnsi="Calisto MT"/>
          <w:sz w:val="20"/>
          <w:szCs w:val="20"/>
          <w:lang w:val="en-US"/>
        </w:rPr>
        <w:fldChar w:fldCharType="end"/>
      </w:r>
      <w:r w:rsidR="00E837A0">
        <w:rPr>
          <w:rFonts w:ascii="Calisto MT" w:hAnsi="Calisto MT"/>
          <w:sz w:val="20"/>
          <w:szCs w:val="20"/>
          <w:lang w:val="en-US"/>
        </w:rPr>
        <w:t xml:space="preserve"> .</w:t>
      </w:r>
    </w:p>
    <w:p w14:paraId="01DC1102" w14:textId="77777777" w:rsidR="00B23507" w:rsidRDefault="00B23507" w:rsidP="00524F35">
      <w:pPr>
        <w:pStyle w:val="ListParagraph"/>
        <w:spacing w:after="0"/>
        <w:ind w:left="0" w:firstLine="426"/>
        <w:jc w:val="both"/>
        <w:rPr>
          <w:rFonts w:ascii="Calisto MT" w:hAnsi="Calisto MT"/>
          <w:sz w:val="20"/>
          <w:szCs w:val="20"/>
          <w:lang w:val="en-US"/>
        </w:rPr>
      </w:pPr>
      <w:r w:rsidRPr="00B23507">
        <w:rPr>
          <w:rFonts w:ascii="Calisto MT" w:hAnsi="Calisto MT"/>
          <w:sz w:val="20"/>
          <w:szCs w:val="20"/>
          <w:lang w:val="en-US"/>
        </w:rPr>
        <w:t xml:space="preserve">Concentration is one of the most important factors in physical activities, including the game of </w:t>
      </w:r>
      <w:proofErr w:type="spellStart"/>
      <w:r w:rsidRPr="00B23507">
        <w:rPr>
          <w:rFonts w:ascii="Calisto MT" w:hAnsi="Calisto MT"/>
          <w:sz w:val="20"/>
          <w:szCs w:val="20"/>
          <w:lang w:val="en-US"/>
        </w:rPr>
        <w:t>egrang</w:t>
      </w:r>
      <w:proofErr w:type="spellEnd"/>
      <w:r w:rsidRPr="00B23507">
        <w:rPr>
          <w:rFonts w:ascii="Calisto MT" w:hAnsi="Calisto MT"/>
          <w:sz w:val="20"/>
          <w:szCs w:val="20"/>
          <w:lang w:val="en-US"/>
        </w:rPr>
        <w:t xml:space="preserve">. The ability to maintain focus amidst dynamic situations contributes to success in maintaining balance and overcoming game challenges. </w:t>
      </w:r>
      <w:r w:rsidRPr="00B23507">
        <w:rPr>
          <w:rFonts w:ascii="Calisto MT" w:hAnsi="Calisto MT"/>
          <w:sz w:val="20"/>
          <w:szCs w:val="20"/>
        </w:rPr>
        <w:t>Therefore, concentration plays an important role in the game of egrang, allowing players to better control their body to maintain balance. However, how much concentration contributes to the success of playing egrang is still a question that requires further research.</w:t>
      </w:r>
    </w:p>
    <w:p w14:paraId="0C314809" w14:textId="6487A3FC" w:rsidR="00B23507" w:rsidRPr="00B23507" w:rsidRDefault="00B23507" w:rsidP="00524F35">
      <w:pPr>
        <w:pStyle w:val="ListParagraph"/>
        <w:spacing w:after="0"/>
        <w:ind w:left="0" w:firstLine="426"/>
        <w:jc w:val="both"/>
        <w:rPr>
          <w:rFonts w:ascii="Calisto MT" w:hAnsi="Calisto MT"/>
          <w:sz w:val="20"/>
          <w:szCs w:val="20"/>
          <w:lang w:val="en-US"/>
        </w:rPr>
      </w:pPr>
      <w:r w:rsidRPr="00B23507">
        <w:rPr>
          <w:rFonts w:ascii="Calisto MT" w:hAnsi="Calisto MT"/>
          <w:sz w:val="20"/>
          <w:szCs w:val="20"/>
          <w:lang w:val="en-US"/>
        </w:rPr>
        <w:t>Previous research conducted</w:t>
      </w:r>
      <w:r w:rsidRPr="00B23507">
        <w:rPr>
          <w:rFonts w:ascii="Calisto MT" w:hAnsi="Calisto MT"/>
          <w:sz w:val="20"/>
          <w:szCs w:val="20"/>
        </w:rPr>
        <w:fldChar w:fldCharType="begin" w:fldLock="1"/>
      </w:r>
      <w:r w:rsidR="008E3C63">
        <w:rPr>
          <w:rFonts w:ascii="Calisto MT" w:hAnsi="Calisto MT"/>
          <w:sz w:val="20"/>
          <w:szCs w:val="20"/>
        </w:rPr>
        <w:instrText>ADDIN CSL_CITATION {"citationItems":[{"id":"ITEM-1","itemData":{"DOI":"10.24036/jm.v4i1.30","ISSN":"2527-645X","abstract":"The problem in this research is based on observations in the field, there is still a lack of some aspects of the physical conditions that affect the Heian said yodan conducted by karate dojo LEMKARI Space Lanud Padang. Presumably there are several factors that affect the Kata heian yodan, among these factors is the motor ability and concentration. This study aims to explain the contribution of the motor ability and concentration on the mastery of the Kata heian yodan. This research method is quantitative method using data analysis techniques regression and correlation, either single or double. The population in this study is the karateka LEMKARI Dojo Space Lanud Padang enrolled in training, totaling 52 people, with a sample of 32 people were taken by purposive sampling that karateka daughter alone. Measurements ability using Barrow motor data Motor Ability Test were then processed using the formula lewis, to the concentration data using Grid Concentration Test. For mastery of data pegukuran Kata Heian yodan with Rule Of Competition World Karate Federation of the Executive Board of Forki with Kata Scoring Form of Free Game FKTI-INKAI. Based on data analysis results: (1) The components of motor abilities contributed 17.39% to the mastery of the kata heian yodan; (2) Components of concentration contributed 12.47% to the mastery of the word kata heian yodan; (3) Taken together the motor ability and concentration contributed 25.17% to the Heian yodan word mastery, and the remaining percentage is influenced by other factors. Based on these results, we can conclude that the motor ability and concentration to contribute jointly towards mastery of the kata heian yodan.","author":[{"dropping-particle":"","family":"Asnaldi","given":"Arie","non-dropping-particle":"","parse-names":false,"suffix":""}],"container-title":"Jurnal MensSana","id":"ITEM-1","issue":"1","issued":{"date-parts":[["2019"]]},"page":"pp.17","title":"Kontribusi Motor Ability Dan Konsentrasi Terhadap Kemampuan Penguasaan Kata Heian Yodan Karateka Lemkari Dojo Angkasa Lanud Padang","type":"article-journal","volume":"vol.4"},"uris":["http://www.mendeley.com/documents/?uuid=eb7c925c-7ff5-4b74-818a-d64e71733efa"]}],"mendeley":{"formattedCitation":"(Asnaldi, 2019)","manualFormatting":" Asnaldi, (2019)","plainTextFormattedCitation":"(Asnaldi, 2019)","previouslyFormattedCitation":"(Asnaldi, 2019)"},"properties":{"noteIndex":0},"schema":"https://github.com/citation-style-language/schema/raw/master/csl-citation.json"}</w:instrText>
      </w:r>
      <w:r w:rsidRPr="00B23507">
        <w:rPr>
          <w:rFonts w:ascii="Calisto MT" w:hAnsi="Calisto MT"/>
          <w:sz w:val="20"/>
          <w:szCs w:val="20"/>
        </w:rPr>
        <w:fldChar w:fldCharType="separate"/>
      </w:r>
      <w:r w:rsidRPr="00B23507">
        <w:rPr>
          <w:rFonts w:ascii="Calisto MT" w:hAnsi="Calisto MT"/>
          <w:noProof/>
          <w:sz w:val="20"/>
          <w:szCs w:val="20"/>
        </w:rPr>
        <w:t xml:space="preserve"> Asnaldi, (2019)</w:t>
      </w:r>
      <w:r w:rsidRPr="00B23507">
        <w:rPr>
          <w:rFonts w:ascii="Calisto MT" w:hAnsi="Calisto MT"/>
          <w:sz w:val="20"/>
          <w:szCs w:val="20"/>
        </w:rPr>
        <w:fldChar w:fldCharType="end"/>
      </w:r>
      <w:r w:rsidRPr="00B23507">
        <w:rPr>
          <w:rFonts w:ascii="Calisto MT" w:hAnsi="Calisto MT"/>
          <w:sz w:val="20"/>
          <w:szCs w:val="20"/>
          <w:lang w:val="en-US"/>
        </w:rPr>
        <w:t xml:space="preserve"> , showed that the </w:t>
      </w:r>
      <w:r w:rsidRPr="00B23507">
        <w:rPr>
          <w:rFonts w:ascii="Calisto MT" w:hAnsi="Calisto MT"/>
          <w:sz w:val="20"/>
          <w:szCs w:val="20"/>
        </w:rPr>
        <w:t xml:space="preserve">level of concentration plays a significant role in activities with static balance requirements, such as in sports that demand high concentration, </w:t>
      </w:r>
      <w:r w:rsidRPr="00B23507">
        <w:rPr>
          <w:rFonts w:ascii="Calisto MT" w:hAnsi="Calisto MT"/>
          <w:sz w:val="20"/>
          <w:szCs w:val="20"/>
          <w:lang w:val="en-US"/>
        </w:rPr>
        <w:t xml:space="preserve">namely </w:t>
      </w:r>
      <w:r w:rsidRPr="00B23507">
        <w:rPr>
          <w:rFonts w:ascii="Calisto MT" w:hAnsi="Calisto MT"/>
          <w:sz w:val="20"/>
          <w:szCs w:val="20"/>
        </w:rPr>
        <w:t xml:space="preserve">archery </w:t>
      </w:r>
      <w:r w:rsidRPr="00B23507">
        <w:rPr>
          <w:rFonts w:ascii="Calisto MT" w:hAnsi="Calisto MT"/>
          <w:sz w:val="20"/>
          <w:szCs w:val="20"/>
          <w:lang w:val="en-US"/>
        </w:rPr>
        <w:t xml:space="preserve">or </w:t>
      </w:r>
      <w:r w:rsidRPr="00B23507">
        <w:rPr>
          <w:rFonts w:ascii="Calisto MT" w:hAnsi="Calisto MT"/>
          <w:sz w:val="20"/>
          <w:szCs w:val="20"/>
        </w:rPr>
        <w:t>shooting</w:t>
      </w:r>
      <w:r w:rsidRPr="00B23507">
        <w:rPr>
          <w:rFonts w:ascii="Calisto MT" w:hAnsi="Calisto MT"/>
          <w:sz w:val="20"/>
          <w:szCs w:val="20"/>
          <w:lang w:val="en-US"/>
        </w:rPr>
        <w:t xml:space="preserve">. However, in activities with dynamic balance such as </w:t>
      </w:r>
      <w:proofErr w:type="spellStart"/>
      <w:r w:rsidRPr="00B23507">
        <w:rPr>
          <w:rFonts w:ascii="Calisto MT" w:hAnsi="Calisto MT"/>
          <w:sz w:val="20"/>
          <w:szCs w:val="20"/>
          <w:lang w:val="en-US"/>
        </w:rPr>
        <w:t>egrang</w:t>
      </w:r>
      <w:proofErr w:type="spellEnd"/>
      <w:r w:rsidRPr="00B23507">
        <w:rPr>
          <w:rFonts w:ascii="Calisto MT" w:hAnsi="Calisto MT"/>
          <w:sz w:val="20"/>
          <w:szCs w:val="20"/>
          <w:lang w:val="en-US"/>
        </w:rPr>
        <w:t xml:space="preserve"> games, success may be influenced by a combination of other factors. Therefore, it is important to explore the relationship between concentration and success in </w:t>
      </w:r>
      <w:proofErr w:type="spellStart"/>
      <w:r w:rsidRPr="00B23507">
        <w:rPr>
          <w:rFonts w:ascii="Calisto MT" w:hAnsi="Calisto MT"/>
          <w:sz w:val="20"/>
          <w:szCs w:val="20"/>
          <w:lang w:val="en-US"/>
        </w:rPr>
        <w:t>egrang</w:t>
      </w:r>
      <w:proofErr w:type="spellEnd"/>
      <w:r w:rsidRPr="00B23507">
        <w:rPr>
          <w:rFonts w:ascii="Calisto MT" w:hAnsi="Calisto MT"/>
          <w:sz w:val="20"/>
          <w:szCs w:val="20"/>
          <w:lang w:val="en-US"/>
        </w:rPr>
        <w:t xml:space="preserve">, especially in children as the age group that most often plays this game. The purpose of this study was to analyze how concentration contributes to the success of playing </w:t>
      </w:r>
      <w:proofErr w:type="spellStart"/>
      <w:r w:rsidRPr="00B23507">
        <w:rPr>
          <w:rFonts w:ascii="Calisto MT" w:hAnsi="Calisto MT"/>
          <w:sz w:val="20"/>
          <w:szCs w:val="20"/>
          <w:lang w:val="en-US"/>
        </w:rPr>
        <w:t>egrang</w:t>
      </w:r>
      <w:proofErr w:type="spellEnd"/>
      <w:r w:rsidRPr="00B23507">
        <w:rPr>
          <w:rFonts w:ascii="Calisto MT" w:hAnsi="Calisto MT"/>
          <w:sz w:val="20"/>
          <w:szCs w:val="20"/>
          <w:lang w:val="en-US"/>
        </w:rPr>
        <w:t>.</w:t>
      </w:r>
    </w:p>
    <w:p w14:paraId="6FA0FC1D" w14:textId="77777777" w:rsidR="000F66C2" w:rsidRDefault="000F66C2" w:rsidP="00524F35">
      <w:pPr>
        <w:pStyle w:val="Heading2"/>
      </w:pPr>
    </w:p>
    <w:p w14:paraId="0DF4CFC3" w14:textId="77777777" w:rsidR="0036011F" w:rsidRPr="00F34CA7" w:rsidRDefault="00A067F6" w:rsidP="00524F35">
      <w:pPr>
        <w:pStyle w:val="Heading2"/>
      </w:pPr>
      <w:r w:rsidRPr="00A067F6">
        <w:t>METHODS</w:t>
      </w:r>
    </w:p>
    <w:p w14:paraId="6D4C2D8A" w14:textId="13F7DD7C" w:rsidR="0036011F" w:rsidRPr="00B23507" w:rsidRDefault="00B23507" w:rsidP="00524F35">
      <w:pPr>
        <w:spacing w:before="0" w:beforeAutospacing="0" w:after="240" w:afterAutospacing="0" w:line="276" w:lineRule="auto"/>
        <w:ind w:left="0" w:right="0"/>
        <w:jc w:val="both"/>
        <w:rPr>
          <w:rFonts w:ascii="Calisto MT" w:hAnsi="Calisto MT" w:cs="Times New Roman"/>
          <w:sz w:val="20"/>
          <w:szCs w:val="20"/>
        </w:rPr>
      </w:pPr>
      <w:r w:rsidRPr="00B23507">
        <w:rPr>
          <w:rFonts w:ascii="Calisto MT" w:hAnsi="Calisto MT" w:cs="Times New Roman"/>
          <w:sz w:val="20"/>
          <w:szCs w:val="20"/>
        </w:rPr>
        <w:t xml:space="preserve">This research uses quantitative methods with a descriptive analysis approach with a correlational type. The main objective of this study is to analyze the contribution of concentration intelligence to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The research sample was 51 students consisting of 17 female students and 34 male students, who came from three elementary schools in Semarang Regency who were able to play the traditional game of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The research design used is a regression correlation design with the help of SPSS 25.0 software, which is used to describe the contribution, estimation, and testing based on existing theory. </w:t>
      </w:r>
      <w:r w:rsidRPr="00B23507">
        <w:rPr>
          <w:rFonts w:ascii="Calisto MT" w:hAnsi="Calisto MT" w:cs="Times New Roman"/>
          <w:sz w:val="20"/>
          <w:szCs w:val="20"/>
        </w:rPr>
        <w:lastRenderedPageBreak/>
        <w:t xml:space="preserve">The data collection method used the grid concentration exercise test and the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playing success test. To measure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the practice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with a distance of 20 meters was used.</w:t>
      </w:r>
    </w:p>
    <w:p w14:paraId="1E7C0670" w14:textId="77777777" w:rsidR="0036011F" w:rsidRPr="00D02FCE" w:rsidRDefault="00A067F6" w:rsidP="00524F35">
      <w:pPr>
        <w:pStyle w:val="Heading2"/>
      </w:pPr>
      <w:r w:rsidRPr="00A067F6">
        <w:rPr>
          <w:lang w:val="id-ID"/>
        </w:rPr>
        <w:t>RESULTS AND DISCUSSION</w:t>
      </w:r>
    </w:p>
    <w:p w14:paraId="40844702" w14:textId="220AD9DB" w:rsidR="00B23507" w:rsidRPr="00B23507" w:rsidRDefault="00B23507" w:rsidP="00524F35">
      <w:pPr>
        <w:spacing w:before="240" w:beforeAutospacing="0" w:after="0" w:afterAutospacing="0" w:line="276" w:lineRule="auto"/>
        <w:ind w:left="0" w:right="0"/>
        <w:jc w:val="both"/>
        <w:rPr>
          <w:rFonts w:ascii="Calisto MT" w:hAnsi="Calisto MT" w:cs="Times New Roman"/>
          <w:b/>
          <w:sz w:val="20"/>
          <w:szCs w:val="20"/>
        </w:rPr>
      </w:pPr>
      <w:r w:rsidRPr="00B23507">
        <w:rPr>
          <w:rFonts w:ascii="Calisto MT" w:hAnsi="Calisto MT" w:cs="Times New Roman"/>
          <w:b/>
          <w:sz w:val="20"/>
          <w:szCs w:val="20"/>
        </w:rPr>
        <w:t>Research Results</w:t>
      </w:r>
    </w:p>
    <w:p w14:paraId="2DA4E13C" w14:textId="6AE9CFD4" w:rsidR="00B23507" w:rsidRPr="00B23507" w:rsidRDefault="00B23507" w:rsidP="00524F35">
      <w:pPr>
        <w:pStyle w:val="Caption"/>
        <w:spacing w:after="0" w:line="276" w:lineRule="auto"/>
        <w:jc w:val="both"/>
        <w:rPr>
          <w:rFonts w:ascii="Calisto MT" w:hAnsi="Calisto MT" w:cs="Times New Roman"/>
          <w:i w:val="0"/>
          <w:color w:val="auto"/>
          <w:sz w:val="20"/>
          <w:szCs w:val="20"/>
        </w:rPr>
      </w:pPr>
      <w:bookmarkStart w:id="0" w:name="_Toc187012260"/>
      <w:r w:rsidRPr="00B23507">
        <w:rPr>
          <w:rFonts w:ascii="Calisto MT" w:hAnsi="Calisto MT" w:cs="Times New Roman"/>
          <w:b/>
          <w:i w:val="0"/>
          <w:color w:val="auto"/>
          <w:sz w:val="20"/>
          <w:szCs w:val="20"/>
        </w:rPr>
        <w:t xml:space="preserve">Table </w:t>
      </w:r>
      <w:r w:rsidRPr="00B23507">
        <w:rPr>
          <w:rFonts w:ascii="Calisto MT" w:hAnsi="Calisto MT"/>
          <w:sz w:val="20"/>
          <w:szCs w:val="20"/>
        </w:rPr>
        <w:fldChar w:fldCharType="begin"/>
      </w:r>
      <w:r w:rsidRPr="00B23507">
        <w:rPr>
          <w:rFonts w:ascii="Calisto MT" w:hAnsi="Calisto MT" w:cs="Times New Roman"/>
          <w:b/>
          <w:i w:val="0"/>
          <w:color w:val="auto"/>
          <w:sz w:val="20"/>
          <w:szCs w:val="20"/>
        </w:rPr>
        <w:instrText xml:space="preserve"> SEQ Tabel_4. \* ARABIC </w:instrText>
      </w:r>
      <w:r w:rsidRPr="00B23507">
        <w:rPr>
          <w:rFonts w:ascii="Calisto MT" w:hAnsi="Calisto MT"/>
          <w:sz w:val="20"/>
          <w:szCs w:val="20"/>
        </w:rPr>
        <w:fldChar w:fldCharType="separate"/>
      </w:r>
      <w:r w:rsidRPr="00B23507">
        <w:rPr>
          <w:rFonts w:ascii="Calisto MT" w:hAnsi="Calisto MT" w:cs="Times New Roman"/>
          <w:b/>
          <w:i w:val="0"/>
          <w:noProof/>
          <w:color w:val="auto"/>
          <w:sz w:val="20"/>
          <w:szCs w:val="20"/>
        </w:rPr>
        <w:t>1</w:t>
      </w:r>
      <w:r w:rsidRPr="00B23507">
        <w:rPr>
          <w:rFonts w:ascii="Calisto MT" w:hAnsi="Calisto MT"/>
          <w:sz w:val="20"/>
          <w:szCs w:val="20"/>
        </w:rPr>
        <w:fldChar w:fldCharType="end"/>
      </w:r>
      <w:r w:rsidRPr="00B23507">
        <w:rPr>
          <w:rFonts w:ascii="Calisto MT" w:hAnsi="Calisto MT" w:cs="Times New Roman"/>
          <w:i w:val="0"/>
          <w:color w:val="auto"/>
          <w:sz w:val="20"/>
          <w:szCs w:val="20"/>
        </w:rPr>
        <w:t xml:space="preserve"> Description of Concentration Data</w:t>
      </w:r>
      <w:bookmarkEnd w:id="0"/>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341"/>
      </w:tblGrid>
      <w:tr w:rsidR="00B23507" w:rsidRPr="00B23507" w14:paraId="2EA5EF3B" w14:textId="77777777" w:rsidTr="00B23507">
        <w:trPr>
          <w:jc w:val="center"/>
        </w:trPr>
        <w:tc>
          <w:tcPr>
            <w:tcW w:w="2217" w:type="dxa"/>
            <w:tcBorders>
              <w:top w:val="single" w:sz="4" w:space="0" w:color="auto"/>
              <w:left w:val="nil"/>
              <w:bottom w:val="single" w:sz="4" w:space="0" w:color="auto"/>
              <w:right w:val="nil"/>
            </w:tcBorders>
            <w:hideMark/>
          </w:tcPr>
          <w:p w14:paraId="2961758B" w14:textId="77777777" w:rsidR="00B23507" w:rsidRPr="00B23507" w:rsidRDefault="00B23507" w:rsidP="00524F35">
            <w:pPr>
              <w:spacing w:line="276" w:lineRule="auto"/>
              <w:ind w:left="0" w:right="0"/>
              <w:jc w:val="both"/>
              <w:rPr>
                <w:rFonts w:ascii="Calisto MT" w:hAnsi="Calisto MT" w:cs="Times New Roman"/>
                <w:b/>
                <w:sz w:val="20"/>
                <w:szCs w:val="20"/>
                <w:lang w:val="id-ID"/>
              </w:rPr>
            </w:pPr>
            <w:r w:rsidRPr="00B23507">
              <w:rPr>
                <w:rFonts w:ascii="Calisto MT" w:hAnsi="Calisto MT" w:cs="Times New Roman"/>
                <w:b/>
                <w:sz w:val="20"/>
                <w:szCs w:val="20"/>
              </w:rPr>
              <w:t>Description</w:t>
            </w:r>
          </w:p>
        </w:tc>
        <w:tc>
          <w:tcPr>
            <w:tcW w:w="1341" w:type="dxa"/>
            <w:tcBorders>
              <w:top w:val="single" w:sz="4" w:space="0" w:color="auto"/>
              <w:left w:val="nil"/>
              <w:bottom w:val="single" w:sz="4" w:space="0" w:color="auto"/>
              <w:right w:val="nil"/>
            </w:tcBorders>
            <w:hideMark/>
          </w:tcPr>
          <w:p w14:paraId="1AE7188F" w14:textId="77777777" w:rsidR="00B23507" w:rsidRPr="00B23507" w:rsidRDefault="00B23507" w:rsidP="00524F35">
            <w:pPr>
              <w:spacing w:line="276" w:lineRule="auto"/>
              <w:ind w:left="0" w:right="0"/>
              <w:rPr>
                <w:rFonts w:ascii="Calisto MT" w:hAnsi="Calisto MT" w:cs="Times New Roman"/>
                <w:b/>
                <w:sz w:val="20"/>
                <w:szCs w:val="20"/>
                <w:lang w:val="id-ID"/>
              </w:rPr>
            </w:pPr>
            <w:r w:rsidRPr="00B23507">
              <w:rPr>
                <w:rFonts w:ascii="Calisto MT" w:hAnsi="Calisto MT" w:cs="Times New Roman"/>
                <w:b/>
                <w:sz w:val="20"/>
                <w:szCs w:val="20"/>
              </w:rPr>
              <w:t>Value</w:t>
            </w:r>
          </w:p>
        </w:tc>
      </w:tr>
      <w:tr w:rsidR="00B23507" w:rsidRPr="00B23507" w14:paraId="61DDCDBB" w14:textId="77777777" w:rsidTr="00B23507">
        <w:trPr>
          <w:jc w:val="center"/>
        </w:trPr>
        <w:tc>
          <w:tcPr>
            <w:tcW w:w="2217" w:type="dxa"/>
            <w:tcBorders>
              <w:top w:val="single" w:sz="4" w:space="0" w:color="auto"/>
              <w:left w:val="nil"/>
              <w:bottom w:val="nil"/>
              <w:right w:val="nil"/>
            </w:tcBorders>
            <w:hideMark/>
          </w:tcPr>
          <w:p w14:paraId="2ED776A3"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Number of students</w:t>
            </w:r>
          </w:p>
        </w:tc>
        <w:tc>
          <w:tcPr>
            <w:tcW w:w="1341" w:type="dxa"/>
            <w:tcBorders>
              <w:top w:val="single" w:sz="4" w:space="0" w:color="auto"/>
              <w:left w:val="nil"/>
              <w:bottom w:val="nil"/>
              <w:right w:val="nil"/>
            </w:tcBorders>
            <w:hideMark/>
          </w:tcPr>
          <w:p w14:paraId="1AEF1AA4" w14:textId="77777777" w:rsidR="00B23507" w:rsidRPr="00B23507" w:rsidRDefault="00B23507" w:rsidP="00524F35">
            <w:pPr>
              <w:spacing w:line="276" w:lineRule="auto"/>
              <w:ind w:left="0" w:right="0"/>
              <w:rPr>
                <w:rFonts w:ascii="Calisto MT" w:hAnsi="Calisto MT" w:cs="Times New Roman"/>
                <w:sz w:val="20"/>
                <w:szCs w:val="20"/>
                <w:lang w:val="id-ID"/>
              </w:rPr>
            </w:pPr>
            <w:r w:rsidRPr="00B23507">
              <w:rPr>
                <w:rFonts w:ascii="Calisto MT" w:hAnsi="Calisto MT" w:cs="Times New Roman"/>
                <w:sz w:val="20"/>
                <w:szCs w:val="20"/>
              </w:rPr>
              <w:t>51</w:t>
            </w:r>
          </w:p>
        </w:tc>
      </w:tr>
      <w:tr w:rsidR="00B23507" w:rsidRPr="00B23507" w14:paraId="34E540D7" w14:textId="77777777" w:rsidTr="00B23507">
        <w:trPr>
          <w:jc w:val="center"/>
        </w:trPr>
        <w:tc>
          <w:tcPr>
            <w:tcW w:w="2217" w:type="dxa"/>
            <w:tcBorders>
              <w:top w:val="nil"/>
              <w:left w:val="nil"/>
              <w:bottom w:val="nil"/>
              <w:right w:val="nil"/>
            </w:tcBorders>
            <w:hideMark/>
          </w:tcPr>
          <w:p w14:paraId="152A7C11"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Mean</w:t>
            </w:r>
          </w:p>
        </w:tc>
        <w:tc>
          <w:tcPr>
            <w:tcW w:w="1341" w:type="dxa"/>
            <w:tcBorders>
              <w:top w:val="nil"/>
              <w:left w:val="nil"/>
              <w:bottom w:val="nil"/>
              <w:right w:val="nil"/>
            </w:tcBorders>
            <w:hideMark/>
          </w:tcPr>
          <w:p w14:paraId="19E658B1" w14:textId="77777777" w:rsidR="00B23507" w:rsidRPr="00B23507" w:rsidRDefault="00B23507" w:rsidP="00524F35">
            <w:pPr>
              <w:spacing w:line="276" w:lineRule="auto"/>
              <w:ind w:left="0" w:right="0"/>
              <w:rPr>
                <w:rFonts w:ascii="Calisto MT" w:hAnsi="Calisto MT" w:cs="Times New Roman"/>
                <w:sz w:val="20"/>
                <w:szCs w:val="20"/>
                <w:lang w:val="id-ID"/>
              </w:rPr>
            </w:pPr>
            <w:r w:rsidRPr="00B23507">
              <w:rPr>
                <w:rFonts w:ascii="Calisto MT" w:hAnsi="Calisto MT" w:cs="Times New Roman"/>
                <w:sz w:val="20"/>
                <w:szCs w:val="20"/>
              </w:rPr>
              <w:t>11.63</w:t>
            </w:r>
          </w:p>
        </w:tc>
      </w:tr>
      <w:tr w:rsidR="00B23507" w:rsidRPr="00B23507" w14:paraId="5F7AA53E" w14:textId="77777777" w:rsidTr="00B23507">
        <w:trPr>
          <w:jc w:val="center"/>
        </w:trPr>
        <w:tc>
          <w:tcPr>
            <w:tcW w:w="2217" w:type="dxa"/>
            <w:tcBorders>
              <w:top w:val="nil"/>
              <w:left w:val="nil"/>
              <w:bottom w:val="nil"/>
              <w:right w:val="nil"/>
            </w:tcBorders>
            <w:hideMark/>
          </w:tcPr>
          <w:p w14:paraId="59F536F8"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Standard Deviation</w:t>
            </w:r>
          </w:p>
        </w:tc>
        <w:tc>
          <w:tcPr>
            <w:tcW w:w="1341" w:type="dxa"/>
            <w:tcBorders>
              <w:top w:val="nil"/>
              <w:left w:val="nil"/>
              <w:bottom w:val="nil"/>
              <w:right w:val="nil"/>
            </w:tcBorders>
            <w:hideMark/>
          </w:tcPr>
          <w:p w14:paraId="2F4AB125" w14:textId="77777777" w:rsidR="00B23507" w:rsidRPr="00B23507" w:rsidRDefault="00B23507" w:rsidP="00524F35">
            <w:pPr>
              <w:spacing w:line="276" w:lineRule="auto"/>
              <w:ind w:left="0" w:right="0"/>
              <w:rPr>
                <w:rFonts w:ascii="Calisto MT" w:hAnsi="Calisto MT" w:cs="Times New Roman"/>
                <w:sz w:val="20"/>
                <w:szCs w:val="20"/>
                <w:lang w:val="id-ID"/>
              </w:rPr>
            </w:pPr>
            <w:r w:rsidRPr="00B23507">
              <w:rPr>
                <w:rFonts w:ascii="Calisto MT" w:hAnsi="Calisto MT" w:cs="Times New Roman"/>
                <w:sz w:val="20"/>
                <w:szCs w:val="20"/>
              </w:rPr>
              <w:t>1.732</w:t>
            </w:r>
          </w:p>
        </w:tc>
      </w:tr>
      <w:tr w:rsidR="00B23507" w:rsidRPr="00B23507" w14:paraId="225473CD" w14:textId="77777777" w:rsidTr="00B23507">
        <w:trPr>
          <w:jc w:val="center"/>
        </w:trPr>
        <w:tc>
          <w:tcPr>
            <w:tcW w:w="2217" w:type="dxa"/>
            <w:tcBorders>
              <w:top w:val="nil"/>
              <w:left w:val="nil"/>
              <w:bottom w:val="nil"/>
              <w:right w:val="nil"/>
            </w:tcBorders>
            <w:hideMark/>
          </w:tcPr>
          <w:p w14:paraId="7F221C54"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Minimum Value</w:t>
            </w:r>
          </w:p>
        </w:tc>
        <w:tc>
          <w:tcPr>
            <w:tcW w:w="1341" w:type="dxa"/>
            <w:tcBorders>
              <w:top w:val="nil"/>
              <w:left w:val="nil"/>
              <w:bottom w:val="nil"/>
              <w:right w:val="nil"/>
            </w:tcBorders>
            <w:hideMark/>
          </w:tcPr>
          <w:p w14:paraId="5AA5B66E" w14:textId="77777777" w:rsidR="00B23507" w:rsidRPr="00B23507" w:rsidRDefault="00B23507" w:rsidP="00524F35">
            <w:pPr>
              <w:spacing w:line="276" w:lineRule="auto"/>
              <w:ind w:left="0" w:right="0"/>
              <w:rPr>
                <w:rFonts w:ascii="Calisto MT" w:hAnsi="Calisto MT" w:cs="Times New Roman"/>
                <w:sz w:val="20"/>
                <w:szCs w:val="20"/>
                <w:lang w:val="id-ID"/>
              </w:rPr>
            </w:pPr>
            <w:r w:rsidRPr="00B23507">
              <w:rPr>
                <w:rFonts w:ascii="Calisto MT" w:hAnsi="Calisto MT" w:cs="Times New Roman"/>
                <w:sz w:val="20"/>
                <w:szCs w:val="20"/>
              </w:rPr>
              <w:t>8</w:t>
            </w:r>
          </w:p>
        </w:tc>
      </w:tr>
      <w:tr w:rsidR="00B23507" w:rsidRPr="00B23507" w14:paraId="0A42A69C" w14:textId="77777777" w:rsidTr="00B23507">
        <w:trPr>
          <w:jc w:val="center"/>
        </w:trPr>
        <w:tc>
          <w:tcPr>
            <w:tcW w:w="2217" w:type="dxa"/>
            <w:tcBorders>
              <w:top w:val="nil"/>
              <w:left w:val="nil"/>
              <w:bottom w:val="single" w:sz="4" w:space="0" w:color="auto"/>
              <w:right w:val="nil"/>
            </w:tcBorders>
            <w:hideMark/>
          </w:tcPr>
          <w:p w14:paraId="1CEB5126"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Maximum Value</w:t>
            </w:r>
          </w:p>
        </w:tc>
        <w:tc>
          <w:tcPr>
            <w:tcW w:w="1341" w:type="dxa"/>
            <w:tcBorders>
              <w:top w:val="nil"/>
              <w:left w:val="nil"/>
              <w:bottom w:val="single" w:sz="4" w:space="0" w:color="auto"/>
              <w:right w:val="nil"/>
            </w:tcBorders>
            <w:hideMark/>
          </w:tcPr>
          <w:p w14:paraId="0A94D1D6" w14:textId="77777777" w:rsidR="00B23507" w:rsidRPr="00B23507" w:rsidRDefault="00B23507" w:rsidP="00524F35">
            <w:pPr>
              <w:spacing w:line="276" w:lineRule="auto"/>
              <w:ind w:left="0" w:right="0"/>
              <w:rPr>
                <w:rFonts w:ascii="Calisto MT" w:hAnsi="Calisto MT" w:cs="Times New Roman"/>
                <w:sz w:val="20"/>
                <w:szCs w:val="20"/>
                <w:lang w:val="id-ID"/>
              </w:rPr>
            </w:pPr>
            <w:r w:rsidRPr="00B23507">
              <w:rPr>
                <w:rFonts w:ascii="Calisto MT" w:hAnsi="Calisto MT" w:cs="Times New Roman"/>
                <w:sz w:val="20"/>
                <w:szCs w:val="20"/>
              </w:rPr>
              <w:t>16</w:t>
            </w:r>
          </w:p>
        </w:tc>
      </w:tr>
    </w:tbl>
    <w:p w14:paraId="39FE5410" w14:textId="77777777" w:rsidR="00B23507" w:rsidRPr="00B23507" w:rsidRDefault="00B23507" w:rsidP="00524F35">
      <w:pPr>
        <w:adjustRightInd w:val="0"/>
        <w:spacing w:before="0" w:beforeAutospacing="0" w:line="276" w:lineRule="auto"/>
        <w:ind w:left="0" w:right="0"/>
        <w:rPr>
          <w:rFonts w:ascii="Calisto MT" w:hAnsi="Calisto MT" w:cs="Times New Roman"/>
          <w:sz w:val="20"/>
          <w:szCs w:val="20"/>
        </w:rPr>
      </w:pPr>
      <w:r w:rsidRPr="00B23507">
        <w:rPr>
          <w:rFonts w:ascii="Calisto MT" w:hAnsi="Calisto MT" w:cs="Times New Roman"/>
          <w:sz w:val="20"/>
          <w:szCs w:val="20"/>
        </w:rPr>
        <w:t>(Source: Research 2025)</w:t>
      </w:r>
    </w:p>
    <w:p w14:paraId="6CEBB5CA" w14:textId="77777777" w:rsidR="00B23507" w:rsidRPr="00B23507" w:rsidRDefault="00B23507" w:rsidP="00524F35">
      <w:pPr>
        <w:pStyle w:val="NoSpacing"/>
        <w:spacing w:after="240"/>
        <w:ind w:firstLine="720"/>
        <w:rPr>
          <w:sz w:val="20"/>
          <w:szCs w:val="20"/>
        </w:rPr>
      </w:pPr>
      <w:r w:rsidRPr="00B23507">
        <w:rPr>
          <w:sz w:val="20"/>
          <w:szCs w:val="20"/>
        </w:rPr>
        <w:t xml:space="preserve">The table above explains that in this study there were 51 students divided into 34 boys and 17 girls aged 9 to 12 years.  The </w:t>
      </w:r>
      <w:r w:rsidRPr="00B23507">
        <w:rPr>
          <w:i/>
          <w:sz w:val="20"/>
          <w:szCs w:val="20"/>
        </w:rPr>
        <w:t xml:space="preserve">test instrument </w:t>
      </w:r>
      <w:r w:rsidRPr="00B23507">
        <w:rPr>
          <w:sz w:val="20"/>
          <w:szCs w:val="20"/>
        </w:rPr>
        <w:t xml:space="preserve">used to measure concentration in this study is to measure students' ability to maintain focus and concentration over a period of time using the </w:t>
      </w:r>
      <w:r w:rsidRPr="00AB2FB4">
        <w:rPr>
          <w:sz w:val="20"/>
          <w:szCs w:val="20"/>
        </w:rPr>
        <w:t>grid concentration test</w:t>
      </w:r>
    </w:p>
    <w:p w14:paraId="29A9E744" w14:textId="1D76679C" w:rsidR="00B23507" w:rsidRPr="00B23507" w:rsidRDefault="00A8614F" w:rsidP="00524F35">
      <w:pPr>
        <w:pStyle w:val="NoSpacing"/>
        <w:jc w:val="center"/>
        <w:rPr>
          <w:sz w:val="20"/>
          <w:szCs w:val="20"/>
        </w:rPr>
      </w:pPr>
      <w:r>
        <w:rPr>
          <w:noProof/>
        </w:rPr>
        <w:drawing>
          <wp:inline distT="0" distB="0" distL="0" distR="0" wp14:anchorId="6271849E" wp14:editId="74DE6335">
            <wp:extent cx="2625090" cy="1452177"/>
            <wp:effectExtent l="19050" t="19050" r="22860" b="1524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6"/>
                    <a:srcRect l="19231" t="30216" r="20513" b="10490"/>
                    <a:stretch/>
                  </pic:blipFill>
                  <pic:spPr bwMode="auto">
                    <a:xfrm>
                      <a:off x="0" y="0"/>
                      <a:ext cx="2625090" cy="145217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619F04B" w14:textId="1F2B7775" w:rsidR="00B23507" w:rsidRPr="00CA23F5" w:rsidRDefault="00B23507" w:rsidP="00524F35">
      <w:pPr>
        <w:pStyle w:val="Caption"/>
        <w:spacing w:after="0" w:line="276" w:lineRule="auto"/>
        <w:jc w:val="center"/>
        <w:rPr>
          <w:rFonts w:ascii="Calisto MT" w:hAnsi="Calisto MT" w:cs="Times New Roman"/>
          <w:i w:val="0"/>
          <w:color w:val="auto"/>
          <w:sz w:val="20"/>
          <w:szCs w:val="20"/>
        </w:rPr>
      </w:pPr>
      <w:bookmarkStart w:id="1" w:name="_Toc187021839"/>
      <w:r w:rsidRPr="00635DBB">
        <w:rPr>
          <w:rFonts w:ascii="Calisto MT" w:hAnsi="Calisto MT" w:cs="Times New Roman"/>
          <w:b/>
          <w:i w:val="0"/>
          <w:color w:val="auto"/>
          <w:sz w:val="20"/>
          <w:szCs w:val="20"/>
        </w:rPr>
        <w:t xml:space="preserve">Figure </w:t>
      </w:r>
      <w:r w:rsidRPr="00635DBB">
        <w:rPr>
          <w:rFonts w:ascii="Calisto MT" w:hAnsi="Calisto MT"/>
          <w:b/>
          <w:sz w:val="20"/>
          <w:szCs w:val="20"/>
        </w:rPr>
        <w:fldChar w:fldCharType="begin"/>
      </w:r>
      <w:r w:rsidRPr="00635DBB">
        <w:rPr>
          <w:rFonts w:ascii="Calisto MT" w:hAnsi="Calisto MT" w:cs="Times New Roman"/>
          <w:b/>
          <w:i w:val="0"/>
          <w:color w:val="auto"/>
          <w:sz w:val="20"/>
          <w:szCs w:val="20"/>
        </w:rPr>
        <w:instrText xml:space="preserve"> SEQ Gambar_4. \* ARABIC </w:instrText>
      </w:r>
      <w:r w:rsidRPr="00635DBB">
        <w:rPr>
          <w:rFonts w:ascii="Calisto MT" w:hAnsi="Calisto MT"/>
          <w:b/>
          <w:sz w:val="20"/>
          <w:szCs w:val="20"/>
        </w:rPr>
        <w:fldChar w:fldCharType="separate"/>
      </w:r>
      <w:r w:rsidRPr="00635DBB">
        <w:rPr>
          <w:rFonts w:ascii="Calisto MT" w:hAnsi="Calisto MT" w:cs="Times New Roman"/>
          <w:b/>
          <w:i w:val="0"/>
          <w:noProof/>
          <w:color w:val="auto"/>
          <w:sz w:val="20"/>
          <w:szCs w:val="20"/>
        </w:rPr>
        <w:t>1</w:t>
      </w:r>
      <w:r w:rsidRPr="00635DBB">
        <w:rPr>
          <w:rFonts w:ascii="Calisto MT" w:hAnsi="Calisto MT"/>
          <w:b/>
          <w:sz w:val="20"/>
          <w:szCs w:val="20"/>
        </w:rPr>
        <w:fldChar w:fldCharType="end"/>
      </w:r>
      <w:r w:rsidRPr="00CA23F5">
        <w:rPr>
          <w:rFonts w:ascii="Calisto MT" w:hAnsi="Calisto MT" w:cs="Times New Roman"/>
          <w:i w:val="0"/>
          <w:color w:val="auto"/>
          <w:sz w:val="20"/>
          <w:szCs w:val="20"/>
        </w:rPr>
        <w:t xml:space="preserve"> Graph</w:t>
      </w:r>
      <w:bookmarkEnd w:id="1"/>
      <w:r w:rsidR="00A51101">
        <w:rPr>
          <w:rFonts w:ascii="Calisto MT" w:hAnsi="Calisto MT" w:cs="Times New Roman"/>
          <w:i w:val="0"/>
          <w:color w:val="auto"/>
          <w:sz w:val="20"/>
          <w:szCs w:val="20"/>
        </w:rPr>
        <w:t xml:space="preserve"> of </w:t>
      </w:r>
      <w:r w:rsidR="00A51101" w:rsidRPr="00CA23F5">
        <w:rPr>
          <w:rFonts w:ascii="Calisto MT" w:hAnsi="Calisto MT" w:cs="Times New Roman"/>
          <w:i w:val="0"/>
          <w:color w:val="auto"/>
          <w:sz w:val="20"/>
          <w:szCs w:val="20"/>
        </w:rPr>
        <w:t>Concentration Category</w:t>
      </w:r>
    </w:p>
    <w:p w14:paraId="5C247038" w14:textId="77777777" w:rsidR="00B23507" w:rsidRPr="00B23507" w:rsidRDefault="00B23507" w:rsidP="00524F35">
      <w:pPr>
        <w:spacing w:before="0" w:beforeAutospacing="0" w:line="276" w:lineRule="auto"/>
        <w:ind w:left="0" w:right="0"/>
        <w:rPr>
          <w:rFonts w:ascii="Calisto MT" w:hAnsi="Calisto MT" w:cs="Times New Roman"/>
          <w:sz w:val="20"/>
          <w:szCs w:val="20"/>
        </w:rPr>
      </w:pPr>
      <w:r w:rsidRPr="00B23507">
        <w:rPr>
          <w:rFonts w:ascii="Calisto MT" w:hAnsi="Calisto MT" w:cs="Times New Roman"/>
          <w:sz w:val="20"/>
          <w:szCs w:val="20"/>
        </w:rPr>
        <w:t>(Source: Research 2025)</w:t>
      </w:r>
    </w:p>
    <w:p w14:paraId="29ADD8DF" w14:textId="77777777" w:rsidR="00B23507" w:rsidRDefault="00B23507" w:rsidP="00524F35">
      <w:pPr>
        <w:pStyle w:val="NoSpacing"/>
        <w:ind w:firstLine="720"/>
        <w:rPr>
          <w:sz w:val="20"/>
          <w:szCs w:val="20"/>
        </w:rPr>
      </w:pPr>
      <w:r w:rsidRPr="00B23507">
        <w:rPr>
          <w:sz w:val="20"/>
          <w:szCs w:val="20"/>
        </w:rPr>
        <w:t>Of the 34 male students who were part of the sample, 9 students or showed a concentration level categorized as "Poor". Meanwhile, the majority of male students, 25 students, were at the "Moderate" concentration level</w:t>
      </w:r>
      <w:r>
        <w:rPr>
          <w:sz w:val="20"/>
          <w:szCs w:val="20"/>
        </w:rPr>
        <w:t>.</w:t>
      </w:r>
    </w:p>
    <w:p w14:paraId="6B36B11E" w14:textId="0D659F7B" w:rsidR="00B23507" w:rsidRPr="00B23507" w:rsidRDefault="00B23507" w:rsidP="00524F35">
      <w:pPr>
        <w:pStyle w:val="NoSpacing"/>
        <w:ind w:firstLine="720"/>
        <w:rPr>
          <w:sz w:val="20"/>
          <w:szCs w:val="20"/>
        </w:rPr>
      </w:pPr>
      <w:r w:rsidRPr="00B23507">
        <w:rPr>
          <w:sz w:val="20"/>
          <w:szCs w:val="20"/>
        </w:rPr>
        <w:t xml:space="preserve">Meanwhile, out of a total of 17 female students who were part of the study, 3 students had concentration levels categorized as "Poor", 13 students were in the "Moderate" concentration category. There was 1 female student who showed a higher level of </w:t>
      </w:r>
      <w:r w:rsidRPr="00B23507">
        <w:rPr>
          <w:sz w:val="20"/>
          <w:szCs w:val="20"/>
        </w:rPr>
        <w:t>concentration which was in the "Good" category. Overall, this data shows that the majority of both male and female students were at the "Moderate" concentration level.</w:t>
      </w:r>
    </w:p>
    <w:p w14:paraId="2C35CE5A" w14:textId="77777777" w:rsidR="00B23507" w:rsidRPr="00B23507" w:rsidRDefault="00B23507" w:rsidP="00524F35">
      <w:pPr>
        <w:tabs>
          <w:tab w:val="left" w:pos="0"/>
        </w:tabs>
        <w:spacing w:before="0" w:beforeAutospacing="0" w:line="276" w:lineRule="auto"/>
        <w:ind w:left="0" w:right="0" w:firstLine="720"/>
        <w:jc w:val="both"/>
        <w:rPr>
          <w:rFonts w:ascii="Calisto MT" w:hAnsi="Calisto MT" w:cs="Times New Roman"/>
          <w:sz w:val="20"/>
          <w:szCs w:val="20"/>
        </w:rPr>
      </w:pPr>
      <w:r w:rsidRPr="00B23507">
        <w:rPr>
          <w:rFonts w:ascii="Calisto MT" w:hAnsi="Calisto MT" w:cs="Times New Roman"/>
          <w:sz w:val="20"/>
          <w:szCs w:val="20"/>
        </w:rPr>
        <w:t xml:space="preserve">After ensuring that the data is normally distributed, and the multicollinearity test has been carried out with the results showing the absence of multicollinearity symptoms between the independent variables, the linearity test is carried out to evaluate whether there is a linear relationship between the variables of concentration and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The results of the linearity test showed a </w:t>
      </w:r>
      <w:r w:rsidRPr="00B23507">
        <w:rPr>
          <w:rFonts w:ascii="Calisto MT" w:hAnsi="Calisto MT" w:cs="Times New Roman"/>
          <w:i/>
          <w:sz w:val="20"/>
          <w:szCs w:val="20"/>
        </w:rPr>
        <w:t xml:space="preserve">deviation from </w:t>
      </w:r>
      <w:proofErr w:type="spellStart"/>
      <w:r w:rsidRPr="00B23507">
        <w:rPr>
          <w:rFonts w:ascii="Calisto MT" w:hAnsi="Calisto MT" w:cs="Times New Roman"/>
          <w:i/>
          <w:sz w:val="20"/>
          <w:szCs w:val="20"/>
        </w:rPr>
        <w:t>linieraty</w:t>
      </w:r>
      <w:proofErr w:type="spellEnd"/>
      <w:r w:rsidRPr="00B23507">
        <w:rPr>
          <w:rFonts w:ascii="Calisto MT" w:hAnsi="Calisto MT" w:cs="Times New Roman"/>
          <w:i/>
          <w:sz w:val="20"/>
          <w:szCs w:val="20"/>
        </w:rPr>
        <w:t xml:space="preserve"> </w:t>
      </w:r>
      <w:r w:rsidRPr="00B23507">
        <w:rPr>
          <w:rFonts w:ascii="Calisto MT" w:hAnsi="Calisto MT" w:cs="Times New Roman"/>
          <w:sz w:val="20"/>
          <w:szCs w:val="20"/>
        </w:rPr>
        <w:t xml:space="preserve">value of 0.381 which is greater than </w:t>
      </w:r>
      <w:r w:rsidRPr="00B23507">
        <w:rPr>
          <w:rFonts w:ascii="Times New Roman" w:hAnsi="Times New Roman" w:cs="Times New Roman"/>
          <w:sz w:val="20"/>
          <w:szCs w:val="20"/>
        </w:rPr>
        <w:t>α</w:t>
      </w:r>
      <w:r w:rsidRPr="00B23507">
        <w:rPr>
          <w:rFonts w:ascii="Calisto MT" w:hAnsi="Calisto MT" w:cs="Times New Roman"/>
          <w:sz w:val="20"/>
          <w:szCs w:val="20"/>
        </w:rPr>
        <w:t xml:space="preserve"> = 0.05. This indicates that there is a linear relationship between the concentration variable and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This linearity test is important to determine the feasibility of regression analysis as a hypothesis testing method.</w:t>
      </w:r>
    </w:p>
    <w:p w14:paraId="273A0F50" w14:textId="0CB3829E" w:rsidR="00B23507" w:rsidRPr="00B23507" w:rsidRDefault="00B23507" w:rsidP="00524F35">
      <w:pPr>
        <w:pStyle w:val="Caption"/>
        <w:spacing w:after="0" w:line="276" w:lineRule="auto"/>
        <w:jc w:val="both"/>
        <w:rPr>
          <w:rFonts w:ascii="Calisto MT" w:hAnsi="Calisto MT" w:cs="Times New Roman"/>
          <w:b/>
          <w:i w:val="0"/>
          <w:color w:val="auto"/>
          <w:sz w:val="20"/>
          <w:szCs w:val="20"/>
        </w:rPr>
      </w:pPr>
      <w:bookmarkStart w:id="2" w:name="_Toc187012261"/>
      <w:r w:rsidRPr="00B23507">
        <w:rPr>
          <w:rFonts w:ascii="Calisto MT" w:hAnsi="Calisto MT" w:cs="Times New Roman"/>
          <w:b/>
          <w:i w:val="0"/>
          <w:color w:val="auto"/>
          <w:sz w:val="20"/>
          <w:szCs w:val="20"/>
        </w:rPr>
        <w:t>T</w:t>
      </w:r>
      <w:r w:rsidR="00635DBB">
        <w:rPr>
          <w:rFonts w:ascii="Calisto MT" w:hAnsi="Calisto MT" w:cs="Times New Roman"/>
          <w:b/>
          <w:i w:val="0"/>
          <w:color w:val="auto"/>
          <w:sz w:val="20"/>
          <w:szCs w:val="20"/>
        </w:rPr>
        <w:t xml:space="preserve">able </w:t>
      </w:r>
      <w:r w:rsidRPr="00B23507">
        <w:rPr>
          <w:rFonts w:ascii="Calisto MT" w:hAnsi="Calisto MT"/>
          <w:sz w:val="20"/>
          <w:szCs w:val="20"/>
        </w:rPr>
        <w:fldChar w:fldCharType="begin"/>
      </w:r>
      <w:r w:rsidRPr="00B23507">
        <w:rPr>
          <w:rFonts w:ascii="Calisto MT" w:hAnsi="Calisto MT" w:cs="Times New Roman"/>
          <w:b/>
          <w:i w:val="0"/>
          <w:color w:val="auto"/>
          <w:sz w:val="20"/>
          <w:szCs w:val="20"/>
        </w:rPr>
        <w:instrText xml:space="preserve"> SEQ Tabel_4. \* ARABIC </w:instrText>
      </w:r>
      <w:r w:rsidRPr="00B23507">
        <w:rPr>
          <w:rFonts w:ascii="Calisto MT" w:hAnsi="Calisto MT"/>
          <w:sz w:val="20"/>
          <w:szCs w:val="20"/>
        </w:rPr>
        <w:fldChar w:fldCharType="separate"/>
      </w:r>
      <w:r w:rsidRPr="00B23507">
        <w:rPr>
          <w:rFonts w:ascii="Calisto MT" w:hAnsi="Calisto MT" w:cs="Times New Roman"/>
          <w:b/>
          <w:i w:val="0"/>
          <w:noProof/>
          <w:color w:val="auto"/>
          <w:sz w:val="20"/>
          <w:szCs w:val="20"/>
        </w:rPr>
        <w:t>2</w:t>
      </w:r>
      <w:r w:rsidRPr="00B23507">
        <w:rPr>
          <w:rFonts w:ascii="Calisto MT" w:hAnsi="Calisto MT"/>
          <w:sz w:val="20"/>
          <w:szCs w:val="20"/>
        </w:rPr>
        <w:fldChar w:fldCharType="end"/>
      </w:r>
      <w:r w:rsidRPr="00B23507">
        <w:rPr>
          <w:rFonts w:ascii="Calisto MT" w:hAnsi="Calisto MT" w:cs="Times New Roman"/>
          <w:i w:val="0"/>
          <w:color w:val="auto"/>
          <w:sz w:val="20"/>
          <w:szCs w:val="20"/>
        </w:rPr>
        <w:t xml:space="preserve"> Regression Test Results of Concentration on </w:t>
      </w:r>
      <w:proofErr w:type="spellStart"/>
      <w:r w:rsidRPr="00B23507">
        <w:rPr>
          <w:rFonts w:ascii="Calisto MT" w:hAnsi="Calisto MT" w:cs="Times New Roman"/>
          <w:i w:val="0"/>
          <w:color w:val="auto"/>
          <w:sz w:val="20"/>
          <w:szCs w:val="20"/>
        </w:rPr>
        <w:t>Egrang</w:t>
      </w:r>
      <w:proofErr w:type="spellEnd"/>
      <w:r w:rsidRPr="00B23507">
        <w:rPr>
          <w:rFonts w:ascii="Calisto MT" w:hAnsi="Calisto MT" w:cs="Times New Roman"/>
          <w:i w:val="0"/>
          <w:color w:val="auto"/>
          <w:sz w:val="20"/>
          <w:szCs w:val="20"/>
        </w:rPr>
        <w:t xml:space="preserve"> Success</w:t>
      </w:r>
      <w:bookmarkEnd w:id="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305"/>
      </w:tblGrid>
      <w:tr w:rsidR="00B23507" w:rsidRPr="00B23507" w14:paraId="27C3F346" w14:textId="77777777" w:rsidTr="00CE2EE6">
        <w:trPr>
          <w:jc w:val="center"/>
        </w:trPr>
        <w:tc>
          <w:tcPr>
            <w:tcW w:w="4698" w:type="dxa"/>
            <w:tcBorders>
              <w:top w:val="single" w:sz="4" w:space="0" w:color="auto"/>
              <w:left w:val="nil"/>
              <w:bottom w:val="single" w:sz="4" w:space="0" w:color="auto"/>
              <w:right w:val="nil"/>
            </w:tcBorders>
            <w:hideMark/>
          </w:tcPr>
          <w:p w14:paraId="796A47E0" w14:textId="77777777" w:rsidR="00B23507" w:rsidRPr="00B23507" w:rsidRDefault="00B23507" w:rsidP="00524F35">
            <w:pPr>
              <w:spacing w:line="276" w:lineRule="auto"/>
              <w:ind w:left="0" w:right="0"/>
              <w:jc w:val="both"/>
              <w:rPr>
                <w:rFonts w:ascii="Calisto MT" w:hAnsi="Calisto MT" w:cs="Times New Roman"/>
                <w:b/>
                <w:sz w:val="20"/>
                <w:szCs w:val="20"/>
                <w:lang w:val="id-ID"/>
              </w:rPr>
            </w:pPr>
            <w:r w:rsidRPr="00B23507">
              <w:rPr>
                <w:rFonts w:ascii="Calisto MT" w:hAnsi="Calisto MT" w:cs="Times New Roman"/>
                <w:b/>
                <w:sz w:val="20"/>
                <w:szCs w:val="20"/>
              </w:rPr>
              <w:t>Description</w:t>
            </w:r>
          </w:p>
        </w:tc>
        <w:tc>
          <w:tcPr>
            <w:tcW w:w="2021" w:type="dxa"/>
            <w:tcBorders>
              <w:top w:val="single" w:sz="4" w:space="0" w:color="auto"/>
              <w:left w:val="nil"/>
              <w:bottom w:val="single" w:sz="4" w:space="0" w:color="auto"/>
              <w:right w:val="nil"/>
            </w:tcBorders>
            <w:hideMark/>
          </w:tcPr>
          <w:p w14:paraId="7D545814" w14:textId="77777777" w:rsidR="00B23507" w:rsidRPr="00B23507" w:rsidRDefault="00B23507" w:rsidP="00524F35">
            <w:pPr>
              <w:spacing w:line="276" w:lineRule="auto"/>
              <w:ind w:left="0" w:right="0"/>
              <w:jc w:val="both"/>
              <w:rPr>
                <w:rFonts w:ascii="Calisto MT" w:hAnsi="Calisto MT" w:cs="Times New Roman"/>
                <w:b/>
                <w:sz w:val="20"/>
                <w:szCs w:val="20"/>
                <w:lang w:val="id-ID"/>
              </w:rPr>
            </w:pPr>
            <w:r w:rsidRPr="00B23507">
              <w:rPr>
                <w:rFonts w:ascii="Calisto MT" w:hAnsi="Calisto MT" w:cs="Times New Roman"/>
                <w:b/>
                <w:sz w:val="20"/>
                <w:szCs w:val="20"/>
              </w:rPr>
              <w:t>Value</w:t>
            </w:r>
          </w:p>
        </w:tc>
      </w:tr>
      <w:tr w:rsidR="00B23507" w:rsidRPr="00B23507" w14:paraId="03D3AF7C" w14:textId="77777777" w:rsidTr="00CE2EE6">
        <w:trPr>
          <w:jc w:val="center"/>
        </w:trPr>
        <w:tc>
          <w:tcPr>
            <w:tcW w:w="4698" w:type="dxa"/>
            <w:tcBorders>
              <w:top w:val="single" w:sz="4" w:space="0" w:color="auto"/>
              <w:left w:val="nil"/>
              <w:bottom w:val="nil"/>
              <w:right w:val="nil"/>
            </w:tcBorders>
            <w:hideMark/>
          </w:tcPr>
          <w:p w14:paraId="23588F96"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R Square</w:t>
            </w:r>
          </w:p>
        </w:tc>
        <w:tc>
          <w:tcPr>
            <w:tcW w:w="2021" w:type="dxa"/>
            <w:tcBorders>
              <w:top w:val="single" w:sz="4" w:space="0" w:color="auto"/>
              <w:left w:val="nil"/>
              <w:bottom w:val="nil"/>
              <w:right w:val="nil"/>
            </w:tcBorders>
            <w:hideMark/>
          </w:tcPr>
          <w:p w14:paraId="17892817"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0,041</w:t>
            </w:r>
          </w:p>
        </w:tc>
      </w:tr>
      <w:tr w:rsidR="00B23507" w:rsidRPr="00B23507" w14:paraId="543BED4C" w14:textId="77777777" w:rsidTr="00CE2EE6">
        <w:trPr>
          <w:jc w:val="center"/>
        </w:trPr>
        <w:tc>
          <w:tcPr>
            <w:tcW w:w="4698" w:type="dxa"/>
            <w:hideMark/>
          </w:tcPr>
          <w:p w14:paraId="6AFFD334"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Adjusted R Square</w:t>
            </w:r>
          </w:p>
        </w:tc>
        <w:tc>
          <w:tcPr>
            <w:tcW w:w="2021" w:type="dxa"/>
            <w:hideMark/>
          </w:tcPr>
          <w:p w14:paraId="735663B4"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0,022</w:t>
            </w:r>
          </w:p>
        </w:tc>
      </w:tr>
      <w:tr w:rsidR="00B23507" w:rsidRPr="00B23507" w14:paraId="19C04F8A" w14:textId="77777777" w:rsidTr="00CE2EE6">
        <w:trPr>
          <w:jc w:val="center"/>
        </w:trPr>
        <w:tc>
          <w:tcPr>
            <w:tcW w:w="4698" w:type="dxa"/>
            <w:hideMark/>
          </w:tcPr>
          <w:p w14:paraId="1A0B4EA9"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Significance (p-value)</w:t>
            </w:r>
          </w:p>
        </w:tc>
        <w:tc>
          <w:tcPr>
            <w:tcW w:w="2021" w:type="dxa"/>
            <w:hideMark/>
          </w:tcPr>
          <w:p w14:paraId="3ED558E6"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0,153</w:t>
            </w:r>
          </w:p>
        </w:tc>
      </w:tr>
      <w:tr w:rsidR="00B23507" w:rsidRPr="00B23507" w14:paraId="58F64333" w14:textId="77777777" w:rsidTr="00CE2EE6">
        <w:trPr>
          <w:jc w:val="center"/>
        </w:trPr>
        <w:tc>
          <w:tcPr>
            <w:tcW w:w="4698" w:type="dxa"/>
            <w:tcBorders>
              <w:top w:val="nil"/>
              <w:left w:val="nil"/>
              <w:bottom w:val="single" w:sz="4" w:space="0" w:color="auto"/>
              <w:right w:val="nil"/>
            </w:tcBorders>
            <w:hideMark/>
          </w:tcPr>
          <w:p w14:paraId="01B82EC3"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Variable Contribution (Kinesthetic Intelligence)</w:t>
            </w:r>
          </w:p>
        </w:tc>
        <w:tc>
          <w:tcPr>
            <w:tcW w:w="2021" w:type="dxa"/>
            <w:tcBorders>
              <w:top w:val="nil"/>
              <w:left w:val="nil"/>
              <w:bottom w:val="single" w:sz="4" w:space="0" w:color="auto"/>
              <w:right w:val="nil"/>
            </w:tcBorders>
            <w:hideMark/>
          </w:tcPr>
          <w:p w14:paraId="11E6A936" w14:textId="77777777" w:rsidR="00B23507" w:rsidRPr="00B23507" w:rsidRDefault="00B23507" w:rsidP="00524F35">
            <w:pPr>
              <w:spacing w:line="276" w:lineRule="auto"/>
              <w:ind w:left="0" w:right="0"/>
              <w:jc w:val="both"/>
              <w:rPr>
                <w:rFonts w:ascii="Calisto MT" w:hAnsi="Calisto MT" w:cs="Times New Roman"/>
                <w:sz w:val="20"/>
                <w:szCs w:val="20"/>
                <w:lang w:val="id-ID"/>
              </w:rPr>
            </w:pPr>
            <w:r w:rsidRPr="00B23507">
              <w:rPr>
                <w:rFonts w:ascii="Calisto MT" w:hAnsi="Calisto MT" w:cs="Times New Roman"/>
                <w:sz w:val="20"/>
                <w:szCs w:val="20"/>
              </w:rPr>
              <w:t>4,1%</w:t>
            </w:r>
          </w:p>
        </w:tc>
      </w:tr>
    </w:tbl>
    <w:p w14:paraId="7A7CF06A" w14:textId="77777777" w:rsidR="00B23507" w:rsidRPr="00B23507" w:rsidRDefault="00B23507" w:rsidP="00524F35">
      <w:pPr>
        <w:adjustRightInd w:val="0"/>
        <w:spacing w:before="0" w:beforeAutospacing="0" w:after="240" w:afterAutospacing="0" w:line="276" w:lineRule="auto"/>
        <w:ind w:left="0" w:right="0"/>
        <w:rPr>
          <w:rFonts w:ascii="Calisto MT" w:hAnsi="Calisto MT" w:cs="Times New Roman"/>
          <w:sz w:val="20"/>
          <w:szCs w:val="20"/>
          <w:lang w:val="id-ID"/>
        </w:rPr>
      </w:pPr>
      <w:r w:rsidRPr="00B23507">
        <w:rPr>
          <w:rFonts w:ascii="Calisto MT" w:hAnsi="Calisto MT" w:cs="Times New Roman"/>
          <w:sz w:val="20"/>
          <w:szCs w:val="20"/>
        </w:rPr>
        <w:t>(Source: Research 2025)</w:t>
      </w:r>
    </w:p>
    <w:p w14:paraId="261FFA23" w14:textId="77777777" w:rsidR="00B23507" w:rsidRPr="00B23507" w:rsidRDefault="00B23507" w:rsidP="00524F35">
      <w:pPr>
        <w:tabs>
          <w:tab w:val="left" w:pos="0"/>
        </w:tabs>
        <w:spacing w:before="0" w:beforeAutospacing="0" w:after="0" w:afterAutospacing="0" w:line="276" w:lineRule="auto"/>
        <w:ind w:left="0" w:right="-6" w:firstLine="720"/>
        <w:jc w:val="both"/>
        <w:rPr>
          <w:rFonts w:ascii="Calisto MT" w:hAnsi="Calisto MT" w:cs="Times New Roman"/>
          <w:sz w:val="20"/>
          <w:szCs w:val="20"/>
        </w:rPr>
      </w:pPr>
      <w:r w:rsidRPr="00B23507">
        <w:rPr>
          <w:rFonts w:ascii="Calisto MT" w:hAnsi="Calisto MT" w:cs="Times New Roman"/>
          <w:sz w:val="20"/>
          <w:szCs w:val="20"/>
        </w:rPr>
        <w:t xml:space="preserve">Regression analysis shows that the concentration variable has a positive relationship with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but the contribution is not significant. The R </w:t>
      </w:r>
      <w:r w:rsidRPr="00B23507">
        <w:rPr>
          <w:rFonts w:ascii="Calisto MT" w:hAnsi="Calisto MT" w:cs="Times New Roman"/>
          <w:i/>
          <w:sz w:val="20"/>
          <w:szCs w:val="20"/>
        </w:rPr>
        <w:t xml:space="preserve">Square </w:t>
      </w:r>
      <w:r w:rsidRPr="00B23507">
        <w:rPr>
          <w:rFonts w:ascii="Calisto MT" w:hAnsi="Calisto MT" w:cs="Times New Roman"/>
          <w:sz w:val="20"/>
          <w:szCs w:val="20"/>
        </w:rPr>
        <w:t xml:space="preserve">value of 0.041 indicates that only 4.1% of the variation in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can be explained by concentration while the rest is influenced by other factors. The </w:t>
      </w:r>
      <w:r w:rsidRPr="00B23507">
        <w:rPr>
          <w:rFonts w:ascii="Calisto MT" w:hAnsi="Calisto MT" w:cs="Times New Roman"/>
          <w:i/>
          <w:sz w:val="20"/>
          <w:szCs w:val="20"/>
        </w:rPr>
        <w:t xml:space="preserve">Adjusted R Square </w:t>
      </w:r>
      <w:r w:rsidRPr="00B23507">
        <w:rPr>
          <w:rFonts w:ascii="Calisto MT" w:hAnsi="Calisto MT" w:cs="Times New Roman"/>
          <w:sz w:val="20"/>
          <w:szCs w:val="20"/>
        </w:rPr>
        <w:t>value of 0.022 indicates that the regression model is less able to explain the relationship in the new sample.</w:t>
      </w:r>
    </w:p>
    <w:p w14:paraId="33CBCC49" w14:textId="77777777" w:rsidR="00B23507" w:rsidRDefault="00B23507" w:rsidP="00524F35">
      <w:pPr>
        <w:tabs>
          <w:tab w:val="left" w:pos="0"/>
        </w:tabs>
        <w:spacing w:before="0" w:beforeAutospacing="0" w:after="0" w:afterAutospacing="0" w:line="276" w:lineRule="auto"/>
        <w:ind w:left="0" w:right="0" w:firstLine="720"/>
        <w:jc w:val="both"/>
        <w:rPr>
          <w:rFonts w:ascii="Calisto MT" w:hAnsi="Calisto MT" w:cs="Times New Roman"/>
          <w:sz w:val="20"/>
          <w:szCs w:val="20"/>
        </w:rPr>
      </w:pPr>
      <w:r w:rsidRPr="00B23507">
        <w:rPr>
          <w:rFonts w:ascii="Calisto MT" w:hAnsi="Calisto MT" w:cs="Times New Roman"/>
          <w:sz w:val="20"/>
          <w:szCs w:val="20"/>
        </w:rPr>
        <w:t xml:space="preserve">The ANOVA test results reinforce this finding with a significance value of 0.153 which is greater than </w:t>
      </w:r>
      <w:r w:rsidRPr="00B23507">
        <w:rPr>
          <w:rFonts w:ascii="Times New Roman" w:hAnsi="Times New Roman" w:cs="Times New Roman"/>
          <w:sz w:val="20"/>
          <w:szCs w:val="20"/>
        </w:rPr>
        <w:t>α</w:t>
      </w:r>
      <w:r w:rsidRPr="00B23507">
        <w:rPr>
          <w:rFonts w:ascii="Calisto MT" w:hAnsi="Calisto MT" w:cs="Times New Roman"/>
          <w:sz w:val="20"/>
          <w:szCs w:val="20"/>
        </w:rPr>
        <w:t xml:space="preserve"> = 0.05 so that it can be stated that Ho is accepted and Ha is rejected. This means that concentration does not have a significant contribution to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w:t>
      </w:r>
    </w:p>
    <w:p w14:paraId="19AAF95C" w14:textId="77777777" w:rsidR="00CA23F5" w:rsidRDefault="00CA23F5" w:rsidP="00524F35">
      <w:pPr>
        <w:tabs>
          <w:tab w:val="left" w:pos="0"/>
        </w:tabs>
        <w:spacing w:before="0" w:beforeAutospacing="0" w:after="0" w:afterAutospacing="0" w:line="276" w:lineRule="auto"/>
        <w:ind w:left="0" w:right="0" w:firstLine="720"/>
        <w:jc w:val="both"/>
        <w:rPr>
          <w:rFonts w:ascii="Calisto MT" w:hAnsi="Calisto MT" w:cs="Times New Roman"/>
          <w:sz w:val="20"/>
          <w:szCs w:val="20"/>
        </w:rPr>
      </w:pPr>
    </w:p>
    <w:p w14:paraId="2C68CF82" w14:textId="77777777" w:rsidR="00B23507" w:rsidRPr="00B23507" w:rsidRDefault="00B23507" w:rsidP="00AB2FB4">
      <w:pPr>
        <w:spacing w:after="0" w:afterAutospacing="0" w:line="276" w:lineRule="auto"/>
        <w:ind w:left="0" w:right="0"/>
        <w:jc w:val="both"/>
        <w:rPr>
          <w:rFonts w:ascii="Calisto MT" w:hAnsi="Calisto MT" w:cs="Times New Roman"/>
          <w:b/>
          <w:sz w:val="20"/>
          <w:szCs w:val="20"/>
        </w:rPr>
      </w:pPr>
      <w:r w:rsidRPr="00B23507">
        <w:rPr>
          <w:rFonts w:ascii="Calisto MT" w:hAnsi="Calisto MT" w:cs="Times New Roman"/>
          <w:b/>
          <w:sz w:val="20"/>
          <w:szCs w:val="20"/>
        </w:rPr>
        <w:lastRenderedPageBreak/>
        <w:t>Discussion</w:t>
      </w:r>
    </w:p>
    <w:p w14:paraId="4BED708A" w14:textId="77777777" w:rsidR="00B23507" w:rsidRPr="00B23507" w:rsidRDefault="00B23507" w:rsidP="00524F35">
      <w:pPr>
        <w:spacing w:before="0" w:beforeAutospacing="0" w:after="240" w:afterAutospacing="0" w:line="276" w:lineRule="auto"/>
        <w:ind w:left="0" w:right="0" w:firstLine="720"/>
        <w:jc w:val="both"/>
        <w:rPr>
          <w:rFonts w:ascii="Calisto MT" w:hAnsi="Calisto MT" w:cs="Times New Roman"/>
          <w:sz w:val="20"/>
          <w:szCs w:val="20"/>
          <w:lang w:val="id-ID"/>
        </w:rPr>
      </w:pPr>
      <w:r w:rsidRPr="00B23507">
        <w:rPr>
          <w:rFonts w:ascii="Calisto MT" w:hAnsi="Calisto MT" w:cs="Times New Roman"/>
          <w:sz w:val="20"/>
          <w:szCs w:val="20"/>
        </w:rPr>
        <w:t xml:space="preserve">The contribution between concentration and success in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can be seen through the following linear regression graph:</w:t>
      </w:r>
    </w:p>
    <w:p w14:paraId="6F032E74" w14:textId="5D61B958" w:rsidR="00B23507" w:rsidRPr="00B23507" w:rsidRDefault="00635DBB" w:rsidP="00635DBB">
      <w:pPr>
        <w:spacing w:before="0" w:beforeAutospacing="0" w:after="0"/>
        <w:ind w:left="0" w:right="0"/>
        <w:rPr>
          <w:rFonts w:ascii="Calisto MT" w:hAnsi="Calisto MT" w:cs="Times New Roman"/>
          <w:sz w:val="20"/>
          <w:szCs w:val="20"/>
        </w:rPr>
      </w:pPr>
      <w:r>
        <w:rPr>
          <w:noProof/>
        </w:rPr>
        <w:drawing>
          <wp:inline distT="0" distB="0" distL="0" distR="0" wp14:anchorId="091047BA" wp14:editId="5D7043C6">
            <wp:extent cx="2538374" cy="1411834"/>
            <wp:effectExtent l="19050" t="19050" r="14605" b="1714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7"/>
                    <a:srcRect l="20353" t="28791" r="21474" b="12771"/>
                    <a:stretch/>
                  </pic:blipFill>
                  <pic:spPr bwMode="auto">
                    <a:xfrm>
                      <a:off x="0" y="0"/>
                      <a:ext cx="2538374" cy="141183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81A0D8D" w14:textId="5DA69866" w:rsidR="00B23507" w:rsidRPr="00B23507" w:rsidRDefault="00B23507" w:rsidP="00635DBB">
      <w:pPr>
        <w:pStyle w:val="Caption"/>
        <w:spacing w:after="0"/>
        <w:jc w:val="center"/>
        <w:rPr>
          <w:rFonts w:ascii="Calisto MT" w:hAnsi="Calisto MT" w:cs="Times New Roman"/>
          <w:b/>
          <w:i w:val="0"/>
          <w:color w:val="auto"/>
          <w:sz w:val="20"/>
          <w:szCs w:val="20"/>
        </w:rPr>
      </w:pPr>
      <w:bookmarkStart w:id="3" w:name="_Toc187021838"/>
      <w:r w:rsidRPr="00B23507">
        <w:rPr>
          <w:rFonts w:ascii="Calisto MT" w:hAnsi="Calisto MT" w:cs="Times New Roman"/>
          <w:b/>
          <w:i w:val="0"/>
          <w:color w:val="auto"/>
          <w:sz w:val="20"/>
          <w:szCs w:val="20"/>
        </w:rPr>
        <w:t xml:space="preserve">Figure </w:t>
      </w:r>
      <w:r w:rsidRPr="00B23507">
        <w:rPr>
          <w:rFonts w:ascii="Calisto MT" w:hAnsi="Calisto MT"/>
          <w:sz w:val="20"/>
          <w:szCs w:val="20"/>
        </w:rPr>
        <w:fldChar w:fldCharType="begin"/>
      </w:r>
      <w:r w:rsidRPr="00B23507">
        <w:rPr>
          <w:rFonts w:ascii="Calisto MT" w:hAnsi="Calisto MT" w:cs="Times New Roman"/>
          <w:b/>
          <w:i w:val="0"/>
          <w:color w:val="auto"/>
          <w:sz w:val="20"/>
          <w:szCs w:val="20"/>
        </w:rPr>
        <w:instrText xml:space="preserve"> SEQ Gambar_4. \* ARABIC </w:instrText>
      </w:r>
      <w:r w:rsidRPr="00B23507">
        <w:rPr>
          <w:rFonts w:ascii="Calisto MT" w:hAnsi="Calisto MT"/>
          <w:sz w:val="20"/>
          <w:szCs w:val="20"/>
        </w:rPr>
        <w:fldChar w:fldCharType="separate"/>
      </w:r>
      <w:r w:rsidRPr="00B23507">
        <w:rPr>
          <w:rFonts w:ascii="Calisto MT" w:hAnsi="Calisto MT" w:cs="Times New Roman"/>
          <w:b/>
          <w:i w:val="0"/>
          <w:noProof/>
          <w:color w:val="auto"/>
          <w:sz w:val="20"/>
          <w:szCs w:val="20"/>
        </w:rPr>
        <w:t>2</w:t>
      </w:r>
      <w:r w:rsidRPr="00B23507">
        <w:rPr>
          <w:rFonts w:ascii="Calisto MT" w:hAnsi="Calisto MT"/>
          <w:sz w:val="20"/>
          <w:szCs w:val="20"/>
        </w:rPr>
        <w:fldChar w:fldCharType="end"/>
      </w:r>
      <w:r w:rsidRPr="00B23507">
        <w:rPr>
          <w:rFonts w:ascii="Calisto MT" w:hAnsi="Calisto MT" w:cs="Times New Roman"/>
          <w:b/>
          <w:i w:val="0"/>
          <w:color w:val="auto"/>
          <w:sz w:val="20"/>
          <w:szCs w:val="20"/>
        </w:rPr>
        <w:t xml:space="preserve"> Graph of Concentration on Success in Playing </w:t>
      </w:r>
      <w:proofErr w:type="spellStart"/>
      <w:r w:rsidRPr="00B23507">
        <w:rPr>
          <w:rFonts w:ascii="Calisto MT" w:hAnsi="Calisto MT" w:cs="Times New Roman"/>
          <w:b/>
          <w:i w:val="0"/>
          <w:color w:val="auto"/>
          <w:sz w:val="20"/>
          <w:szCs w:val="20"/>
        </w:rPr>
        <w:t>Egrang</w:t>
      </w:r>
      <w:bookmarkEnd w:id="3"/>
      <w:proofErr w:type="spellEnd"/>
    </w:p>
    <w:p w14:paraId="4A86CC57" w14:textId="77777777" w:rsidR="00B23507" w:rsidRPr="00B23507" w:rsidRDefault="00B23507" w:rsidP="00524F35">
      <w:pPr>
        <w:spacing w:before="0" w:beforeAutospacing="0" w:after="240" w:afterAutospacing="0" w:line="276" w:lineRule="auto"/>
        <w:ind w:left="0" w:right="0"/>
        <w:rPr>
          <w:rFonts w:ascii="Calisto MT" w:hAnsi="Calisto MT" w:cs="Times New Roman"/>
          <w:sz w:val="20"/>
          <w:szCs w:val="20"/>
        </w:rPr>
      </w:pPr>
      <w:r w:rsidRPr="00B23507">
        <w:rPr>
          <w:rFonts w:ascii="Calisto MT" w:hAnsi="Calisto MT" w:cs="Times New Roman"/>
          <w:sz w:val="20"/>
          <w:szCs w:val="20"/>
        </w:rPr>
        <w:t>(Source: Research 2025)</w:t>
      </w:r>
    </w:p>
    <w:p w14:paraId="52185B79" w14:textId="1F82D4C9" w:rsidR="00CA23F5" w:rsidRDefault="00B23507" w:rsidP="00524F35">
      <w:pPr>
        <w:spacing w:before="0" w:beforeAutospacing="0" w:after="0" w:line="276" w:lineRule="auto"/>
        <w:ind w:left="0" w:right="0" w:firstLine="720"/>
        <w:jc w:val="both"/>
        <w:rPr>
          <w:rFonts w:ascii="Calisto MT" w:hAnsi="Calisto MT" w:cs="Times New Roman"/>
          <w:sz w:val="20"/>
          <w:szCs w:val="20"/>
        </w:rPr>
      </w:pPr>
      <w:r w:rsidRPr="00B23507">
        <w:rPr>
          <w:rFonts w:ascii="Calisto MT" w:hAnsi="Calisto MT" w:cs="Times New Roman"/>
          <w:sz w:val="20"/>
          <w:szCs w:val="20"/>
        </w:rPr>
        <w:t xml:space="preserve">The linear regression figure above shows that the relationship between concentration and success in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tends to decrease, which indicates that the concentration variable does not contribute significantly to success in this game. This may be due to other more dominant factors, such as kinesthetic intelligence or technical skill aspects. The graph showing a decrease also shows that excessive focus on concentration is not always directly proportional to the success of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if it is not balanced with technical and motor skills</w:t>
      </w:r>
      <w:r w:rsidRPr="00B23507">
        <w:rPr>
          <w:rFonts w:ascii="Calisto MT" w:hAnsi="Calisto MT" w:cs="Times New Roman"/>
          <w:sz w:val="20"/>
          <w:szCs w:val="20"/>
        </w:rPr>
        <w:fldChar w:fldCharType="begin" w:fldLock="1"/>
      </w:r>
      <w:r w:rsidR="00515FE0">
        <w:rPr>
          <w:rFonts w:ascii="Calisto MT" w:hAnsi="Calisto MT" w:cs="Times New Roman"/>
          <w:sz w:val="20"/>
          <w:szCs w:val="20"/>
        </w:rPr>
        <w:instrText>ADDIN CSL_CITATION {"citationItems":[{"id":"ITEM-1","itemData":{"DOI":"10.46838/spr.v4i1.292","abstract":"Penelitian ini bertujuan untuk mengetahui peran permainan tradisional plintengan terhadap perkembangan kemampuan psikomotorik anak. Penelitian ini menggunakan metode deskriptif kualitatif dengan pendekatan pretest dan postes. Subjek penelitian yang digunakan adalah perwakilan anak SD se-Kabupaten Semarang yang berjumlah 50 orang. Data yang dikumpulkan pada penelitian ini menggunakan teknik observasi, wawancara, dan praktik langsung di lapangan. Penelitian ini dimulai dengan tim pelaksana memberikan materi berupa penjelasan dan demonstrasi langsung terkait dengan permainan tradisional plintengan. Hasil pretest menunjukkan persentase pada kategori tidak bisa memainkan sebanyak 66%, kategori bisa mainkan sebanyak 26 % dan kategori mengenai sasaran sebnayak 8%. Setelah itu, tim pelaksana memberikan perlakukan berupa sosialisasi secara verbal dan praktek langsung terkait pemainan plintengan. Hasil posttest menunjukkan perubahan hasil, salah satunya pada kategori bisa memainkan yang menunjukkan angka sebesar 82% dan kategori mengenai sasaran menghasilkan persentase sebesar 18%. Penelitian ini terbatas pada pembahasan terkait kemampuan psikomotorik anak. Diharapkan penelitian selanjutnya dapat membahas terkait dengan mental terutama pada kemampuan sosial dan psikologi anak saat bermain plintengan.","author":[{"dropping-particle":"","family":"Irawan","given":"Fajar Awang","non-dropping-particle":"","parse-names":false,"suffix":""},{"dropping-particle":"","family":"Junaidi","given":"Said","non-dropping-particle":"","parse-names":false,"suffix":""},{"dropping-particle":"","family":"Permana","given":"Dhias Fajar Widya","non-dropping-particle":"","parse-names":false,"suffix":""},{"dropping-particle":"","family":"Aditya","given":"Lukman","non-dropping-particle":"","parse-names":false,"suffix":""},{"dropping-particle":"","family":"Prastiwi","given":"Tania Arlita Safitri","non-dropping-particle":"","parse-names":false,"suffix":""}],"container-title":"SPRINTER: Jurnal Ilmu Olahraga","id":"ITEM-1","issue":"1","issued":{"date-parts":[["2023"]]},"page":"40-47","title":"Implementasi Permainan Tradisional Plintengan dalam Mengembangkan Kemampuan Psikomotorik","type":"article-journal","volume":"4"},"uris":["http://www.mendeley.com/documents/?uuid=03c01d94-4743-4ab0-bc52-a84492a54fa2"]}],"mendeley":{"formattedCitation":"(Irawan et al., 2023)","manualFormatting":" (Fajar Awang Irawan et al., 2023).","plainTextFormattedCitation":"(Irawan et al., 2023)","previouslyFormattedCitation":"(Irawan et al., 2023)"},"properties":{"noteIndex":0},"schema":"https://github.com/citation-style-language/schema/raw/master/csl-citation.json"}</w:instrText>
      </w:r>
      <w:r w:rsidRPr="00B23507">
        <w:rPr>
          <w:rFonts w:ascii="Calisto MT" w:hAnsi="Calisto MT" w:cs="Times New Roman"/>
          <w:sz w:val="20"/>
          <w:szCs w:val="20"/>
        </w:rPr>
        <w:fldChar w:fldCharType="separate"/>
      </w:r>
      <w:r w:rsidRPr="00B23507">
        <w:rPr>
          <w:rFonts w:ascii="Calisto MT" w:hAnsi="Calisto MT" w:cs="Times New Roman"/>
          <w:noProof/>
          <w:sz w:val="20"/>
          <w:szCs w:val="20"/>
        </w:rPr>
        <w:t xml:space="preserve"> (Fajar Awang Irawan et al., 2023).</w:t>
      </w:r>
      <w:r w:rsidRPr="00B23507">
        <w:rPr>
          <w:rFonts w:ascii="Calisto MT" w:hAnsi="Calisto MT" w:cs="Times New Roman"/>
          <w:sz w:val="20"/>
          <w:szCs w:val="20"/>
        </w:rPr>
        <w:fldChar w:fldCharType="end"/>
      </w:r>
    </w:p>
    <w:p w14:paraId="2CAD603F" w14:textId="0B7A04CE" w:rsidR="008E3C63" w:rsidRDefault="00B23507" w:rsidP="00524F35">
      <w:pPr>
        <w:spacing w:before="0" w:beforeAutospacing="0" w:after="0" w:line="276" w:lineRule="auto"/>
        <w:ind w:left="0" w:right="0" w:firstLine="720"/>
        <w:jc w:val="both"/>
        <w:rPr>
          <w:rFonts w:ascii="Calisto MT" w:hAnsi="Calisto MT" w:cs="Times New Roman"/>
          <w:sz w:val="20"/>
          <w:szCs w:val="20"/>
        </w:rPr>
      </w:pPr>
      <w:r w:rsidRPr="00B23507">
        <w:rPr>
          <w:rFonts w:ascii="Calisto MT" w:hAnsi="Calisto MT" w:cs="Times New Roman"/>
          <w:sz w:val="20"/>
          <w:szCs w:val="20"/>
        </w:rPr>
        <w:t>From the test results, the data on students' concentration scores in the three schools showed that the majority of students were in the moderate category in terms of concentration (38 students or 74.5%), while only one student (2%) had a good concentration level. There were no students who reached the excellent category, even (12 students or 23.5%) were in the poor category which indicates that the general level of concentration still needs to be improved.</w:t>
      </w:r>
    </w:p>
    <w:p w14:paraId="5D40C19C" w14:textId="5DF45264" w:rsidR="00B23507" w:rsidRPr="00B23507" w:rsidRDefault="00B23507" w:rsidP="00524F35">
      <w:pPr>
        <w:spacing w:before="0" w:beforeAutospacing="0" w:after="0" w:line="276" w:lineRule="auto"/>
        <w:ind w:left="0" w:right="0" w:firstLine="720"/>
        <w:jc w:val="both"/>
        <w:rPr>
          <w:rFonts w:ascii="Calisto MT" w:hAnsi="Calisto MT" w:cs="Times New Roman"/>
          <w:sz w:val="20"/>
          <w:szCs w:val="20"/>
        </w:rPr>
      </w:pPr>
      <w:r w:rsidRPr="00B23507">
        <w:rPr>
          <w:rFonts w:ascii="Calisto MT" w:hAnsi="Calisto MT" w:cs="Times New Roman"/>
          <w:sz w:val="20"/>
          <w:szCs w:val="20"/>
        </w:rPr>
        <w:t xml:space="preserve">In the traditional game of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concentration plays an important role to control balance, players need to maintain body balance while standing on the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Concentration allows them to focus on body position, footing, and steps taken to prevent falling. Then </w:t>
      </w:r>
      <w:r w:rsidRPr="00B23507">
        <w:rPr>
          <w:rFonts w:ascii="Calisto MT" w:hAnsi="Calisto MT" w:cs="Times New Roman"/>
          <w:sz w:val="20"/>
          <w:szCs w:val="20"/>
        </w:rPr>
        <w:t>concentration plays a role in anticipating environmental changes such as uneven ground or interference from other players. In addition, concentration also plays a role in helping players to strategically plan their steps, so that they can move efficiently and stably</w:t>
      </w:r>
      <w:r w:rsidR="00E837A0">
        <w:rPr>
          <w:rFonts w:ascii="Calisto MT" w:hAnsi="Calisto MT" w:cs="Times New Roman"/>
          <w:sz w:val="20"/>
          <w:szCs w:val="20"/>
        </w:rPr>
        <w:t xml:space="preserve"> </w:t>
      </w:r>
      <w:r w:rsidR="00E837A0">
        <w:rPr>
          <w:rFonts w:ascii="Calisto MT" w:hAnsi="Calisto MT" w:cs="Times New Roman"/>
          <w:sz w:val="20"/>
          <w:szCs w:val="20"/>
        </w:rPr>
        <w:fldChar w:fldCharType="begin" w:fldLock="1"/>
      </w:r>
      <w:r w:rsidR="00515FE0">
        <w:rPr>
          <w:rFonts w:ascii="Calisto MT" w:hAnsi="Calisto MT" w:cs="Times New Roman"/>
          <w:sz w:val="20"/>
          <w:szCs w:val="20"/>
        </w:rPr>
        <w:instrText>ADDIN CSL_CITATION {"citationItems":[{"id":"ITEM-1","itemData":{"DOI":"10.46838/spr.v4i1.292","abstract":"Penelitian ini bertujuan untuk mengetahui peran permainan tradisional plintengan terhadap perkembangan kemampuan psikomotorik anak. Penelitian ini menggunakan metode deskriptif kualitatif dengan pendekatan pretest dan postes. Subjek penelitian yang digunakan adalah perwakilan anak SD se-Kabupaten Semarang yang berjumlah 50 orang. Data yang dikumpulkan pada penelitian ini menggunakan teknik observasi, wawancara, dan praktik langsung di lapangan. Penelitian ini dimulai dengan tim pelaksana memberikan materi berupa penjelasan dan demonstrasi langsung terkait dengan permainan tradisional plintengan. Hasil pretest menunjukkan persentase pada kategori tidak bisa memainkan sebanyak 66%, kategori bisa mainkan sebanyak 26 % dan kategori mengenai sasaran sebnayak 8%. Setelah itu, tim pelaksana memberikan perlakukan berupa sosialisasi secara verbal dan praktek langsung terkait pemainan plintengan. Hasil posttest menunjukkan perubahan hasil, salah satunya pada kategori bisa memainkan yang menunjukkan angka sebesar 82% dan kategori mengenai sasaran menghasilkan persentase sebesar 18%. Penelitian ini terbatas pada pembahasan terkait kemampuan psikomotorik anak. Diharapkan penelitian selanjutnya dapat membahas terkait dengan mental terutama pada kemampuan sosial dan psikologi anak saat bermain plintengan.","author":[{"dropping-particle":"","family":"Irawan","given":"Fajar Awang","non-dropping-particle":"","parse-names":false,"suffix":""},{"dropping-particle":"","family":"Junaidi","given":"Said","non-dropping-particle":"","parse-names":false,"suffix":""},{"dropping-particle":"","family":"Permana","given":"Dhias Fajar Widya","non-dropping-particle":"","parse-names":false,"suffix":""},{"dropping-particle":"","family":"Aditya","given":"Lukman","non-dropping-particle":"","parse-names":false,"suffix":""},{"dropping-particle":"","family":"Prastiwi","given":"Tania Arlita Safitri","non-dropping-particle":"","parse-names":false,"suffix":""}],"container-title":"SPRINTER: Jurnal Ilmu Olahraga","id":"ITEM-1","issue":"1","issued":{"date-parts":[["2023"]]},"page":"40-47","title":"Implementasi Permainan Tradisional Plintengan dalam Mengembangkan Kemampuan Psikomotorik","type":"article-journal","volume":"4"},"uris":["http://www.mendeley.com/documents/?uuid=03c01d94-4743-4ab0-bc52-a84492a54fa2"]}],"mendeley":{"formattedCitation":"(Irawan et al., 2023)","plainTextFormattedCitation":"(Irawan et al., 2023)","previouslyFormattedCitation":"(Irawan et al., 2023)"},"properties":{"noteIndex":0},"schema":"https://github.com/citation-style-language/schema/raw/master/csl-citation.json"}</w:instrText>
      </w:r>
      <w:r w:rsidR="00E837A0">
        <w:rPr>
          <w:rFonts w:ascii="Calisto MT" w:hAnsi="Calisto MT" w:cs="Times New Roman"/>
          <w:sz w:val="20"/>
          <w:szCs w:val="20"/>
        </w:rPr>
        <w:fldChar w:fldCharType="separate"/>
      </w:r>
      <w:r w:rsidR="00CF0C4E" w:rsidRPr="00CF0C4E">
        <w:rPr>
          <w:rFonts w:ascii="Calisto MT" w:hAnsi="Calisto MT" w:cs="Times New Roman"/>
          <w:noProof/>
          <w:sz w:val="20"/>
          <w:szCs w:val="20"/>
        </w:rPr>
        <w:t>(Irawan et al., 2023)</w:t>
      </w:r>
      <w:r w:rsidR="00E837A0">
        <w:rPr>
          <w:rFonts w:ascii="Calisto MT" w:hAnsi="Calisto MT" w:cs="Times New Roman"/>
          <w:sz w:val="20"/>
          <w:szCs w:val="20"/>
        </w:rPr>
        <w:fldChar w:fldCharType="end"/>
      </w:r>
      <w:r w:rsidRPr="00B23507">
        <w:rPr>
          <w:rFonts w:ascii="Calisto MT" w:hAnsi="Calisto MT" w:cs="Times New Roman"/>
          <w:sz w:val="20"/>
          <w:szCs w:val="20"/>
        </w:rPr>
        <w:t xml:space="preserve"> . However, the results showed that although concentration is needed in sports and physical activities in theory, in the results of the research conducted the overall concentration of students did not make a significant contribution to the success of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w:t>
      </w:r>
    </w:p>
    <w:p w14:paraId="18505351" w14:textId="033714F0" w:rsidR="00B23507" w:rsidRPr="00B23507" w:rsidRDefault="00B23507" w:rsidP="00524F35">
      <w:pPr>
        <w:spacing w:before="0" w:beforeAutospacing="0" w:after="0" w:line="276" w:lineRule="auto"/>
        <w:ind w:left="0" w:right="0" w:firstLine="720"/>
        <w:jc w:val="both"/>
        <w:rPr>
          <w:rFonts w:ascii="Calisto MT" w:hAnsi="Calisto MT" w:cs="Times New Roman"/>
          <w:sz w:val="20"/>
          <w:szCs w:val="20"/>
        </w:rPr>
      </w:pPr>
      <w:r w:rsidRPr="00B23507">
        <w:rPr>
          <w:rFonts w:ascii="Calisto MT" w:hAnsi="Calisto MT" w:cs="Times New Roman"/>
          <w:sz w:val="20"/>
          <w:szCs w:val="20"/>
        </w:rPr>
        <w:t xml:space="preserve">Concentration plays a role in maintaining focus during the game. Playing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requires full attention to each step taken, especially because the footing used is narrow and unstable</w:t>
      </w:r>
      <w:r w:rsidRPr="00B23507">
        <w:rPr>
          <w:rFonts w:ascii="Calisto MT" w:hAnsi="Calisto MT" w:cs="Times New Roman"/>
          <w:sz w:val="20"/>
          <w:szCs w:val="20"/>
        </w:rPr>
        <w:fldChar w:fldCharType="begin" w:fldLock="1"/>
      </w:r>
      <w:r w:rsidR="008E3C63">
        <w:rPr>
          <w:rFonts w:ascii="Calisto MT" w:hAnsi="Calisto MT" w:cs="Times New Roman"/>
          <w:sz w:val="20"/>
          <w:szCs w:val="20"/>
        </w:rPr>
        <w:instrText>ADDIN CSL_CITATION {"citationItems":[{"id":"ITEM-1","itemData":{"author":[{"dropping-particle":"","family":"Irawan","given":"Fajar Awang","non-dropping-particle":"","parse-names":false,"suffix":""},{"dropping-particle":"","family":"Setiawati","given":"Ai Sumirah","non-dropping-particle":"","parse-names":false,"suffix":""},{"dropping-particle":"","family":"Fajar","given":"Dhias","non-dropping-particle":"","parse-names":false,"suffix":""},{"dropping-particle":"","family":"Permana","given":"Widya","non-dropping-particle":"","parse-names":false,"suffix":""},{"dropping-particle":"","family":"Suciani","given":"Primawati","non-dropping-particle":"","parse-names":false,"suffix":""}],"id":"ITEM-1","issued":{"date-parts":[["2024"]]},"page":"48-54","title":"Implemantasi permainan tradisional egrang menggunakan multiple intelligences","type":"article-journal","volume":"7"},"uris":["http://www.mendeley.com/documents/?uuid=a324ad95-35ab-4019-ae85-b6652ab7dd35"]}],"mendeley":{"formattedCitation":"(Irawan et al., 2024)","manualFormatting":" (Irawan et al., 2024)","plainTextFormattedCitation":"(Irawan et al., 2024)","previouslyFormattedCitation":"(Irawan et al., 2024)"},"properties":{"noteIndex":0},"schema":"https://github.com/citation-style-language/schema/raw/master/csl-citation.json"}</w:instrText>
      </w:r>
      <w:r w:rsidRPr="00B23507">
        <w:rPr>
          <w:rFonts w:ascii="Calisto MT" w:hAnsi="Calisto MT" w:cs="Times New Roman"/>
          <w:sz w:val="20"/>
          <w:szCs w:val="20"/>
        </w:rPr>
        <w:fldChar w:fldCharType="separate"/>
      </w:r>
      <w:r w:rsidRPr="00B23507">
        <w:rPr>
          <w:rFonts w:ascii="Calisto MT" w:hAnsi="Calisto MT" w:cs="Times New Roman"/>
          <w:noProof/>
          <w:sz w:val="20"/>
          <w:szCs w:val="20"/>
        </w:rPr>
        <w:t xml:space="preserve"> (Irawan et al., 2024)</w:t>
      </w:r>
      <w:r w:rsidRPr="00B23507">
        <w:rPr>
          <w:rFonts w:ascii="Calisto MT" w:hAnsi="Calisto MT" w:cs="Times New Roman"/>
          <w:sz w:val="20"/>
          <w:szCs w:val="20"/>
        </w:rPr>
        <w:fldChar w:fldCharType="end"/>
      </w:r>
      <w:r w:rsidRPr="00B23507">
        <w:rPr>
          <w:rFonts w:ascii="Calisto MT" w:hAnsi="Calisto MT" w:cs="Times New Roman"/>
          <w:sz w:val="20"/>
          <w:szCs w:val="20"/>
        </w:rPr>
        <w:t xml:space="preserve"> . However, concentration in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games has different characteristics compared to other physical activities that require long term focus. This game is more demanding of situational focus, where students must be able to respond quickly and appropriately to changes that occur. According to</w:t>
      </w:r>
      <w:r w:rsidRPr="00B23507">
        <w:rPr>
          <w:rFonts w:ascii="Calisto MT" w:hAnsi="Calisto MT" w:cs="Times New Roman"/>
          <w:sz w:val="20"/>
          <w:szCs w:val="20"/>
        </w:rPr>
        <w:fldChar w:fldCharType="begin" w:fldLock="1"/>
      </w:r>
      <w:r w:rsidR="008E3C63">
        <w:rPr>
          <w:rFonts w:ascii="Calisto MT" w:hAnsi="Calisto MT" w:cs="Times New Roman"/>
          <w:sz w:val="20"/>
          <w:szCs w:val="20"/>
        </w:rPr>
        <w:instrText>ADDIN CSL_CITATION {"citationItems":[{"id":"ITEM-1","itemData":{"abstract":"In the game of badminton one of the main components required is concentration. In badminton, the concentration have very important role. With the reduced concentration or disruption of athletes during training or a match, then there will be a variety of problems, such as reduced accuracy result punch placement shuttlecock is not on target.This research is descriptive quantitative, aims to determine whether there is any relationship between the concentration with a precision punch jumping smash in men athletes aged 16-20 years PB Unesa Citra Raya Surabaya on 10 athletes. Conclusion of this research is that there is a concentration contributes to the accuracy of punches man athlete jumping smash PB 16-20 years of age. Unesa Surabaya Citra Raya. Major contribution to the accuracy of the concentration of blow man athlete jumping smash PB 16-20 years of age Citra Raya Unesa is 54.4%. Keywords: Concentration, jumping smash","author":[{"dropping-particle":"","family":"Harmono","given":"Bayu Akbar","non-dropping-particle":"","parse-names":false,"suffix":""}],"container-title":"Universitas Negeri Surabaya","id":"ITEM-1","issue":"02","issued":{"date-parts":[["2014"]]},"page":"51-57","title":"Kontribusi Konsentrasi Terhadap Ketepatan Pukulan Jumping Smash Pada Bulutangkis","type":"article-journal","volume":"02 Nomor 0"},"uris":["http://www.mendeley.com/documents/?uuid=540998d0-0a47-44ad-8449-8b895353c92b"]}],"mendeley":{"formattedCitation":"(Harmono, 2014)","manualFormatting":" Harmono, (2014)","plainTextFormattedCitation":"(Harmono, 2014)","previouslyFormattedCitation":"(Harmono, 2014)"},"properties":{"noteIndex":0},"schema":"https://github.com/citation-style-language/schema/raw/master/csl-citation.json"}</w:instrText>
      </w:r>
      <w:r w:rsidRPr="00B23507">
        <w:rPr>
          <w:rFonts w:ascii="Calisto MT" w:hAnsi="Calisto MT" w:cs="Times New Roman"/>
          <w:sz w:val="20"/>
          <w:szCs w:val="20"/>
        </w:rPr>
        <w:fldChar w:fldCharType="separate"/>
      </w:r>
      <w:r w:rsidRPr="00B23507">
        <w:rPr>
          <w:rFonts w:ascii="Calisto MT" w:hAnsi="Calisto MT" w:cs="Times New Roman"/>
          <w:noProof/>
          <w:sz w:val="20"/>
          <w:szCs w:val="20"/>
        </w:rPr>
        <w:t xml:space="preserve"> Harmono, (2014)</w:t>
      </w:r>
      <w:r w:rsidRPr="00B23507">
        <w:rPr>
          <w:rFonts w:ascii="Calisto MT" w:hAnsi="Calisto MT" w:cs="Times New Roman"/>
          <w:sz w:val="20"/>
          <w:szCs w:val="20"/>
        </w:rPr>
        <w:fldChar w:fldCharType="end"/>
      </w:r>
      <w:r w:rsidRPr="00B23507">
        <w:rPr>
          <w:rFonts w:ascii="Calisto MT" w:hAnsi="Calisto MT" w:cs="Times New Roman"/>
          <w:sz w:val="20"/>
          <w:szCs w:val="20"/>
        </w:rPr>
        <w:t xml:space="preserve"> in the context of other sports such as badminton, concentration plays a role in determining the success of technique and accuracy of strokes, but this study indicates that the contribution of concentration is more significant in activities that require focused attention and high technical precision compared to more situational or dynamic activities such as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games. According to research conducted by</w:t>
      </w:r>
      <w:r w:rsidRPr="00B23507">
        <w:rPr>
          <w:rFonts w:ascii="Calisto MT" w:hAnsi="Calisto MT" w:cs="Times New Roman"/>
          <w:sz w:val="20"/>
          <w:szCs w:val="20"/>
        </w:rPr>
        <w:fldChar w:fldCharType="begin" w:fldLock="1"/>
      </w:r>
      <w:r w:rsidR="008E3C63">
        <w:rPr>
          <w:rFonts w:ascii="Calisto MT" w:hAnsi="Calisto MT" w:cs="Times New Roman"/>
          <w:sz w:val="20"/>
          <w:szCs w:val="20"/>
        </w:rPr>
        <w:instrText>ADDIN CSL_CITATION {"citationItems":[{"id":"ITEM-1","itemData":{"DOI":"10.24036/jm.v4i1.30","ISSN":"2527-645X","abstract":"The problem in this research is based on observations in the field, there is still a lack of some aspects of the physical conditions that affect the Heian said yodan conducted by karate dojo LEMKARI Space Lanud Padang. Presumably there are several factors that affect the Kata heian yodan, among these factors is the motor ability and concentration. This study aims to explain the contribution of the motor ability and concentration on the mastery of the Kata heian yodan. This research method is quantitative method using data analysis techniques regression and correlation, either single or double. The population in this study is the karateka LEMKARI Dojo Space Lanud Padang enrolled in training, totaling 52 people, with a sample of 32 people were taken by purposive sampling that karateka daughter alone. Measurements ability using Barrow motor data Motor Ability Test were then processed using the formula lewis, to the concentration data using Grid Concentration Test. For mastery of data pegukuran Kata Heian yodan with Rule Of Competition World Karate Federation of the Executive Board of Forki with Kata Scoring Form of Free Game FKTI-INKAI. Based on data analysis results: (1) The components of motor abilities contributed 17.39% to the mastery of the kata heian yodan; (2) Components of concentration contributed 12.47% to the mastery of the word kata heian yodan; (3) Taken together the motor ability and concentration contributed 25.17% to the Heian yodan word mastery, and the remaining percentage is influenced by other factors. Based on these results, we can conclude that the motor ability and concentration to contribute jointly towards mastery of the kata heian yodan.","author":[{"dropping-particle":"","family":"Asnaldi","given":"Arie","non-dropping-particle":"","parse-names":false,"suffix":""}],"container-title":"Jurnal MensSana","id":"ITEM-1","issue":"1","issued":{"date-parts":[["2019"]]},"page":"pp.17","title":"Kontribusi Motor Ability Dan Konsentrasi Terhadap Kemampuan Penguasaan Kata Heian Yodan Karateka Lemkari Dojo Angkasa Lanud Padang","type":"article-journal","volume":"vol.4"},"uris":["http://www.mendeley.com/documents/?uuid=eb7c925c-7ff5-4b74-818a-d64e71733efa"]}],"mendeley":{"formattedCitation":"(Asnaldi, 2019)","manualFormatting":" Asnaldi, (2019)","plainTextFormattedCitation":"(Asnaldi, 2019)","previouslyFormattedCitation":"(Asnaldi, 2019)"},"properties":{"noteIndex":0},"schema":"https://github.com/citation-style-language/schema/raw/master/csl-citation.json"}</w:instrText>
      </w:r>
      <w:r w:rsidRPr="00B23507">
        <w:rPr>
          <w:rFonts w:ascii="Calisto MT" w:hAnsi="Calisto MT" w:cs="Times New Roman"/>
          <w:sz w:val="20"/>
          <w:szCs w:val="20"/>
        </w:rPr>
        <w:fldChar w:fldCharType="separate"/>
      </w:r>
      <w:r w:rsidRPr="00B23507">
        <w:rPr>
          <w:rFonts w:ascii="Calisto MT" w:hAnsi="Calisto MT" w:cs="Times New Roman"/>
          <w:noProof/>
          <w:sz w:val="20"/>
          <w:szCs w:val="20"/>
        </w:rPr>
        <w:t xml:space="preserve"> Asnaldi, (2019)</w:t>
      </w:r>
      <w:r w:rsidRPr="00B23507">
        <w:rPr>
          <w:rFonts w:ascii="Calisto MT" w:hAnsi="Calisto MT" w:cs="Times New Roman"/>
          <w:sz w:val="20"/>
          <w:szCs w:val="20"/>
        </w:rPr>
        <w:fldChar w:fldCharType="end"/>
      </w:r>
      <w:r w:rsidRPr="00B23507">
        <w:rPr>
          <w:rFonts w:ascii="Calisto MT" w:hAnsi="Calisto MT" w:cs="Times New Roman"/>
          <w:sz w:val="20"/>
          <w:szCs w:val="20"/>
        </w:rPr>
        <w:t xml:space="preserve"> concentration is more needed especially in sports that demand high concentration such as archery, shooting, chess sports, while in the example of karate sports demanding speed, accuracy, consistency. So it can be concluded that sports that are indicated in movements that require static balance require more concentration than sports with dynamic balance. All activities require concentration, it's just that each particular sport has its own characteristics</w:t>
      </w:r>
      <w:r w:rsidRPr="00B23507">
        <w:rPr>
          <w:rFonts w:ascii="Calisto MT" w:hAnsi="Calisto MT" w:cs="Times New Roman"/>
          <w:sz w:val="20"/>
          <w:szCs w:val="20"/>
        </w:rPr>
        <w:fldChar w:fldCharType="begin" w:fldLock="1"/>
      </w:r>
      <w:r w:rsidR="00CF0C4E">
        <w:rPr>
          <w:rFonts w:ascii="Calisto MT" w:hAnsi="Calisto MT" w:cs="Times New Roman"/>
          <w:sz w:val="20"/>
          <w:szCs w:val="20"/>
        </w:rPr>
        <w:instrText>ADDIN CSL_CITATION {"citationItems":[{"id":"ITEM-1","itemData":{"DOI":"DOI:http://dx.doi.org/10.31258/jope.3.2. 85-92","author":[{"dropping-particle":"","family":"Irawan","given":"Fajar Awang","non-dropping-particle":"","parse-names":false,"suffix":""},{"dropping-particle":"","family":"Sutaryono","given":"","non-dropping-particle":"","parse-names":false,"suffix":""},{"dropping-particle":"","family":"Permana","given":"Dhias Fajar Widya","non-dropping-particle":"","parse-names":false,"suffix":""},{"dropping-particle":"","family":"Billah","given":"Tafriyadhur Risa","non-dropping-particle":"","parse-names":false,"suffix":""},{"dropping-particle":"","family":"Ma'dum","given":"Mirza Arif","non-dropping-particle":"","parse-names":false,"suffix":""}],"container-title":"Journal of Sport Education","id":"ITEM-1","issue":"No.2","issued":{"date-parts":[["2021"]]},"page":"pp.63-74","title":"Hand, Eye, and Foot Coordination Test Untuk Mendeteksi Kemampuan Dasar Lokomotor","type":"article-journal","volume":"Vol.3"},"uris":["http://www.mendeley.com/documents/?uuid=3b9ec31d-254c-45d9-a98b-bd743e82e283"]}],"mendeley":{"formattedCitation":"(Irawan, Sutaryono, Permana, Billah, et al., 2021)","manualFormatting":" (Irawan, Sutaryono, Permana, Billah, et al., 2021).","plainTextFormattedCitation":"(Irawan, Sutaryono, Permana, Billah, et al., 2021)","previouslyFormattedCitation":"(Irawan, Sutaryono, Permana, Billah, et al., 2021)"},"properties":{"noteIndex":0},"schema":"https://github.com/citation-style-language/schema/raw/master/csl-citation.json"}</w:instrText>
      </w:r>
      <w:r w:rsidRPr="00B23507">
        <w:rPr>
          <w:rFonts w:ascii="Calisto MT" w:hAnsi="Calisto MT" w:cs="Times New Roman"/>
          <w:sz w:val="20"/>
          <w:szCs w:val="20"/>
        </w:rPr>
        <w:fldChar w:fldCharType="separate"/>
      </w:r>
      <w:r w:rsidRPr="00B23507">
        <w:rPr>
          <w:rFonts w:ascii="Calisto MT" w:hAnsi="Calisto MT" w:cs="Times New Roman"/>
          <w:noProof/>
          <w:sz w:val="20"/>
          <w:szCs w:val="20"/>
        </w:rPr>
        <w:t xml:space="preserve"> (Irawan, Sutaryono,</w:t>
      </w:r>
      <w:r w:rsidR="00A51101">
        <w:rPr>
          <w:rFonts w:ascii="Calisto MT" w:hAnsi="Calisto MT" w:cs="Times New Roman"/>
          <w:noProof/>
          <w:sz w:val="20"/>
          <w:szCs w:val="20"/>
        </w:rPr>
        <w:t xml:space="preserve"> Permana, Billah, et al., 2021)</w:t>
      </w:r>
      <w:r w:rsidRPr="00B23507">
        <w:rPr>
          <w:rFonts w:ascii="Calisto MT" w:hAnsi="Calisto MT" w:cs="Times New Roman"/>
          <w:noProof/>
          <w:sz w:val="20"/>
          <w:szCs w:val="20"/>
        </w:rPr>
        <w:t>.</w:t>
      </w:r>
      <w:r w:rsidRPr="00B23507">
        <w:rPr>
          <w:rFonts w:ascii="Calisto MT" w:hAnsi="Calisto MT" w:cs="Times New Roman"/>
          <w:sz w:val="20"/>
          <w:szCs w:val="20"/>
        </w:rPr>
        <w:fldChar w:fldCharType="end"/>
      </w:r>
    </w:p>
    <w:p w14:paraId="5C991581" w14:textId="1E474438" w:rsidR="00B23507" w:rsidRPr="00B23507" w:rsidRDefault="00B23507" w:rsidP="00524F35">
      <w:pPr>
        <w:spacing w:after="0" w:line="276" w:lineRule="auto"/>
        <w:ind w:left="0" w:right="0" w:firstLine="720"/>
        <w:jc w:val="both"/>
        <w:rPr>
          <w:rFonts w:ascii="Calisto MT" w:hAnsi="Calisto MT" w:cs="Times New Roman"/>
          <w:sz w:val="20"/>
          <w:szCs w:val="20"/>
        </w:rPr>
      </w:pPr>
      <w:r w:rsidRPr="00B23507">
        <w:rPr>
          <w:rFonts w:ascii="Calisto MT" w:hAnsi="Calisto MT" w:cs="Times New Roman"/>
          <w:sz w:val="20"/>
          <w:szCs w:val="20"/>
        </w:rPr>
        <w:t xml:space="preserve">Most students (50 students or 98%) are at a moderate to poor concentration level. This may affect their ability to maintain the focus required to play </w:t>
      </w:r>
      <w:proofErr w:type="spellStart"/>
      <w:r w:rsidRPr="00B23507">
        <w:rPr>
          <w:rFonts w:ascii="Calisto MT" w:hAnsi="Calisto MT" w:cs="Times New Roman"/>
          <w:sz w:val="20"/>
          <w:szCs w:val="20"/>
        </w:rPr>
        <w:t>egrnag</w:t>
      </w:r>
      <w:proofErr w:type="spellEnd"/>
      <w:r w:rsidRPr="00B23507">
        <w:rPr>
          <w:rFonts w:ascii="Calisto MT" w:hAnsi="Calisto MT" w:cs="Times New Roman"/>
          <w:sz w:val="20"/>
          <w:szCs w:val="20"/>
        </w:rPr>
        <w:t xml:space="preserve"> effectively. According to</w:t>
      </w:r>
      <w:r w:rsidRPr="00B23507">
        <w:rPr>
          <w:rFonts w:ascii="Calisto MT" w:hAnsi="Calisto MT" w:cs="Times New Roman"/>
          <w:sz w:val="20"/>
          <w:szCs w:val="20"/>
        </w:rPr>
        <w:fldChar w:fldCharType="begin" w:fldLock="1"/>
      </w:r>
      <w:r w:rsidR="008E3C63">
        <w:rPr>
          <w:rFonts w:ascii="Calisto MT" w:hAnsi="Calisto MT" w:cs="Times New Roman"/>
          <w:sz w:val="20"/>
          <w:szCs w:val="20"/>
        </w:rPr>
        <w:instrText>ADDIN CSL_CITATION {"citationItems":[{"id":"ITEM-1","itemData":{"abstract":"Penelitian ini bertujuan untuk mengetahui hubungan antara konsentrasi, kekuatan otot lengan dan keseimbangan tangan dengan ketepatan memanah dikalangan mahasiswa FKIP Pendidikan jasmanikes Universitas Serambi Mekah. Sampel penelitian sebanyak 30 orang mahasiswa. Penelitian menemukan bahwa ketepatan memanah dikalangan mahasiswa berbeda satu sama lain. Namun secara rata-rata ketepatan memanah sudah relatif baik. Selain itu, tingkat konsentrasi, kekuatan otot lengan dan keseimbangan tangan juga berbeda. Hasil pengujian statistik menemukan terdapat hubungan positif dan signifikan antara konsentrasi dengan ketepatan memanah ditunjukkan oleh nilai koefisien korelasi (r) sebesar 0,375. Kekuatan otot lengan memiliki hubungan positif dan signifikan dengan ketepatan memanah, ditunjukkan oleh nilai koefiesien korelasi (r) sebesar 0,455. Keseimbangan tangan memiliki hubungan positif dan signifikan dengan ketepatan memanah ditunjukkan dengan nilai koefisien korelasi (r) sebesar 0,546. Konsentasi, kekuatan otot lengan dan keseimbangan tangan memiliki hubungan positifdan signifikan dengan ketepatan memanah. Kata","author":[{"dropping-particle":"","family":"Ilham","given":"M","non-dropping-particle":"","parse-names":false,"suffix":""}],"container-title":"Jurnal Sport Pedagogy","id":"ITEM-1","issue":"2","issued":{"date-parts":[["2014"]]},"page":"19-24","title":"Hubungan konsentrasi Kekuatan otot Lengan Dan Keseimbangan Tangan Dengan ketepatan memanah","type":"article-journal","volume":"4"},"uris":["http://www.mendeley.com/documents/?uuid=a46e8abd-3a00-43a1-b366-013eedd9ca24"]}],"mendeley":{"formattedCitation":"(Ilham, 2014)","manualFormatting":" Ilham, (2014)","plainTextFormattedCitation":"(Ilham, 2014)","previouslyFormattedCitation":"(Ilham, 2014)"},"properties":{"noteIndex":0},"schema":"https://github.com/citation-style-language/schema/raw/master/csl-citation.json"}</w:instrText>
      </w:r>
      <w:r w:rsidRPr="00B23507">
        <w:rPr>
          <w:rFonts w:ascii="Calisto MT" w:hAnsi="Calisto MT" w:cs="Times New Roman"/>
          <w:sz w:val="20"/>
          <w:szCs w:val="20"/>
        </w:rPr>
        <w:fldChar w:fldCharType="separate"/>
      </w:r>
      <w:r w:rsidRPr="00B23507">
        <w:rPr>
          <w:rFonts w:ascii="Calisto MT" w:hAnsi="Calisto MT" w:cs="Times New Roman"/>
          <w:noProof/>
          <w:sz w:val="20"/>
          <w:szCs w:val="20"/>
        </w:rPr>
        <w:t xml:space="preserve"> </w:t>
      </w:r>
      <w:r w:rsidRPr="00B23507">
        <w:rPr>
          <w:rFonts w:ascii="Calisto MT" w:hAnsi="Calisto MT" w:cs="Times New Roman"/>
          <w:noProof/>
          <w:sz w:val="20"/>
          <w:szCs w:val="20"/>
        </w:rPr>
        <w:lastRenderedPageBreak/>
        <w:t>Ilham, (2014)</w:t>
      </w:r>
      <w:r w:rsidRPr="00B23507">
        <w:rPr>
          <w:rFonts w:ascii="Calisto MT" w:hAnsi="Calisto MT" w:cs="Times New Roman"/>
          <w:sz w:val="20"/>
          <w:szCs w:val="20"/>
        </w:rPr>
        <w:fldChar w:fldCharType="end"/>
      </w:r>
      <w:r w:rsidRPr="00B23507">
        <w:rPr>
          <w:rFonts w:ascii="Calisto MT" w:hAnsi="Calisto MT" w:cs="Times New Roman"/>
          <w:sz w:val="20"/>
          <w:szCs w:val="20"/>
        </w:rPr>
        <w:t xml:space="preserve"> a high level of concentration is required in activities that require static balance. When concentration is still at a moderate or low level, the ability to maintain body stability becomes less optimal. The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game has a relatively short duration so it does not demand long-term concentration. Students who have moderate concentration are still able to survive and complete the </w:t>
      </w:r>
      <w:proofErr w:type="spellStart"/>
      <w:r w:rsidRPr="00B23507">
        <w:rPr>
          <w:rFonts w:ascii="Calisto MT" w:hAnsi="Calisto MT" w:cs="Times New Roman"/>
          <w:sz w:val="20"/>
          <w:szCs w:val="20"/>
        </w:rPr>
        <w:t>egrang</w:t>
      </w:r>
      <w:proofErr w:type="spellEnd"/>
      <w:r w:rsidRPr="00B23507">
        <w:rPr>
          <w:rFonts w:ascii="Calisto MT" w:hAnsi="Calisto MT" w:cs="Times New Roman"/>
          <w:sz w:val="20"/>
          <w:szCs w:val="20"/>
        </w:rPr>
        <w:t xml:space="preserve"> game without significant difficulty.</w:t>
      </w:r>
    </w:p>
    <w:p w14:paraId="3EFA0469" w14:textId="77777777" w:rsidR="00D02FCE" w:rsidRDefault="00A067F6" w:rsidP="00CA23F5">
      <w:pPr>
        <w:pStyle w:val="Heading2"/>
      </w:pPr>
      <w:r w:rsidRPr="00A067F6">
        <w:t>CONCLUSION</w:t>
      </w:r>
      <w:r w:rsidR="00D02FCE">
        <w:t xml:space="preserve"> </w:t>
      </w:r>
    </w:p>
    <w:p w14:paraId="15C48EC8" w14:textId="208BD1AD" w:rsidR="00EA3BCE" w:rsidRDefault="00635DBB" w:rsidP="00524F35">
      <w:pPr>
        <w:spacing w:before="0" w:beforeAutospacing="0" w:after="0"/>
        <w:ind w:left="0" w:right="-6" w:firstLine="630"/>
        <w:jc w:val="both"/>
        <w:rPr>
          <w:rFonts w:ascii="Times New Roman" w:hAnsi="Times New Roman" w:cs="Times New Roman"/>
          <w:sz w:val="24"/>
          <w:szCs w:val="24"/>
        </w:rPr>
      </w:pPr>
      <w:r>
        <w:rPr>
          <w:rFonts w:ascii="Calisto MT" w:hAnsi="Calisto MT" w:cs="Times New Roman"/>
          <w:sz w:val="20"/>
          <w:szCs w:val="20"/>
        </w:rPr>
        <w:t>C</w:t>
      </w:r>
      <w:r w:rsidRPr="00635DBB">
        <w:rPr>
          <w:rFonts w:ascii="Calisto MT" w:hAnsi="Calisto MT" w:cs="Times New Roman"/>
          <w:sz w:val="20"/>
          <w:szCs w:val="20"/>
        </w:rPr>
        <w:t xml:space="preserve">oncentration has a low contribution to the success of </w:t>
      </w:r>
      <w:proofErr w:type="spellStart"/>
      <w:r w:rsidRPr="00635DBB">
        <w:rPr>
          <w:rFonts w:ascii="Calisto MT" w:hAnsi="Calisto MT" w:cs="Times New Roman"/>
          <w:sz w:val="20"/>
          <w:szCs w:val="20"/>
        </w:rPr>
        <w:t>egrang</w:t>
      </w:r>
      <w:proofErr w:type="spellEnd"/>
      <w:r w:rsidRPr="00635DBB">
        <w:rPr>
          <w:rFonts w:ascii="Calisto MT" w:hAnsi="Calisto MT" w:cs="Times New Roman"/>
          <w:sz w:val="20"/>
          <w:szCs w:val="20"/>
        </w:rPr>
        <w:t xml:space="preserve"> at 4.1%, </w:t>
      </w:r>
      <w:r w:rsidR="008E3C63" w:rsidRPr="008E3C63">
        <w:rPr>
          <w:rFonts w:ascii="Calisto MT" w:hAnsi="Calisto MT" w:cs="Times New Roman"/>
          <w:sz w:val="20"/>
          <w:szCs w:val="20"/>
        </w:rPr>
        <w:t xml:space="preserve">and with a significance value of 0.153 (p&gt; 0.05), so that the contribution of concentration to </w:t>
      </w:r>
      <w:proofErr w:type="spellStart"/>
      <w:r w:rsidR="008E3C63" w:rsidRPr="00A51101">
        <w:rPr>
          <w:rFonts w:ascii="Calisto MT" w:hAnsi="Calisto MT" w:cs="Times New Roman"/>
          <w:sz w:val="20"/>
          <w:szCs w:val="20"/>
        </w:rPr>
        <w:t>egr</w:t>
      </w:r>
      <w:r w:rsidR="00A51101" w:rsidRPr="00A51101">
        <w:rPr>
          <w:rFonts w:ascii="Calisto MT" w:hAnsi="Calisto MT" w:cs="Times New Roman"/>
          <w:sz w:val="20"/>
          <w:szCs w:val="20"/>
        </w:rPr>
        <w:t>a</w:t>
      </w:r>
      <w:r w:rsidR="008E3C63" w:rsidRPr="00A51101">
        <w:rPr>
          <w:rFonts w:ascii="Calisto MT" w:hAnsi="Calisto MT" w:cs="Times New Roman"/>
          <w:sz w:val="20"/>
          <w:szCs w:val="20"/>
        </w:rPr>
        <w:t>ng</w:t>
      </w:r>
      <w:proofErr w:type="spellEnd"/>
      <w:r w:rsidR="008E3C63" w:rsidRPr="008E3C63">
        <w:rPr>
          <w:rFonts w:ascii="Calisto MT" w:hAnsi="Calisto MT" w:cs="Times New Roman"/>
          <w:sz w:val="20"/>
          <w:szCs w:val="20"/>
        </w:rPr>
        <w:t xml:space="preserve"> success is not significant. This indicates that although concentration is required in the game of </w:t>
      </w:r>
      <w:proofErr w:type="spellStart"/>
      <w:r w:rsidR="008E3C63" w:rsidRPr="008E3C63">
        <w:rPr>
          <w:rFonts w:ascii="Calisto MT" w:hAnsi="Calisto MT" w:cs="Times New Roman"/>
          <w:sz w:val="20"/>
          <w:szCs w:val="20"/>
        </w:rPr>
        <w:t>egrang</w:t>
      </w:r>
      <w:proofErr w:type="spellEnd"/>
      <w:r w:rsidR="008E3C63" w:rsidRPr="008E3C63">
        <w:rPr>
          <w:rFonts w:ascii="Calisto MT" w:hAnsi="Calisto MT" w:cs="Times New Roman"/>
          <w:sz w:val="20"/>
          <w:szCs w:val="20"/>
        </w:rPr>
        <w:t xml:space="preserve">, this factor is not the main determinant of </w:t>
      </w:r>
      <w:proofErr w:type="spellStart"/>
      <w:r w:rsidR="008E3C63" w:rsidRPr="008E3C63">
        <w:rPr>
          <w:rFonts w:ascii="Calisto MT" w:hAnsi="Calisto MT" w:cs="Times New Roman"/>
          <w:sz w:val="20"/>
          <w:szCs w:val="20"/>
        </w:rPr>
        <w:t>egrang</w:t>
      </w:r>
      <w:proofErr w:type="spellEnd"/>
      <w:r w:rsidR="008E3C63" w:rsidRPr="008E3C63">
        <w:rPr>
          <w:rFonts w:ascii="Calisto MT" w:hAnsi="Calisto MT" w:cs="Times New Roman"/>
          <w:sz w:val="20"/>
          <w:szCs w:val="20"/>
        </w:rPr>
        <w:t xml:space="preserve"> success. The game of </w:t>
      </w:r>
      <w:proofErr w:type="spellStart"/>
      <w:r w:rsidR="008E3C63" w:rsidRPr="008E3C63">
        <w:rPr>
          <w:rFonts w:ascii="Calisto MT" w:hAnsi="Calisto MT" w:cs="Times New Roman"/>
          <w:sz w:val="20"/>
          <w:szCs w:val="20"/>
        </w:rPr>
        <w:t>egrang</w:t>
      </w:r>
      <w:proofErr w:type="spellEnd"/>
      <w:r w:rsidR="008E3C63" w:rsidRPr="008E3C63">
        <w:rPr>
          <w:rFonts w:ascii="Calisto MT" w:hAnsi="Calisto MT" w:cs="Times New Roman"/>
          <w:sz w:val="20"/>
          <w:szCs w:val="20"/>
        </w:rPr>
        <w:t xml:space="preserve"> emphasizes situational focus, i.e. the ability to respond quickly to environmental changes, rather than sustained concentration</w:t>
      </w:r>
      <w:r w:rsidR="008E3C63" w:rsidRPr="008E3C63">
        <w:rPr>
          <w:rFonts w:ascii="Calisto MT" w:hAnsi="Calisto MT"/>
          <w:sz w:val="20"/>
          <w:szCs w:val="20"/>
        </w:rPr>
        <w:t xml:space="preserve">. </w:t>
      </w:r>
      <w:r w:rsidR="008E3C63" w:rsidRPr="008E3C63">
        <w:rPr>
          <w:rFonts w:ascii="Calisto MT" w:hAnsi="Calisto MT" w:cs="Times New Roman"/>
          <w:sz w:val="20"/>
          <w:szCs w:val="20"/>
        </w:rPr>
        <w:t xml:space="preserve">Future research is expected to analyze and identify other factors that may contribute to </w:t>
      </w:r>
      <w:proofErr w:type="spellStart"/>
      <w:r w:rsidR="008E3C63" w:rsidRPr="008E3C63">
        <w:rPr>
          <w:rFonts w:ascii="Calisto MT" w:hAnsi="Calisto MT" w:cs="Times New Roman"/>
          <w:sz w:val="20"/>
          <w:szCs w:val="20"/>
        </w:rPr>
        <w:t>egrang</w:t>
      </w:r>
      <w:proofErr w:type="spellEnd"/>
      <w:r w:rsidR="008E3C63" w:rsidRPr="008E3C63">
        <w:rPr>
          <w:rFonts w:ascii="Calisto MT" w:hAnsi="Calisto MT" w:cs="Times New Roman"/>
          <w:sz w:val="20"/>
          <w:szCs w:val="20"/>
        </w:rPr>
        <w:t xml:space="preserve"> success</w:t>
      </w:r>
      <w:r w:rsidR="008E3C63">
        <w:rPr>
          <w:rFonts w:ascii="Times New Roman" w:hAnsi="Times New Roman" w:cs="Times New Roman"/>
          <w:sz w:val="24"/>
          <w:szCs w:val="24"/>
        </w:rPr>
        <w:t>.</w:t>
      </w:r>
    </w:p>
    <w:p w14:paraId="374B6767" w14:textId="77777777" w:rsidR="0036011F" w:rsidRPr="008E3C63" w:rsidRDefault="00A067F6" w:rsidP="00524F35">
      <w:pPr>
        <w:pStyle w:val="Heading2"/>
        <w:spacing w:after="240" w:line="240" w:lineRule="auto"/>
        <w:rPr>
          <w:lang w:val="id-ID"/>
        </w:rPr>
      </w:pPr>
      <w:r w:rsidRPr="00A067F6">
        <w:rPr>
          <w:lang w:val="id-ID"/>
        </w:rPr>
        <w:t>REFERENCES</w:t>
      </w:r>
    </w:p>
    <w:p w14:paraId="28FD3BDB" w14:textId="49DC3E13" w:rsidR="00515FE0" w:rsidRPr="00515FE0" w:rsidRDefault="00524F35"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24F35">
        <w:rPr>
          <w:rFonts w:ascii="Calisto MT" w:hAnsi="Calisto MT"/>
          <w:sz w:val="20"/>
          <w:szCs w:val="20"/>
        </w:rPr>
        <w:fldChar w:fldCharType="begin" w:fldLock="1"/>
      </w:r>
      <w:r w:rsidRPr="00524F35">
        <w:rPr>
          <w:rFonts w:ascii="Calisto MT" w:hAnsi="Calisto MT"/>
          <w:sz w:val="20"/>
          <w:szCs w:val="20"/>
        </w:rPr>
        <w:instrText xml:space="preserve">ADDIN Mendeley Bibliography CSL_BIBLIOGRAPHY </w:instrText>
      </w:r>
      <w:r w:rsidRPr="00524F35">
        <w:rPr>
          <w:rFonts w:ascii="Calisto MT" w:hAnsi="Calisto MT"/>
          <w:sz w:val="20"/>
          <w:szCs w:val="20"/>
        </w:rPr>
        <w:fldChar w:fldCharType="separate"/>
      </w:r>
      <w:r w:rsidR="00515FE0" w:rsidRPr="00515FE0">
        <w:rPr>
          <w:rFonts w:ascii="Calisto MT" w:hAnsi="Calisto MT" w:cs="Times New Roman"/>
          <w:noProof/>
          <w:sz w:val="20"/>
          <w:szCs w:val="24"/>
        </w:rPr>
        <w:t xml:space="preserve">Ariyanto, A., Triansyah, A., &amp; Gustian, U. (2020). Penggunaan permainan tradisional untuk meningkatkan keterampilan gerak fundamental siswa Sekolah Dasar. </w:t>
      </w:r>
      <w:r w:rsidR="00515FE0" w:rsidRPr="00515FE0">
        <w:rPr>
          <w:rFonts w:ascii="Calisto MT" w:hAnsi="Calisto MT" w:cs="Times New Roman"/>
          <w:i/>
          <w:iCs/>
          <w:noProof/>
          <w:sz w:val="20"/>
          <w:szCs w:val="24"/>
        </w:rPr>
        <w:t>Jurnal Pendidikan Jasmani Indonesia</w:t>
      </w:r>
      <w:r w:rsidR="00515FE0" w:rsidRPr="00515FE0">
        <w:rPr>
          <w:rFonts w:ascii="Calisto MT" w:hAnsi="Calisto MT" w:cs="Times New Roman"/>
          <w:noProof/>
          <w:sz w:val="20"/>
          <w:szCs w:val="24"/>
        </w:rPr>
        <w:t xml:space="preserve">, </w:t>
      </w:r>
      <w:r w:rsidR="00515FE0" w:rsidRPr="00515FE0">
        <w:rPr>
          <w:rFonts w:ascii="Calisto MT" w:hAnsi="Calisto MT" w:cs="Times New Roman"/>
          <w:i/>
          <w:iCs/>
          <w:noProof/>
          <w:sz w:val="20"/>
          <w:szCs w:val="24"/>
        </w:rPr>
        <w:t>16</w:t>
      </w:r>
      <w:r w:rsidR="00515FE0" w:rsidRPr="00515FE0">
        <w:rPr>
          <w:rFonts w:ascii="Calisto MT" w:hAnsi="Calisto MT" w:cs="Times New Roman"/>
          <w:noProof/>
          <w:sz w:val="20"/>
          <w:szCs w:val="24"/>
        </w:rPr>
        <w:t>(1), 78–91. https://doi.org/10.21831/jpji.v16i1.30785</w:t>
      </w:r>
    </w:p>
    <w:p w14:paraId="15EE020C"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Asmawi, M., Yudho, F. H. P., Sina, I., Gumantan, A., Kemala, A., Iqbal, R., &amp; Resita, C. (2022). </w:t>
      </w:r>
      <w:r w:rsidRPr="00515FE0">
        <w:rPr>
          <w:rFonts w:ascii="Calisto MT" w:hAnsi="Calisto MT" w:cs="Times New Roman"/>
          <w:i/>
          <w:iCs/>
          <w:noProof/>
          <w:sz w:val="20"/>
          <w:szCs w:val="24"/>
        </w:rPr>
        <w:t>Desain Besar Olahraga Nasional Menuju Indonesia Emas</w:t>
      </w:r>
      <w:r w:rsidRPr="00515FE0">
        <w:rPr>
          <w:rFonts w:ascii="Calisto MT" w:hAnsi="Calisto MT" w:cs="Times New Roman"/>
          <w:noProof/>
          <w:sz w:val="20"/>
          <w:szCs w:val="24"/>
        </w:rPr>
        <w:t xml:space="preserve"> (Issue April).</w:t>
      </w:r>
    </w:p>
    <w:p w14:paraId="66D156C1"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Asnaldi, A. (2019). Kontribusi Motor Ability Dan Konsentrasi Terhadap Kemampuan Penguasaan Kata Heian Yodan Karateka Lemkari Dojo Angkasa Lanud Padang. </w:t>
      </w:r>
      <w:r w:rsidRPr="00515FE0">
        <w:rPr>
          <w:rFonts w:ascii="Calisto MT" w:hAnsi="Calisto MT" w:cs="Times New Roman"/>
          <w:i/>
          <w:iCs/>
          <w:noProof/>
          <w:sz w:val="20"/>
          <w:szCs w:val="24"/>
        </w:rPr>
        <w:t>Jurnal MensSana</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vol.4</w:t>
      </w:r>
      <w:r w:rsidRPr="00515FE0">
        <w:rPr>
          <w:rFonts w:ascii="Calisto MT" w:hAnsi="Calisto MT" w:cs="Times New Roman"/>
          <w:noProof/>
          <w:sz w:val="20"/>
          <w:szCs w:val="24"/>
        </w:rPr>
        <w:t>(1), pp.17. https://doi.org/10.24036/jm.v4i1.30</w:t>
      </w:r>
    </w:p>
    <w:p w14:paraId="07FA267F"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Gulo, R. K., Putri, R. J. A., Sitepu, P. P., Tarigan, P. U., Praninci, Gea, P. F., Siregar, P. P., Silaban, P. A., Girsang, P. P., &amp; Pardede, P. B. (2023). </w:t>
      </w:r>
      <w:r w:rsidRPr="00515FE0">
        <w:rPr>
          <w:rFonts w:ascii="Calisto MT" w:hAnsi="Calisto MT" w:cs="Times New Roman"/>
          <w:i/>
          <w:iCs/>
          <w:noProof/>
          <w:sz w:val="20"/>
          <w:szCs w:val="24"/>
        </w:rPr>
        <w:t xml:space="preserve">Studi Analisis Permainan Tradisional Egrang Terhadap Kebugaran Jasmani Untuk Siswa SD Negeri </w:t>
      </w:r>
      <w:r w:rsidRPr="00515FE0">
        <w:rPr>
          <w:rFonts w:ascii="Calisto MT" w:hAnsi="Calisto MT" w:cs="Times New Roman"/>
          <w:i/>
          <w:iCs/>
          <w:noProof/>
          <w:sz w:val="20"/>
          <w:szCs w:val="24"/>
        </w:rPr>
        <w:t>Doulu Kecamatan Berastagi</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vol.11</w:t>
      </w:r>
      <w:r w:rsidRPr="00515FE0">
        <w:rPr>
          <w:rFonts w:ascii="Calisto MT" w:hAnsi="Calisto MT" w:cs="Times New Roman"/>
          <w:noProof/>
          <w:sz w:val="20"/>
          <w:szCs w:val="24"/>
        </w:rPr>
        <w:t>, pp.1-14. https://www.ncbi.nlm.nih.gov/books/NBK558907/</w:t>
      </w:r>
    </w:p>
    <w:p w14:paraId="22A39DB2"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Harmono, B. A. (2014). Kontribusi Konsentrasi Terhadap Ketepatan Pukulan Jumping Smash Pada Bulutangkis. </w:t>
      </w:r>
      <w:r w:rsidRPr="00515FE0">
        <w:rPr>
          <w:rFonts w:ascii="Calisto MT" w:hAnsi="Calisto MT" w:cs="Times New Roman"/>
          <w:i/>
          <w:iCs/>
          <w:noProof/>
          <w:sz w:val="20"/>
          <w:szCs w:val="24"/>
        </w:rPr>
        <w:t>Universitas Negeri Surabaya</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02 Nomor 0</w:t>
      </w:r>
      <w:r w:rsidRPr="00515FE0">
        <w:rPr>
          <w:rFonts w:ascii="Calisto MT" w:hAnsi="Calisto MT" w:cs="Times New Roman"/>
          <w:noProof/>
          <w:sz w:val="20"/>
          <w:szCs w:val="24"/>
        </w:rPr>
        <w:t>(02), 51–57.</w:t>
      </w:r>
    </w:p>
    <w:p w14:paraId="79E57B0B"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Ilham, M. (2014). Hubungan konsentrasi Kekuatan otot Lengan Dan Keseimbangan Tangan Dengan ketepatan memanah. </w:t>
      </w:r>
      <w:r w:rsidRPr="00515FE0">
        <w:rPr>
          <w:rFonts w:ascii="Calisto MT" w:hAnsi="Calisto MT" w:cs="Times New Roman"/>
          <w:i/>
          <w:iCs/>
          <w:noProof/>
          <w:sz w:val="20"/>
          <w:szCs w:val="24"/>
        </w:rPr>
        <w:t>Jurnal Sport Pedagogy</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4</w:t>
      </w:r>
      <w:r w:rsidRPr="00515FE0">
        <w:rPr>
          <w:rFonts w:ascii="Calisto MT" w:hAnsi="Calisto MT" w:cs="Times New Roman"/>
          <w:noProof/>
          <w:sz w:val="20"/>
          <w:szCs w:val="24"/>
        </w:rPr>
        <w:t>(2), 19–24.</w:t>
      </w:r>
    </w:p>
    <w:p w14:paraId="73AE5CD7"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Irawan, F. A., Junaidi, S., Permana, D. F. W., Aditya, L., &amp; Prastiwi, T. A. S. (2023). Implementasi Permainan Tradisional Plintengan dalam Mengembangkan Kemampuan Psikomotorik. </w:t>
      </w:r>
      <w:r w:rsidRPr="00515FE0">
        <w:rPr>
          <w:rFonts w:ascii="Calisto MT" w:hAnsi="Calisto MT" w:cs="Times New Roman"/>
          <w:i/>
          <w:iCs/>
          <w:noProof/>
          <w:sz w:val="20"/>
          <w:szCs w:val="24"/>
        </w:rPr>
        <w:t>SPRINTER: Jurnal Ilmu Olahraga</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4</w:t>
      </w:r>
      <w:r w:rsidRPr="00515FE0">
        <w:rPr>
          <w:rFonts w:ascii="Calisto MT" w:hAnsi="Calisto MT" w:cs="Times New Roman"/>
          <w:noProof/>
          <w:sz w:val="20"/>
          <w:szCs w:val="24"/>
        </w:rPr>
        <w:t>(1), 40–47. https://doi.org/10.46838/spr.v4i1.292</w:t>
      </w:r>
    </w:p>
    <w:p w14:paraId="032C8A16"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Irawan, F. A., Setiawati, A. S., Fajar, D., Permana, W., &amp; Suciani, P. (2024). </w:t>
      </w:r>
      <w:r w:rsidRPr="00515FE0">
        <w:rPr>
          <w:rFonts w:ascii="Calisto MT" w:hAnsi="Calisto MT" w:cs="Times New Roman"/>
          <w:i/>
          <w:iCs/>
          <w:noProof/>
          <w:sz w:val="20"/>
          <w:szCs w:val="24"/>
        </w:rPr>
        <w:t>Implemantasi permainan tradisional egrang menggunakan multiple intelligences</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7</w:t>
      </w:r>
      <w:r w:rsidRPr="00515FE0">
        <w:rPr>
          <w:rFonts w:ascii="Calisto MT" w:hAnsi="Calisto MT" w:cs="Times New Roman"/>
          <w:noProof/>
          <w:sz w:val="20"/>
          <w:szCs w:val="24"/>
        </w:rPr>
        <w:t>, 48–54.</w:t>
      </w:r>
    </w:p>
    <w:p w14:paraId="5EBA29B5"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Irawan, F. A., Sutaryono, Permana, D. F. W., Billah, T. R., &amp; Ma’dum, M. A. (2021). Hand, Eye, and Foot Coordination Test Untuk Mendeteksi Kemampuan Dasar Lokomotor. </w:t>
      </w:r>
      <w:r w:rsidRPr="00515FE0">
        <w:rPr>
          <w:rFonts w:ascii="Calisto MT" w:hAnsi="Calisto MT" w:cs="Times New Roman"/>
          <w:i/>
          <w:iCs/>
          <w:noProof/>
          <w:sz w:val="20"/>
          <w:szCs w:val="24"/>
        </w:rPr>
        <w:t>Journal of Sport Education</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Vol.3</w:t>
      </w:r>
      <w:r w:rsidRPr="00515FE0">
        <w:rPr>
          <w:rFonts w:ascii="Calisto MT" w:hAnsi="Calisto MT" w:cs="Times New Roman"/>
          <w:noProof/>
          <w:sz w:val="20"/>
          <w:szCs w:val="24"/>
        </w:rPr>
        <w:t>(No.2), pp.63-74. https://doi.org/DOI:http://dx.doi.org/10.31258/jope.3.2. 85-92</w:t>
      </w:r>
    </w:p>
    <w:p w14:paraId="26DEFC0B"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Irawan, F. A., Sutaryono, S., Permana, D. F. W., Chuang, L.-R., &amp; Yuwono, Y. (2021). Locomotor Skills: Traditional Games in the Fundamental of Physical Activities. </w:t>
      </w:r>
      <w:r w:rsidRPr="00515FE0">
        <w:rPr>
          <w:rFonts w:ascii="Calisto MT" w:hAnsi="Calisto MT" w:cs="Times New Roman"/>
          <w:i/>
          <w:iCs/>
          <w:noProof/>
          <w:sz w:val="20"/>
          <w:szCs w:val="24"/>
        </w:rPr>
        <w:t>Al-Athfaal: Jurnal Ilmiah Pendidikan Anak Usia Dini</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4</w:t>
      </w:r>
      <w:r w:rsidRPr="00515FE0">
        <w:rPr>
          <w:rFonts w:ascii="Calisto MT" w:hAnsi="Calisto MT" w:cs="Times New Roman"/>
          <w:noProof/>
          <w:sz w:val="20"/>
          <w:szCs w:val="24"/>
        </w:rPr>
        <w:t>(1), 1–13. https://doi.org/10.24042/ajipaud.v4i1.8215</w:t>
      </w:r>
    </w:p>
    <w:p w14:paraId="53780311"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Kurniaziz, S. B. P., Irawan, F. A., Permana, D. F. W., Asnawi, S., Setyawan, A. B., &amp; Pamungkas, A. T. (2022). </w:t>
      </w:r>
      <w:r w:rsidRPr="00515FE0">
        <w:rPr>
          <w:rFonts w:ascii="Calisto MT" w:hAnsi="Calisto MT" w:cs="Times New Roman"/>
          <w:i/>
          <w:iCs/>
          <w:noProof/>
          <w:sz w:val="20"/>
          <w:szCs w:val="24"/>
        </w:rPr>
        <w:t>Media Sosial Membangun Kembali Olahraga Tradisional</w:t>
      </w:r>
      <w:r w:rsidRPr="00515FE0">
        <w:rPr>
          <w:rFonts w:ascii="Calisto MT" w:hAnsi="Calisto MT" w:cs="Times New Roman"/>
          <w:noProof/>
          <w:sz w:val="20"/>
          <w:szCs w:val="24"/>
        </w:rPr>
        <w:t xml:space="preserve"> (F. A. Irawan (ed.); 1st ed.). Fakultas Ilmu Keolahragaan Universitas Negeri Semarang.</w:t>
      </w:r>
    </w:p>
    <w:p w14:paraId="3E1A918C"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Priyono, B., Wahyudi, A., Irawan, R., &amp; Rozi, F. (2024). </w:t>
      </w:r>
      <w:r w:rsidRPr="00515FE0">
        <w:rPr>
          <w:rFonts w:ascii="Calisto MT" w:hAnsi="Calisto MT" w:cs="Times New Roman"/>
          <w:i/>
          <w:iCs/>
          <w:noProof/>
          <w:sz w:val="20"/>
          <w:szCs w:val="24"/>
        </w:rPr>
        <w:t xml:space="preserve">Global Journal of Arts Humanity and Social Sciences Character Values in Gongcik </w:t>
      </w:r>
      <w:r w:rsidRPr="00515FE0">
        <w:rPr>
          <w:rFonts w:ascii="Calisto MT" w:hAnsi="Calisto MT" w:cs="Times New Roman"/>
          <w:i/>
          <w:iCs/>
          <w:noProof/>
          <w:sz w:val="20"/>
          <w:szCs w:val="24"/>
        </w:rPr>
        <w:lastRenderedPageBreak/>
        <w:t>Traditional Martial Arts</w:t>
      </w:r>
      <w:r w:rsidRPr="00515FE0">
        <w:rPr>
          <w:rFonts w:ascii="Calisto MT" w:hAnsi="Calisto MT" w:cs="Times New Roman"/>
          <w:noProof/>
          <w:sz w:val="20"/>
          <w:szCs w:val="24"/>
        </w:rPr>
        <w:t>. 233–236. https://doi.org/10.5281/zenodo.10837470</w:t>
      </w:r>
    </w:p>
    <w:p w14:paraId="1C4E70B1"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Rahesti, N., &amp; Irawan, F. A. (2024a). Analisis Gerak Permainan Ketapel : Pegangan dan Akurasi Tembakan Game Movement Analysis : Grip and Shooting Accuracy. </w:t>
      </w:r>
      <w:r w:rsidRPr="00515FE0">
        <w:rPr>
          <w:rFonts w:ascii="Calisto MT" w:hAnsi="Calisto MT" w:cs="Times New Roman"/>
          <w:i/>
          <w:iCs/>
          <w:noProof/>
          <w:sz w:val="20"/>
          <w:szCs w:val="24"/>
        </w:rPr>
        <w:t>Journal of Physical Education Health And Sport Sciences</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3</w:t>
      </w:r>
      <w:r w:rsidRPr="00515FE0">
        <w:rPr>
          <w:rFonts w:ascii="Calisto MT" w:hAnsi="Calisto MT" w:cs="Times New Roman"/>
          <w:noProof/>
          <w:sz w:val="20"/>
          <w:szCs w:val="24"/>
        </w:rPr>
        <w:t>(1), 1–10.</w:t>
      </w:r>
    </w:p>
    <w:p w14:paraId="0845FF0F"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Rahesti, N., &amp; Irawan, F. A. (2024b). Analisis Teknik Tarikan yang Ideal pada Permainan Tradisional Ketapel : Tinjauan Biomekanika Olahraga. </w:t>
      </w:r>
      <w:r w:rsidRPr="00515FE0">
        <w:rPr>
          <w:rFonts w:ascii="Calisto MT" w:hAnsi="Calisto MT" w:cs="Times New Roman"/>
          <w:i/>
          <w:iCs/>
          <w:noProof/>
          <w:sz w:val="20"/>
          <w:szCs w:val="24"/>
        </w:rPr>
        <w:t>Journal of Sport Coaching and Physical Education</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vol.9</w:t>
      </w:r>
      <w:r w:rsidRPr="00515FE0">
        <w:rPr>
          <w:rFonts w:ascii="Calisto MT" w:hAnsi="Calisto MT" w:cs="Times New Roman"/>
          <w:noProof/>
          <w:sz w:val="20"/>
          <w:szCs w:val="24"/>
        </w:rPr>
        <w:t>(1), pp.71-79.</w:t>
      </w:r>
    </w:p>
    <w:p w14:paraId="0056A43E"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cs="Times New Roman"/>
          <w:noProof/>
          <w:sz w:val="20"/>
          <w:szCs w:val="24"/>
        </w:rPr>
      </w:pPr>
      <w:r w:rsidRPr="00515FE0">
        <w:rPr>
          <w:rFonts w:ascii="Calisto MT" w:hAnsi="Calisto MT" w:cs="Times New Roman"/>
          <w:noProof/>
          <w:sz w:val="20"/>
          <w:szCs w:val="24"/>
        </w:rPr>
        <w:t xml:space="preserve">Rahesti, N., Irawan, F. A., &amp; Chuang, L. (2023). Analisis permainan tradisional dalam pelestarian budaya : Systematic literatur review Analysis of traditional games in cultural preservation : Systematic literature review. </w:t>
      </w:r>
      <w:r w:rsidRPr="00515FE0">
        <w:rPr>
          <w:rFonts w:ascii="Calisto MT" w:hAnsi="Calisto MT" w:cs="Times New Roman"/>
          <w:i/>
          <w:iCs/>
          <w:noProof/>
          <w:sz w:val="20"/>
          <w:szCs w:val="24"/>
        </w:rPr>
        <w:t>Jurnal Pedagogi Olahraga Dan Kesehatan</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4</w:t>
      </w:r>
      <w:r w:rsidRPr="00515FE0">
        <w:rPr>
          <w:rFonts w:ascii="Calisto MT" w:hAnsi="Calisto MT" w:cs="Times New Roman"/>
          <w:noProof/>
          <w:sz w:val="20"/>
          <w:szCs w:val="24"/>
        </w:rPr>
        <w:t>(1), 22–29. https://doi.org/https://doi.org/https://doi.org/10.21831/jpok.v4i1.19304</w:t>
      </w:r>
    </w:p>
    <w:p w14:paraId="16E77E12" w14:textId="77777777" w:rsidR="00515FE0" w:rsidRPr="00515FE0" w:rsidRDefault="00515FE0" w:rsidP="00515FE0">
      <w:pPr>
        <w:widowControl w:val="0"/>
        <w:autoSpaceDE w:val="0"/>
        <w:autoSpaceDN w:val="0"/>
        <w:adjustRightInd w:val="0"/>
        <w:spacing w:before="0" w:after="0"/>
        <w:ind w:left="480" w:hanging="480"/>
        <w:jc w:val="both"/>
        <w:rPr>
          <w:rFonts w:ascii="Calisto MT" w:hAnsi="Calisto MT"/>
          <w:noProof/>
          <w:sz w:val="20"/>
        </w:rPr>
      </w:pPr>
      <w:r w:rsidRPr="00515FE0">
        <w:rPr>
          <w:rFonts w:ascii="Calisto MT" w:hAnsi="Calisto MT" w:cs="Times New Roman"/>
          <w:noProof/>
          <w:sz w:val="20"/>
          <w:szCs w:val="24"/>
        </w:rPr>
        <w:t xml:space="preserve">Rahesti, N., Irawan, F. A., &amp; Long-Ren, C. (2024). Biomechanical Analysis of Slingshot Grip dan Pull in Traditional Game. </w:t>
      </w:r>
      <w:r w:rsidRPr="00515FE0">
        <w:rPr>
          <w:rFonts w:ascii="Calisto MT" w:hAnsi="Calisto MT" w:cs="Times New Roman"/>
          <w:i/>
          <w:iCs/>
          <w:noProof/>
          <w:sz w:val="20"/>
          <w:szCs w:val="24"/>
        </w:rPr>
        <w:t>JOSSAE (Journal of Sport Science and Education)</w:t>
      </w:r>
      <w:r w:rsidRPr="00515FE0">
        <w:rPr>
          <w:rFonts w:ascii="Calisto MT" w:hAnsi="Calisto MT" w:cs="Times New Roman"/>
          <w:noProof/>
          <w:sz w:val="20"/>
          <w:szCs w:val="24"/>
        </w:rPr>
        <w:t xml:space="preserve">, </w:t>
      </w:r>
      <w:r w:rsidRPr="00515FE0">
        <w:rPr>
          <w:rFonts w:ascii="Calisto MT" w:hAnsi="Calisto MT" w:cs="Times New Roman"/>
          <w:i/>
          <w:iCs/>
          <w:noProof/>
          <w:sz w:val="20"/>
          <w:szCs w:val="24"/>
        </w:rPr>
        <w:t>9</w:t>
      </w:r>
      <w:r w:rsidRPr="00515FE0">
        <w:rPr>
          <w:rFonts w:ascii="Calisto MT" w:hAnsi="Calisto MT" w:cs="Times New Roman"/>
          <w:noProof/>
          <w:sz w:val="20"/>
          <w:szCs w:val="24"/>
        </w:rPr>
        <w:t>(1), 18–27. https://doi.org/10.26740/jossae.v9n1.p18-27</w:t>
      </w:r>
    </w:p>
    <w:p w14:paraId="08719E23" w14:textId="34902475" w:rsidR="0036011F" w:rsidRPr="008E3C63" w:rsidRDefault="00524F35" w:rsidP="00515FE0">
      <w:pPr>
        <w:widowControl w:val="0"/>
        <w:autoSpaceDE w:val="0"/>
        <w:autoSpaceDN w:val="0"/>
        <w:adjustRightInd w:val="0"/>
        <w:spacing w:before="0" w:after="0"/>
        <w:ind w:left="480" w:hanging="480"/>
        <w:jc w:val="both"/>
        <w:rPr>
          <w:rFonts w:ascii="Calisto MT" w:hAnsi="Calisto MT"/>
          <w:sz w:val="20"/>
          <w:szCs w:val="20"/>
        </w:rPr>
      </w:pPr>
      <w:r w:rsidRPr="00524F35">
        <w:rPr>
          <w:rFonts w:ascii="Calisto MT" w:hAnsi="Calisto MT"/>
          <w:sz w:val="20"/>
          <w:szCs w:val="20"/>
        </w:rPr>
        <w:fldChar w:fldCharType="end"/>
      </w:r>
    </w:p>
    <w:sectPr w:rsidR="0036011F" w:rsidRPr="008E3C63" w:rsidSect="009D453C">
      <w:headerReference w:type="first" r:id="rId18"/>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FC53" w14:textId="77777777" w:rsidR="005860BB" w:rsidRDefault="005860BB" w:rsidP="0048529F">
      <w:pPr>
        <w:spacing w:before="0" w:after="0"/>
      </w:pPr>
      <w:r>
        <w:separator/>
      </w:r>
    </w:p>
  </w:endnote>
  <w:endnote w:type="continuationSeparator" w:id="0">
    <w:p w14:paraId="3A0A8A81" w14:textId="77777777" w:rsidR="005860BB" w:rsidRDefault="005860BB"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E7DD" w14:textId="77777777" w:rsidR="00974668" w:rsidRDefault="0097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DC22" w14:textId="77777777" w:rsidR="00585DC1"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AB2FB4">
          <w:rPr>
            <w:rFonts w:ascii="Calisto MT" w:hAnsi="Calisto MT"/>
            <w:noProof/>
          </w:rPr>
          <w:t>3</w:t>
        </w:r>
        <w:r w:rsidR="00585DC1" w:rsidRPr="00852420">
          <w:rPr>
            <w:rFonts w:ascii="Calisto MT" w:hAnsi="Calisto MT"/>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5844" w14:textId="4BE5CB36" w:rsidR="00585DC1" w:rsidRPr="00264831" w:rsidRDefault="00585DC1"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47EF" w14:textId="77777777" w:rsidR="005860BB" w:rsidRDefault="005860BB" w:rsidP="0048529F">
      <w:pPr>
        <w:spacing w:before="0" w:after="0"/>
      </w:pPr>
      <w:r>
        <w:separator/>
      </w:r>
    </w:p>
  </w:footnote>
  <w:footnote w:type="continuationSeparator" w:id="0">
    <w:p w14:paraId="4243C83C" w14:textId="77777777" w:rsidR="005860BB" w:rsidRDefault="005860BB"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734D" w14:textId="77777777"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6161" w14:textId="68399BCD" w:rsidR="00585DC1" w:rsidRPr="00664C05" w:rsidRDefault="00EA3BCE" w:rsidP="0036011F">
    <w:pPr>
      <w:pStyle w:val="Header"/>
      <w:rPr>
        <w:rFonts w:ascii="Calisto MT" w:hAnsi="Calisto MT" w:cs="Calisto MT"/>
        <w:b/>
        <w:bCs/>
        <w:sz w:val="18"/>
        <w:szCs w:val="18"/>
        <w:lang w:val="id-ID"/>
      </w:rPr>
    </w:pPr>
    <w:r w:rsidRPr="00EA3BCE">
      <w:rPr>
        <w:rFonts w:ascii="Calisto MT" w:hAnsi="Calisto MT" w:cs="Calisto MT"/>
        <w:bCs/>
        <w:iCs/>
        <w:color w:val="000000" w:themeColor="text1"/>
        <w:sz w:val="18"/>
        <w:szCs w:val="18"/>
      </w:rPr>
      <w:t>Author’s Name</w:t>
    </w:r>
    <w:r w:rsidR="00B97851" w:rsidRPr="00B97851">
      <w:rPr>
        <w:rFonts w:ascii="Calisto MT" w:hAnsi="Calisto MT" w:cs="Calisto MT"/>
        <w:bCs/>
        <w:iCs/>
        <w:color w:val="000000" w:themeColor="text1"/>
        <w:sz w:val="18"/>
        <w:szCs w:val="18"/>
      </w:rPr>
      <w:t xml:space="preserve">, </w:t>
    </w:r>
    <w:r w:rsidR="00664C05">
      <w:rPr>
        <w:rFonts w:ascii="Calisto MT" w:hAnsi="Calisto MT" w:cs="Calisto MT"/>
        <w:bCs/>
        <w:iCs/>
        <w:color w:val="000000" w:themeColor="text1"/>
        <w:sz w:val="18"/>
        <w:szCs w:val="18"/>
        <w:lang w:val="id-ID"/>
      </w:rPr>
      <w:t>et al.</w:t>
    </w:r>
    <w:r w:rsidR="00585DC1" w:rsidRPr="0005270C">
      <w:rPr>
        <w:rFonts w:ascii="Calisto MT" w:hAnsi="Calisto MT" w:cs="Calisto MT"/>
        <w:sz w:val="18"/>
        <w:szCs w:val="18"/>
      </w:rPr>
      <w:t xml:space="preserve">/ </w:t>
    </w:r>
    <w:r w:rsidR="00854197" w:rsidRPr="00E56952">
      <w:rPr>
        <w:rFonts w:ascii="Calisto MT" w:hAnsi="Calisto MT" w:cs="Calisto MT"/>
        <w:sz w:val="18"/>
        <w:szCs w:val="18"/>
      </w:rPr>
      <w:t>J</w:t>
    </w:r>
    <w:r w:rsidR="00927F0E">
      <w:rPr>
        <w:rFonts w:ascii="Calisto MT" w:hAnsi="Calisto MT" w:cs="Calisto MT"/>
        <w:sz w:val="18"/>
        <w:szCs w:val="18"/>
      </w:rPr>
      <w:t>PE</w:t>
    </w:r>
    <w:r w:rsidR="00854197" w:rsidRPr="00E56952">
      <w:rPr>
        <w:rFonts w:ascii="Calisto MT" w:hAnsi="Calisto MT" w:cs="Calisto MT"/>
        <w:sz w:val="18"/>
        <w:szCs w:val="18"/>
      </w:rPr>
      <w:t xml:space="preserve">S </w:t>
    </w:r>
    <w:r w:rsidR="00927F0E">
      <w:rPr>
        <w:rFonts w:ascii="Calisto MT" w:hAnsi="Calisto MT" w:cs="Calisto MT"/>
        <w:sz w:val="18"/>
        <w:szCs w:val="18"/>
      </w:rPr>
      <w:t>10</w:t>
    </w:r>
    <w:r w:rsidR="00854197" w:rsidRPr="00E56952">
      <w:rPr>
        <w:rFonts w:ascii="Calisto MT" w:hAnsi="Calisto MT" w:cs="Calisto MT"/>
        <w:sz w:val="18"/>
        <w:szCs w:val="18"/>
      </w:rPr>
      <w:t xml:space="preserve"> (</w:t>
    </w:r>
    <w:r w:rsidR="005F5854">
      <w:rPr>
        <w:rFonts w:ascii="Calisto MT" w:hAnsi="Calisto MT" w:cs="Calisto MT"/>
        <w:sz w:val="18"/>
        <w:szCs w:val="18"/>
      </w:rPr>
      <w:t>1</w:t>
    </w:r>
    <w:r w:rsidR="00854197" w:rsidRPr="00E56952">
      <w:rPr>
        <w:rFonts w:ascii="Calisto MT" w:hAnsi="Calisto MT" w:cs="Calisto MT"/>
        <w:sz w:val="18"/>
        <w:szCs w:val="18"/>
      </w:rPr>
      <w:t>)</w:t>
    </w:r>
    <w:r w:rsidR="00FD4D3D">
      <w:rPr>
        <w:rFonts w:ascii="Calisto MT" w:hAnsi="Calisto MT" w:cs="Calisto MT"/>
        <w:sz w:val="18"/>
        <w:szCs w:val="18"/>
      </w:rPr>
      <w:t xml:space="preserve"> </w:t>
    </w:r>
    <w:r w:rsidR="00090521">
      <w:rPr>
        <w:rFonts w:ascii="Calisto MT" w:hAnsi="Calisto MT" w:cs="Calisto MT"/>
        <w:sz w:val="18"/>
        <w:szCs w:val="18"/>
      </w:rPr>
      <w:t>(</w:t>
    </w:r>
    <w:r w:rsidR="00854197" w:rsidRPr="00E56952">
      <w:rPr>
        <w:rFonts w:ascii="Calisto MT" w:hAnsi="Calisto MT" w:cs="Calisto MT"/>
        <w:sz w:val="18"/>
        <w:szCs w:val="18"/>
      </w:rPr>
      <w:t>20</w:t>
    </w:r>
    <w:r w:rsidR="00927F0E">
      <w:rPr>
        <w:rFonts w:ascii="Calisto MT" w:hAnsi="Calisto MT" w:cs="Calisto MT"/>
        <w:sz w:val="18"/>
        <w:szCs w:val="18"/>
      </w:rPr>
      <w:t>21</w:t>
    </w:r>
    <w:r w:rsidR="00854197" w:rsidRPr="00E56952">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91B7" w14:textId="77777777" w:rsidR="00974668" w:rsidRDefault="00974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4C95" w14:textId="77777777" w:rsidR="00585DC1" w:rsidRPr="00E247FD" w:rsidRDefault="00585DC1" w:rsidP="00E24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1452575">
    <w:abstractNumId w:val="2"/>
  </w:num>
  <w:num w:numId="2" w16cid:durableId="1571577308">
    <w:abstractNumId w:val="4"/>
  </w:num>
  <w:num w:numId="3" w16cid:durableId="946155843">
    <w:abstractNumId w:val="6"/>
  </w:num>
  <w:num w:numId="4" w16cid:durableId="505558545">
    <w:abstractNumId w:val="10"/>
  </w:num>
  <w:num w:numId="5" w16cid:durableId="838077227">
    <w:abstractNumId w:val="1"/>
  </w:num>
  <w:num w:numId="6" w16cid:durableId="1283417657">
    <w:abstractNumId w:val="8"/>
  </w:num>
  <w:num w:numId="7" w16cid:durableId="1342078590">
    <w:abstractNumId w:val="7"/>
  </w:num>
  <w:num w:numId="8" w16cid:durableId="1550800301">
    <w:abstractNumId w:val="5"/>
  </w:num>
  <w:num w:numId="9" w16cid:durableId="1902711261">
    <w:abstractNumId w:val="9"/>
  </w:num>
  <w:num w:numId="10" w16cid:durableId="766391007">
    <w:abstractNumId w:val="3"/>
  </w:num>
  <w:num w:numId="11" w16cid:durableId="170239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74F"/>
    <w:rsid w:val="000009A2"/>
    <w:rsid w:val="000029C1"/>
    <w:rsid w:val="0000350D"/>
    <w:rsid w:val="000200B7"/>
    <w:rsid w:val="0002289B"/>
    <w:rsid w:val="000238D5"/>
    <w:rsid w:val="00024697"/>
    <w:rsid w:val="000349CF"/>
    <w:rsid w:val="0004002C"/>
    <w:rsid w:val="00040E04"/>
    <w:rsid w:val="0004130F"/>
    <w:rsid w:val="00042B77"/>
    <w:rsid w:val="0004626E"/>
    <w:rsid w:val="000468DD"/>
    <w:rsid w:val="0005270C"/>
    <w:rsid w:val="00061071"/>
    <w:rsid w:val="0006786D"/>
    <w:rsid w:val="0007255E"/>
    <w:rsid w:val="0007797C"/>
    <w:rsid w:val="000903F6"/>
    <w:rsid w:val="00090521"/>
    <w:rsid w:val="00090C78"/>
    <w:rsid w:val="000916F2"/>
    <w:rsid w:val="000A0B2C"/>
    <w:rsid w:val="000A28A1"/>
    <w:rsid w:val="000C2DE8"/>
    <w:rsid w:val="000D2998"/>
    <w:rsid w:val="000D547B"/>
    <w:rsid w:val="000E0601"/>
    <w:rsid w:val="000E51BA"/>
    <w:rsid w:val="000F18E6"/>
    <w:rsid w:val="000F487C"/>
    <w:rsid w:val="000F56AF"/>
    <w:rsid w:val="000F66C2"/>
    <w:rsid w:val="00115A7B"/>
    <w:rsid w:val="00117710"/>
    <w:rsid w:val="0013027A"/>
    <w:rsid w:val="00131967"/>
    <w:rsid w:val="00136DAD"/>
    <w:rsid w:val="0014060E"/>
    <w:rsid w:val="0014124E"/>
    <w:rsid w:val="0014280F"/>
    <w:rsid w:val="00155880"/>
    <w:rsid w:val="00157563"/>
    <w:rsid w:val="0016670E"/>
    <w:rsid w:val="00173EEA"/>
    <w:rsid w:val="001803EB"/>
    <w:rsid w:val="001835DD"/>
    <w:rsid w:val="00185A54"/>
    <w:rsid w:val="00187BE7"/>
    <w:rsid w:val="0019469A"/>
    <w:rsid w:val="00194952"/>
    <w:rsid w:val="001951E9"/>
    <w:rsid w:val="001A08E6"/>
    <w:rsid w:val="001A5115"/>
    <w:rsid w:val="001B649C"/>
    <w:rsid w:val="001C2BB5"/>
    <w:rsid w:val="001C69C5"/>
    <w:rsid w:val="001E225B"/>
    <w:rsid w:val="001E4225"/>
    <w:rsid w:val="001F1629"/>
    <w:rsid w:val="001F5A02"/>
    <w:rsid w:val="002074BC"/>
    <w:rsid w:val="0020751B"/>
    <w:rsid w:val="002075D3"/>
    <w:rsid w:val="00213520"/>
    <w:rsid w:val="002137B3"/>
    <w:rsid w:val="002160B6"/>
    <w:rsid w:val="00230CD4"/>
    <w:rsid w:val="00234254"/>
    <w:rsid w:val="00235923"/>
    <w:rsid w:val="002450A9"/>
    <w:rsid w:val="00245FFD"/>
    <w:rsid w:val="00254C53"/>
    <w:rsid w:val="00256ADF"/>
    <w:rsid w:val="00264831"/>
    <w:rsid w:val="00267350"/>
    <w:rsid w:val="00267EA3"/>
    <w:rsid w:val="00271A4A"/>
    <w:rsid w:val="002722C2"/>
    <w:rsid w:val="002767AF"/>
    <w:rsid w:val="00280B8F"/>
    <w:rsid w:val="00282AF6"/>
    <w:rsid w:val="00286357"/>
    <w:rsid w:val="00286ADB"/>
    <w:rsid w:val="00292D82"/>
    <w:rsid w:val="002A2772"/>
    <w:rsid w:val="002A3984"/>
    <w:rsid w:val="002B08BF"/>
    <w:rsid w:val="002B1508"/>
    <w:rsid w:val="002B5064"/>
    <w:rsid w:val="002C23FB"/>
    <w:rsid w:val="002D7995"/>
    <w:rsid w:val="002E24F6"/>
    <w:rsid w:val="002F3241"/>
    <w:rsid w:val="0030642A"/>
    <w:rsid w:val="00313757"/>
    <w:rsid w:val="00313E44"/>
    <w:rsid w:val="00314557"/>
    <w:rsid w:val="003200D8"/>
    <w:rsid w:val="00320DDF"/>
    <w:rsid w:val="0032294D"/>
    <w:rsid w:val="0032310C"/>
    <w:rsid w:val="00334157"/>
    <w:rsid w:val="003359A8"/>
    <w:rsid w:val="00341E21"/>
    <w:rsid w:val="003447B2"/>
    <w:rsid w:val="003468C3"/>
    <w:rsid w:val="00356F4B"/>
    <w:rsid w:val="0036011F"/>
    <w:rsid w:val="00370983"/>
    <w:rsid w:val="0038061D"/>
    <w:rsid w:val="00381314"/>
    <w:rsid w:val="00382C59"/>
    <w:rsid w:val="00391BA3"/>
    <w:rsid w:val="003A081D"/>
    <w:rsid w:val="003A0FB8"/>
    <w:rsid w:val="003A11C3"/>
    <w:rsid w:val="003B1B31"/>
    <w:rsid w:val="003B26C9"/>
    <w:rsid w:val="003B4869"/>
    <w:rsid w:val="003C5115"/>
    <w:rsid w:val="003D170E"/>
    <w:rsid w:val="003E0D94"/>
    <w:rsid w:val="003E5016"/>
    <w:rsid w:val="00407FBD"/>
    <w:rsid w:val="0041385F"/>
    <w:rsid w:val="004212AB"/>
    <w:rsid w:val="00423E21"/>
    <w:rsid w:val="00434B8B"/>
    <w:rsid w:val="0043518A"/>
    <w:rsid w:val="0043618A"/>
    <w:rsid w:val="00440DFA"/>
    <w:rsid w:val="00453654"/>
    <w:rsid w:val="0045384A"/>
    <w:rsid w:val="00465E0B"/>
    <w:rsid w:val="00467D70"/>
    <w:rsid w:val="00467DE7"/>
    <w:rsid w:val="00470BC5"/>
    <w:rsid w:val="004716C6"/>
    <w:rsid w:val="00481314"/>
    <w:rsid w:val="00484B18"/>
    <w:rsid w:val="0048529F"/>
    <w:rsid w:val="00486BDE"/>
    <w:rsid w:val="004870ED"/>
    <w:rsid w:val="00490901"/>
    <w:rsid w:val="00493901"/>
    <w:rsid w:val="00495FEF"/>
    <w:rsid w:val="004A091C"/>
    <w:rsid w:val="004A0AAF"/>
    <w:rsid w:val="004A1CE9"/>
    <w:rsid w:val="004A4BEF"/>
    <w:rsid w:val="004A74D4"/>
    <w:rsid w:val="004A7746"/>
    <w:rsid w:val="004C3C00"/>
    <w:rsid w:val="004C58D9"/>
    <w:rsid w:val="004D014C"/>
    <w:rsid w:val="004F691F"/>
    <w:rsid w:val="005048ED"/>
    <w:rsid w:val="005056D9"/>
    <w:rsid w:val="00515FE0"/>
    <w:rsid w:val="00524F35"/>
    <w:rsid w:val="00532781"/>
    <w:rsid w:val="00541AA7"/>
    <w:rsid w:val="005442AB"/>
    <w:rsid w:val="005450AE"/>
    <w:rsid w:val="00561A4C"/>
    <w:rsid w:val="00567553"/>
    <w:rsid w:val="00574892"/>
    <w:rsid w:val="00575811"/>
    <w:rsid w:val="00575BBE"/>
    <w:rsid w:val="00585DC1"/>
    <w:rsid w:val="005860BB"/>
    <w:rsid w:val="005919C2"/>
    <w:rsid w:val="005A12B5"/>
    <w:rsid w:val="005A2F0A"/>
    <w:rsid w:val="005A54DF"/>
    <w:rsid w:val="005B18A8"/>
    <w:rsid w:val="005B1B19"/>
    <w:rsid w:val="005C4469"/>
    <w:rsid w:val="005D08F6"/>
    <w:rsid w:val="005D27A1"/>
    <w:rsid w:val="005D3A98"/>
    <w:rsid w:val="005E0F6A"/>
    <w:rsid w:val="005E18DD"/>
    <w:rsid w:val="005E2DAA"/>
    <w:rsid w:val="005E6ECC"/>
    <w:rsid w:val="005F2531"/>
    <w:rsid w:val="005F5854"/>
    <w:rsid w:val="005F6F44"/>
    <w:rsid w:val="005F7BD2"/>
    <w:rsid w:val="006007C2"/>
    <w:rsid w:val="00620C99"/>
    <w:rsid w:val="0062135C"/>
    <w:rsid w:val="00624D21"/>
    <w:rsid w:val="00634623"/>
    <w:rsid w:val="00634941"/>
    <w:rsid w:val="0063556E"/>
    <w:rsid w:val="00635CA9"/>
    <w:rsid w:val="00635DBB"/>
    <w:rsid w:val="00636DF4"/>
    <w:rsid w:val="00636FC1"/>
    <w:rsid w:val="0063743B"/>
    <w:rsid w:val="0064249D"/>
    <w:rsid w:val="00642534"/>
    <w:rsid w:val="006474BF"/>
    <w:rsid w:val="00647867"/>
    <w:rsid w:val="00647B49"/>
    <w:rsid w:val="00651710"/>
    <w:rsid w:val="00654FE2"/>
    <w:rsid w:val="0065681D"/>
    <w:rsid w:val="006571E5"/>
    <w:rsid w:val="00664C05"/>
    <w:rsid w:val="00666CB1"/>
    <w:rsid w:val="00666F93"/>
    <w:rsid w:val="006718B5"/>
    <w:rsid w:val="00672944"/>
    <w:rsid w:val="00672E48"/>
    <w:rsid w:val="006757B2"/>
    <w:rsid w:val="00676F6F"/>
    <w:rsid w:val="0068673F"/>
    <w:rsid w:val="00690427"/>
    <w:rsid w:val="00690BA5"/>
    <w:rsid w:val="00690D12"/>
    <w:rsid w:val="00696C94"/>
    <w:rsid w:val="006A0001"/>
    <w:rsid w:val="006A2ADE"/>
    <w:rsid w:val="006A57B4"/>
    <w:rsid w:val="006A5A8A"/>
    <w:rsid w:val="006B62E6"/>
    <w:rsid w:val="006C6DB1"/>
    <w:rsid w:val="006D41F3"/>
    <w:rsid w:val="006D59B0"/>
    <w:rsid w:val="006D7641"/>
    <w:rsid w:val="006E02AA"/>
    <w:rsid w:val="006E0DA8"/>
    <w:rsid w:val="006E46B4"/>
    <w:rsid w:val="006F0D48"/>
    <w:rsid w:val="006F16E7"/>
    <w:rsid w:val="006F3FC8"/>
    <w:rsid w:val="00707D68"/>
    <w:rsid w:val="00710BCF"/>
    <w:rsid w:val="00727865"/>
    <w:rsid w:val="007371FC"/>
    <w:rsid w:val="00742A5D"/>
    <w:rsid w:val="007430DA"/>
    <w:rsid w:val="00744176"/>
    <w:rsid w:val="007549CD"/>
    <w:rsid w:val="0076067D"/>
    <w:rsid w:val="00760F8A"/>
    <w:rsid w:val="007659E5"/>
    <w:rsid w:val="00767011"/>
    <w:rsid w:val="00787024"/>
    <w:rsid w:val="007955D4"/>
    <w:rsid w:val="007A51EA"/>
    <w:rsid w:val="007B15B5"/>
    <w:rsid w:val="007B1660"/>
    <w:rsid w:val="007B3A01"/>
    <w:rsid w:val="007B3DCF"/>
    <w:rsid w:val="007B66D7"/>
    <w:rsid w:val="007C2CC0"/>
    <w:rsid w:val="007C53D3"/>
    <w:rsid w:val="007D312F"/>
    <w:rsid w:val="007D4D40"/>
    <w:rsid w:val="007E251B"/>
    <w:rsid w:val="007E3391"/>
    <w:rsid w:val="007E3572"/>
    <w:rsid w:val="007F3F28"/>
    <w:rsid w:val="007F466F"/>
    <w:rsid w:val="007F5900"/>
    <w:rsid w:val="0080408C"/>
    <w:rsid w:val="00807560"/>
    <w:rsid w:val="008164DC"/>
    <w:rsid w:val="00816B85"/>
    <w:rsid w:val="008242B3"/>
    <w:rsid w:val="00827E83"/>
    <w:rsid w:val="00833717"/>
    <w:rsid w:val="00834E1D"/>
    <w:rsid w:val="0083571A"/>
    <w:rsid w:val="00841ED4"/>
    <w:rsid w:val="0084370A"/>
    <w:rsid w:val="00846503"/>
    <w:rsid w:val="008467EF"/>
    <w:rsid w:val="00851764"/>
    <w:rsid w:val="00852420"/>
    <w:rsid w:val="00854197"/>
    <w:rsid w:val="00856605"/>
    <w:rsid w:val="00864B31"/>
    <w:rsid w:val="008650AA"/>
    <w:rsid w:val="00867535"/>
    <w:rsid w:val="00897FFD"/>
    <w:rsid w:val="008A7D8B"/>
    <w:rsid w:val="008B1F6D"/>
    <w:rsid w:val="008B3E8D"/>
    <w:rsid w:val="008B6F3C"/>
    <w:rsid w:val="008C00F5"/>
    <w:rsid w:val="008C6C21"/>
    <w:rsid w:val="008E3C63"/>
    <w:rsid w:val="008E6736"/>
    <w:rsid w:val="00901F76"/>
    <w:rsid w:val="00902739"/>
    <w:rsid w:val="009038B8"/>
    <w:rsid w:val="0091309D"/>
    <w:rsid w:val="0091376E"/>
    <w:rsid w:val="00916413"/>
    <w:rsid w:val="00920F73"/>
    <w:rsid w:val="00923C30"/>
    <w:rsid w:val="0092596E"/>
    <w:rsid w:val="00927F0E"/>
    <w:rsid w:val="00931328"/>
    <w:rsid w:val="00932F00"/>
    <w:rsid w:val="00937565"/>
    <w:rsid w:val="009402AC"/>
    <w:rsid w:val="00950910"/>
    <w:rsid w:val="00953A2A"/>
    <w:rsid w:val="00954C80"/>
    <w:rsid w:val="00955E2F"/>
    <w:rsid w:val="00960E08"/>
    <w:rsid w:val="00972A2B"/>
    <w:rsid w:val="00974668"/>
    <w:rsid w:val="009870CB"/>
    <w:rsid w:val="0099155C"/>
    <w:rsid w:val="009A311A"/>
    <w:rsid w:val="009A334C"/>
    <w:rsid w:val="009A3A31"/>
    <w:rsid w:val="009A463F"/>
    <w:rsid w:val="009B24D1"/>
    <w:rsid w:val="009B2522"/>
    <w:rsid w:val="009B2E1A"/>
    <w:rsid w:val="009B55E2"/>
    <w:rsid w:val="009B5C69"/>
    <w:rsid w:val="009B670C"/>
    <w:rsid w:val="009C52D2"/>
    <w:rsid w:val="009C7AB4"/>
    <w:rsid w:val="009D453C"/>
    <w:rsid w:val="009D5A2D"/>
    <w:rsid w:val="009D60FF"/>
    <w:rsid w:val="009D7C64"/>
    <w:rsid w:val="009F0491"/>
    <w:rsid w:val="009F10EC"/>
    <w:rsid w:val="009F5219"/>
    <w:rsid w:val="00A03F88"/>
    <w:rsid w:val="00A067F6"/>
    <w:rsid w:val="00A10F88"/>
    <w:rsid w:val="00A14A51"/>
    <w:rsid w:val="00A17629"/>
    <w:rsid w:val="00A20E24"/>
    <w:rsid w:val="00A210A9"/>
    <w:rsid w:val="00A25783"/>
    <w:rsid w:val="00A2701E"/>
    <w:rsid w:val="00A27BE3"/>
    <w:rsid w:val="00A31F28"/>
    <w:rsid w:val="00A3436F"/>
    <w:rsid w:val="00A34611"/>
    <w:rsid w:val="00A47D6F"/>
    <w:rsid w:val="00A51101"/>
    <w:rsid w:val="00A517DC"/>
    <w:rsid w:val="00A60C29"/>
    <w:rsid w:val="00A62739"/>
    <w:rsid w:val="00A629FC"/>
    <w:rsid w:val="00A66130"/>
    <w:rsid w:val="00A82D5D"/>
    <w:rsid w:val="00A85B86"/>
    <w:rsid w:val="00A8614F"/>
    <w:rsid w:val="00A90BD0"/>
    <w:rsid w:val="00A95ACA"/>
    <w:rsid w:val="00A960FC"/>
    <w:rsid w:val="00AA5568"/>
    <w:rsid w:val="00AB21F3"/>
    <w:rsid w:val="00AB2FB4"/>
    <w:rsid w:val="00AB3A7B"/>
    <w:rsid w:val="00AB3C7F"/>
    <w:rsid w:val="00AB6728"/>
    <w:rsid w:val="00AB68DD"/>
    <w:rsid w:val="00AE19CF"/>
    <w:rsid w:val="00AF22ED"/>
    <w:rsid w:val="00B017D2"/>
    <w:rsid w:val="00B0281D"/>
    <w:rsid w:val="00B030C5"/>
    <w:rsid w:val="00B0589D"/>
    <w:rsid w:val="00B226E3"/>
    <w:rsid w:val="00B23507"/>
    <w:rsid w:val="00B27F35"/>
    <w:rsid w:val="00B30569"/>
    <w:rsid w:val="00B316FD"/>
    <w:rsid w:val="00B33797"/>
    <w:rsid w:val="00B34CA3"/>
    <w:rsid w:val="00B41349"/>
    <w:rsid w:val="00B57420"/>
    <w:rsid w:val="00B60EF7"/>
    <w:rsid w:val="00B622A1"/>
    <w:rsid w:val="00B74564"/>
    <w:rsid w:val="00B760BD"/>
    <w:rsid w:val="00B764B6"/>
    <w:rsid w:val="00B766CB"/>
    <w:rsid w:val="00B802B9"/>
    <w:rsid w:val="00B80C48"/>
    <w:rsid w:val="00B83441"/>
    <w:rsid w:val="00B8652C"/>
    <w:rsid w:val="00B9145B"/>
    <w:rsid w:val="00B95040"/>
    <w:rsid w:val="00B97851"/>
    <w:rsid w:val="00BA4DBB"/>
    <w:rsid w:val="00BA6915"/>
    <w:rsid w:val="00BB63D8"/>
    <w:rsid w:val="00BC18C2"/>
    <w:rsid w:val="00BD0302"/>
    <w:rsid w:val="00BD6474"/>
    <w:rsid w:val="00BE2020"/>
    <w:rsid w:val="00BE3C0E"/>
    <w:rsid w:val="00BE663D"/>
    <w:rsid w:val="00BF0C5E"/>
    <w:rsid w:val="00BF623D"/>
    <w:rsid w:val="00C0142D"/>
    <w:rsid w:val="00C067BA"/>
    <w:rsid w:val="00C155EA"/>
    <w:rsid w:val="00C16010"/>
    <w:rsid w:val="00C24057"/>
    <w:rsid w:val="00C30A03"/>
    <w:rsid w:val="00C44279"/>
    <w:rsid w:val="00C53DEF"/>
    <w:rsid w:val="00C60740"/>
    <w:rsid w:val="00C61362"/>
    <w:rsid w:val="00C622C2"/>
    <w:rsid w:val="00C6329C"/>
    <w:rsid w:val="00C664B0"/>
    <w:rsid w:val="00C73B50"/>
    <w:rsid w:val="00C74B85"/>
    <w:rsid w:val="00C80AAC"/>
    <w:rsid w:val="00C84214"/>
    <w:rsid w:val="00C93BE9"/>
    <w:rsid w:val="00C96447"/>
    <w:rsid w:val="00CA23F5"/>
    <w:rsid w:val="00CA377B"/>
    <w:rsid w:val="00CA3CFF"/>
    <w:rsid w:val="00CA7028"/>
    <w:rsid w:val="00CB2D3B"/>
    <w:rsid w:val="00CC11F6"/>
    <w:rsid w:val="00CC6E16"/>
    <w:rsid w:val="00CC711D"/>
    <w:rsid w:val="00CD3724"/>
    <w:rsid w:val="00CE24F9"/>
    <w:rsid w:val="00CF0C4E"/>
    <w:rsid w:val="00CF111E"/>
    <w:rsid w:val="00CF4E5F"/>
    <w:rsid w:val="00D014D4"/>
    <w:rsid w:val="00D023F3"/>
    <w:rsid w:val="00D02FCE"/>
    <w:rsid w:val="00D063B2"/>
    <w:rsid w:val="00D11CD8"/>
    <w:rsid w:val="00D123A1"/>
    <w:rsid w:val="00D151AD"/>
    <w:rsid w:val="00D23384"/>
    <w:rsid w:val="00D30D3D"/>
    <w:rsid w:val="00D333F8"/>
    <w:rsid w:val="00D35DA0"/>
    <w:rsid w:val="00D404B5"/>
    <w:rsid w:val="00D45A6B"/>
    <w:rsid w:val="00D623B7"/>
    <w:rsid w:val="00D626DD"/>
    <w:rsid w:val="00D64A5D"/>
    <w:rsid w:val="00D75DE1"/>
    <w:rsid w:val="00D85690"/>
    <w:rsid w:val="00D86D56"/>
    <w:rsid w:val="00D8799D"/>
    <w:rsid w:val="00DA3B54"/>
    <w:rsid w:val="00DA4B79"/>
    <w:rsid w:val="00DB0865"/>
    <w:rsid w:val="00DB4A0D"/>
    <w:rsid w:val="00DB57BB"/>
    <w:rsid w:val="00DB5FE4"/>
    <w:rsid w:val="00DC3653"/>
    <w:rsid w:val="00DC488E"/>
    <w:rsid w:val="00DD0D50"/>
    <w:rsid w:val="00DD11E2"/>
    <w:rsid w:val="00DE47BE"/>
    <w:rsid w:val="00DF270F"/>
    <w:rsid w:val="00DF3992"/>
    <w:rsid w:val="00DF61AE"/>
    <w:rsid w:val="00E00D3B"/>
    <w:rsid w:val="00E02520"/>
    <w:rsid w:val="00E1101A"/>
    <w:rsid w:val="00E12DA5"/>
    <w:rsid w:val="00E174E1"/>
    <w:rsid w:val="00E247FD"/>
    <w:rsid w:val="00E25245"/>
    <w:rsid w:val="00E25573"/>
    <w:rsid w:val="00E44742"/>
    <w:rsid w:val="00E51E8E"/>
    <w:rsid w:val="00E52E3E"/>
    <w:rsid w:val="00E57545"/>
    <w:rsid w:val="00E57B14"/>
    <w:rsid w:val="00E61786"/>
    <w:rsid w:val="00E64A50"/>
    <w:rsid w:val="00E771A7"/>
    <w:rsid w:val="00E837A0"/>
    <w:rsid w:val="00E842BD"/>
    <w:rsid w:val="00E90E99"/>
    <w:rsid w:val="00E97DFF"/>
    <w:rsid w:val="00EA3BCE"/>
    <w:rsid w:val="00EA5075"/>
    <w:rsid w:val="00EA6BA6"/>
    <w:rsid w:val="00EB3411"/>
    <w:rsid w:val="00EB5CD1"/>
    <w:rsid w:val="00EC0BAD"/>
    <w:rsid w:val="00EC2199"/>
    <w:rsid w:val="00EC459A"/>
    <w:rsid w:val="00EE1889"/>
    <w:rsid w:val="00EE1D64"/>
    <w:rsid w:val="00EE6F91"/>
    <w:rsid w:val="00EF2A6C"/>
    <w:rsid w:val="00EF7C54"/>
    <w:rsid w:val="00F00E94"/>
    <w:rsid w:val="00F01531"/>
    <w:rsid w:val="00F016FC"/>
    <w:rsid w:val="00F01D8E"/>
    <w:rsid w:val="00F07F39"/>
    <w:rsid w:val="00F1139F"/>
    <w:rsid w:val="00F15832"/>
    <w:rsid w:val="00F167F7"/>
    <w:rsid w:val="00F26FDC"/>
    <w:rsid w:val="00F31EE4"/>
    <w:rsid w:val="00F33895"/>
    <w:rsid w:val="00F34CA7"/>
    <w:rsid w:val="00F36245"/>
    <w:rsid w:val="00F439D1"/>
    <w:rsid w:val="00F43EF4"/>
    <w:rsid w:val="00F506EB"/>
    <w:rsid w:val="00F53635"/>
    <w:rsid w:val="00F57561"/>
    <w:rsid w:val="00F62E9B"/>
    <w:rsid w:val="00F73EC3"/>
    <w:rsid w:val="00F76212"/>
    <w:rsid w:val="00F77889"/>
    <w:rsid w:val="00F83C1E"/>
    <w:rsid w:val="00F83D9D"/>
    <w:rsid w:val="00F875B1"/>
    <w:rsid w:val="00F90092"/>
    <w:rsid w:val="00F93C92"/>
    <w:rsid w:val="00FA36CF"/>
    <w:rsid w:val="00FB104C"/>
    <w:rsid w:val="00FB4BB4"/>
    <w:rsid w:val="00FB7FF7"/>
    <w:rsid w:val="00FC065B"/>
    <w:rsid w:val="00FC1DC0"/>
    <w:rsid w:val="00FD1688"/>
    <w:rsid w:val="00FD2C6A"/>
    <w:rsid w:val="00FD425F"/>
    <w:rsid w:val="00FD4D3D"/>
    <w:rsid w:val="00FD7BFA"/>
    <w:rsid w:val="00FE5205"/>
    <w:rsid w:val="00FF2982"/>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C89F"/>
  <w15:docId w15:val="{C4A841B7-DAA0-9C4C-B454-37E4DC86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 w:type="paragraph" w:styleId="Caption">
    <w:name w:val="caption"/>
    <w:basedOn w:val="Normal"/>
    <w:next w:val="Normal"/>
    <w:uiPriority w:val="35"/>
    <w:semiHidden/>
    <w:unhideWhenUsed/>
    <w:qFormat/>
    <w:rsid w:val="00B23507"/>
    <w:pPr>
      <w:spacing w:before="0" w:beforeAutospacing="0" w:after="200" w:afterAutospacing="0"/>
      <w:ind w:left="0" w:right="0"/>
      <w:jc w:val="left"/>
    </w:pPr>
    <w:rPr>
      <w:rFonts w:eastAsiaTheme="minorEastAsia"/>
      <w:i/>
      <w:iCs/>
      <w:color w:val="1F497D" w:themeColor="text2"/>
      <w:sz w:val="18"/>
      <w:szCs w:val="18"/>
    </w:rPr>
  </w:style>
  <w:style w:type="character" w:styleId="CommentReference">
    <w:name w:val="annotation reference"/>
    <w:basedOn w:val="DefaultParagraphFont"/>
    <w:uiPriority w:val="99"/>
    <w:semiHidden/>
    <w:unhideWhenUsed/>
    <w:rsid w:val="00A51101"/>
    <w:rPr>
      <w:sz w:val="16"/>
      <w:szCs w:val="16"/>
    </w:rPr>
  </w:style>
  <w:style w:type="paragraph" w:styleId="CommentText">
    <w:name w:val="annotation text"/>
    <w:basedOn w:val="Normal"/>
    <w:link w:val="CommentTextChar"/>
    <w:uiPriority w:val="99"/>
    <w:semiHidden/>
    <w:unhideWhenUsed/>
    <w:rsid w:val="00A51101"/>
    <w:rPr>
      <w:sz w:val="20"/>
      <w:szCs w:val="20"/>
    </w:rPr>
  </w:style>
  <w:style w:type="character" w:customStyle="1" w:styleId="CommentTextChar">
    <w:name w:val="Comment Text Char"/>
    <w:basedOn w:val="DefaultParagraphFont"/>
    <w:link w:val="CommentText"/>
    <w:uiPriority w:val="99"/>
    <w:semiHidden/>
    <w:rsid w:val="00A51101"/>
    <w:rPr>
      <w:sz w:val="20"/>
      <w:szCs w:val="20"/>
    </w:rPr>
  </w:style>
  <w:style w:type="paragraph" w:styleId="CommentSubject">
    <w:name w:val="annotation subject"/>
    <w:basedOn w:val="CommentText"/>
    <w:next w:val="CommentText"/>
    <w:link w:val="CommentSubjectChar"/>
    <w:uiPriority w:val="99"/>
    <w:semiHidden/>
    <w:unhideWhenUsed/>
    <w:rsid w:val="00A51101"/>
    <w:rPr>
      <w:b/>
      <w:bCs/>
    </w:rPr>
  </w:style>
  <w:style w:type="character" w:customStyle="1" w:styleId="CommentSubjectChar">
    <w:name w:val="Comment Subject Char"/>
    <w:basedOn w:val="CommentTextChar"/>
    <w:link w:val="CommentSubject"/>
    <w:uiPriority w:val="99"/>
    <w:semiHidden/>
    <w:rsid w:val="00A51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F836A-CDC6-4802-B742-E419534F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8490</Words>
  <Characters>48396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drastiana maheswari</cp:lastModifiedBy>
  <cp:revision>2</cp:revision>
  <cp:lastPrinted>2017-04-06T02:12:00Z</cp:lastPrinted>
  <dcterms:created xsi:type="dcterms:W3CDTF">2025-06-26T03:38:00Z</dcterms:created>
  <dcterms:modified xsi:type="dcterms:W3CDTF">2025-06-26T03:38:00Z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5dd6eedd-450e-35bd-b010-4739f64aa96d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4th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http://www.zotero.org/styles/sage-vancouver-brackets</vt:lpwstr>
  </property>
  <property fmtid="{D5CDD505-2E9C-101B-9397-08002B2CF9AE}" pid="23" name="Mendeley Recent Style Name 9_1">
    <vt:lpwstr>SAGE - Vancouver (brackets)</vt:lpwstr>
  </property>
  <property fmtid="{D5CDD505-2E9C-101B-9397-08002B2CF9AE}" pid="24" name="Mendeley Citation Style_1">
    <vt:lpwstr>http://www.zotero.org/styles/apa</vt:lpwstr>
  </property>
</Properties>
</file>