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6C0A7" w14:textId="77777777" w:rsidR="00F53264" w:rsidRDefault="00F53264">
      <w:pPr>
        <w:widowControl w:val="0"/>
        <w:pBdr>
          <w:top w:val="nil"/>
          <w:left w:val="nil"/>
          <w:bottom w:val="nil"/>
          <w:right w:val="nil"/>
          <w:between w:val="nil"/>
        </w:pBdr>
        <w:spacing w:line="276" w:lineRule="auto"/>
        <w:ind w:left="0" w:right="0"/>
        <w:jc w:val="left"/>
        <w:rPr>
          <w:rFonts w:ascii="Lustria" w:eastAsia="Lustria" w:hAnsi="Lustria" w:cs="Lustria"/>
          <w:color w:val="000000"/>
        </w:rPr>
      </w:pPr>
    </w:p>
    <w:tbl>
      <w:tblPr>
        <w:tblStyle w:val="a"/>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155"/>
        <w:gridCol w:w="4515"/>
        <w:gridCol w:w="1680"/>
      </w:tblGrid>
      <w:tr w:rsidR="00F53264" w14:paraId="62D0921B" w14:textId="77777777">
        <w:tc>
          <w:tcPr>
            <w:tcW w:w="1560" w:type="dxa"/>
            <w:tcBorders>
              <w:top w:val="single" w:sz="4" w:space="0" w:color="000000"/>
              <w:left w:val="nil"/>
              <w:bottom w:val="single" w:sz="4" w:space="0" w:color="000000"/>
              <w:right w:val="nil"/>
            </w:tcBorders>
          </w:tcPr>
          <w:p w14:paraId="2409BE2E" w14:textId="77777777" w:rsidR="00F53264" w:rsidRDefault="00000000">
            <w:pPr>
              <w:pBdr>
                <w:top w:val="nil"/>
                <w:left w:val="nil"/>
                <w:bottom w:val="nil"/>
                <w:right w:val="nil"/>
                <w:between w:val="nil"/>
              </w:pBdr>
              <w:spacing w:line="276" w:lineRule="auto"/>
              <w:ind w:hanging="57"/>
              <w:rPr>
                <w:rFonts w:ascii="Lustria" w:eastAsia="Lustria" w:hAnsi="Lustria" w:cs="Lustria"/>
                <w:b/>
                <w:color w:val="000000"/>
                <w:sz w:val="20"/>
                <w:szCs w:val="20"/>
              </w:rPr>
            </w:pPr>
            <w:r>
              <w:rPr>
                <w:noProof/>
              </w:rPr>
              <w:drawing>
                <wp:anchor distT="0" distB="0" distL="0" distR="0" simplePos="0" relativeHeight="251658240" behindDoc="0" locked="0" layoutInCell="1" hidden="0" allowOverlap="1" wp14:anchorId="6DFC54CC" wp14:editId="044DF798">
                  <wp:simplePos x="0" y="0"/>
                  <wp:positionH relativeFrom="column">
                    <wp:posOffset>-46987</wp:posOffset>
                  </wp:positionH>
                  <wp:positionV relativeFrom="paragraph">
                    <wp:posOffset>8890</wp:posOffset>
                  </wp:positionV>
                  <wp:extent cx="666750" cy="81216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66750" cy="812165"/>
                          </a:xfrm>
                          <a:prstGeom prst="rect">
                            <a:avLst/>
                          </a:prstGeom>
                          <a:ln/>
                        </pic:spPr>
                      </pic:pic>
                    </a:graphicData>
                  </a:graphic>
                </wp:anchor>
              </w:drawing>
            </w:r>
          </w:p>
        </w:tc>
        <w:tc>
          <w:tcPr>
            <w:tcW w:w="5670" w:type="dxa"/>
            <w:gridSpan w:val="2"/>
            <w:tcBorders>
              <w:top w:val="single" w:sz="4" w:space="0" w:color="000000"/>
              <w:left w:val="nil"/>
              <w:bottom w:val="single" w:sz="4" w:space="0" w:color="000000"/>
              <w:right w:val="nil"/>
            </w:tcBorders>
          </w:tcPr>
          <w:p w14:paraId="24D1B9B0" w14:textId="490DDC73" w:rsidR="00F53264" w:rsidRDefault="00000000">
            <w:pPr>
              <w:pBdr>
                <w:top w:val="nil"/>
                <w:left w:val="nil"/>
                <w:bottom w:val="nil"/>
                <w:right w:val="nil"/>
                <w:between w:val="nil"/>
              </w:pBdr>
              <w:spacing w:after="240" w:line="276" w:lineRule="auto"/>
              <w:ind w:hanging="57"/>
              <w:jc w:val="center"/>
              <w:rPr>
                <w:rFonts w:ascii="Lustria" w:eastAsia="Lustria" w:hAnsi="Lustria" w:cs="Lustria"/>
                <w:color w:val="000000"/>
                <w:sz w:val="20"/>
                <w:szCs w:val="20"/>
              </w:rPr>
            </w:pPr>
            <w:r>
              <w:rPr>
                <w:rFonts w:ascii="Lustria" w:eastAsia="Lustria" w:hAnsi="Lustria" w:cs="Lustria"/>
                <w:color w:val="000000"/>
                <w:sz w:val="20"/>
                <w:szCs w:val="20"/>
              </w:rPr>
              <w:t xml:space="preserve">RAINBOW Vol. </w:t>
            </w:r>
            <w:r w:rsidR="008B27C9">
              <w:rPr>
                <w:rFonts w:ascii="Lustria" w:eastAsia="Lustria" w:hAnsi="Lustria" w:cs="Lustria"/>
                <w:color w:val="000000"/>
                <w:sz w:val="20"/>
                <w:szCs w:val="20"/>
              </w:rPr>
              <w:t>14</w:t>
            </w:r>
            <w:r>
              <w:rPr>
                <w:rFonts w:ascii="Lustria" w:eastAsia="Lustria" w:hAnsi="Lustria" w:cs="Lustria"/>
                <w:color w:val="000000"/>
                <w:sz w:val="20"/>
                <w:szCs w:val="20"/>
              </w:rPr>
              <w:t xml:space="preserve"> (</w:t>
            </w:r>
            <w:r w:rsidR="008B27C9">
              <w:rPr>
                <w:rFonts w:ascii="Lustria" w:eastAsia="Lustria" w:hAnsi="Lustria" w:cs="Lustria"/>
                <w:color w:val="000000"/>
                <w:sz w:val="20"/>
                <w:szCs w:val="20"/>
              </w:rPr>
              <w:t>2025</w:t>
            </w:r>
            <w:r>
              <w:rPr>
                <w:rFonts w:ascii="Lustria" w:eastAsia="Lustria" w:hAnsi="Lustria" w:cs="Lustria"/>
                <w:color w:val="000000"/>
                <w:sz w:val="20"/>
                <w:szCs w:val="20"/>
              </w:rPr>
              <w:t xml:space="preserve">) </w:t>
            </w:r>
            <w:r w:rsidR="008B27C9">
              <w:rPr>
                <w:rFonts w:ascii="Lustria" w:eastAsia="Lustria" w:hAnsi="Lustria" w:cs="Lustria"/>
                <w:color w:val="000000"/>
                <w:sz w:val="20"/>
                <w:szCs w:val="20"/>
              </w:rPr>
              <w:t>Special Edition</w:t>
            </w:r>
          </w:p>
          <w:p w14:paraId="1CCD59A6" w14:textId="77777777" w:rsidR="00F53264" w:rsidRDefault="00000000">
            <w:pPr>
              <w:spacing w:line="288" w:lineRule="auto"/>
              <w:ind w:hanging="57"/>
              <w:jc w:val="center"/>
              <w:rPr>
                <w:rFonts w:ascii="Lustria" w:eastAsia="Lustria" w:hAnsi="Lustria" w:cs="Lustria"/>
                <w:b/>
                <w:color w:val="000000"/>
                <w:sz w:val="28"/>
                <w:szCs w:val="28"/>
              </w:rPr>
            </w:pPr>
            <w:r>
              <w:rPr>
                <w:rFonts w:ascii="Lustria" w:eastAsia="Lustria" w:hAnsi="Lustria" w:cs="Lustria"/>
                <w:b/>
                <w:color w:val="000000"/>
                <w:sz w:val="28"/>
                <w:szCs w:val="28"/>
              </w:rPr>
              <w:t xml:space="preserve">Journal of Literature, Linguistics and </w:t>
            </w:r>
          </w:p>
          <w:p w14:paraId="0CF4FE70" w14:textId="77777777" w:rsidR="00F53264" w:rsidRDefault="00000000">
            <w:pPr>
              <w:spacing w:line="288" w:lineRule="auto"/>
              <w:ind w:hanging="57"/>
              <w:jc w:val="center"/>
              <w:rPr>
                <w:rFonts w:ascii="Lustria" w:eastAsia="Lustria" w:hAnsi="Lustria" w:cs="Lustria"/>
                <w:b/>
                <w:color w:val="000000"/>
                <w:sz w:val="28"/>
                <w:szCs w:val="28"/>
              </w:rPr>
            </w:pPr>
            <w:r>
              <w:rPr>
                <w:rFonts w:ascii="Lustria" w:eastAsia="Lustria" w:hAnsi="Lustria" w:cs="Lustria"/>
                <w:b/>
                <w:color w:val="000000"/>
                <w:sz w:val="28"/>
                <w:szCs w:val="28"/>
              </w:rPr>
              <w:t>Cultural Studies</w:t>
            </w:r>
          </w:p>
          <w:p w14:paraId="2DD1CCF4" w14:textId="77777777" w:rsidR="00F53264" w:rsidRDefault="00000000">
            <w:pPr>
              <w:spacing w:line="288" w:lineRule="auto"/>
              <w:ind w:hanging="57"/>
              <w:jc w:val="center"/>
              <w:rPr>
                <w:rFonts w:ascii="Lustria" w:eastAsia="Lustria" w:hAnsi="Lustria" w:cs="Lustria"/>
                <w:color w:val="000000"/>
                <w:sz w:val="20"/>
                <w:szCs w:val="20"/>
              </w:rPr>
            </w:pPr>
            <w:r>
              <w:rPr>
                <w:rFonts w:ascii="Lustria" w:eastAsia="Lustria" w:hAnsi="Lustria" w:cs="Lustria"/>
                <w:sz w:val="20"/>
                <w:szCs w:val="20"/>
              </w:rPr>
              <w:t>https://journal.unnes.ac.id/journals/rainbow</w:t>
            </w:r>
          </w:p>
        </w:tc>
        <w:tc>
          <w:tcPr>
            <w:tcW w:w="1680" w:type="dxa"/>
            <w:tcBorders>
              <w:top w:val="single" w:sz="4" w:space="0" w:color="000000"/>
              <w:left w:val="nil"/>
              <w:bottom w:val="single" w:sz="4" w:space="0" w:color="000000"/>
              <w:right w:val="nil"/>
            </w:tcBorders>
          </w:tcPr>
          <w:p w14:paraId="64B0844E" w14:textId="77777777" w:rsidR="00F53264" w:rsidRDefault="00000000">
            <w:pPr>
              <w:pBdr>
                <w:top w:val="nil"/>
                <w:left w:val="nil"/>
                <w:bottom w:val="nil"/>
                <w:right w:val="nil"/>
                <w:between w:val="nil"/>
              </w:pBdr>
              <w:spacing w:line="276" w:lineRule="auto"/>
              <w:ind w:hanging="57"/>
              <w:jc w:val="center"/>
              <w:rPr>
                <w:rFonts w:ascii="Lustria" w:eastAsia="Lustria" w:hAnsi="Lustria" w:cs="Lustria"/>
                <w:color w:val="000000"/>
                <w:sz w:val="18"/>
                <w:szCs w:val="18"/>
              </w:rPr>
            </w:pPr>
            <w:r>
              <w:rPr>
                <w:noProof/>
              </w:rPr>
              <w:drawing>
                <wp:anchor distT="0" distB="0" distL="0" distR="0" simplePos="0" relativeHeight="251659264" behindDoc="0" locked="0" layoutInCell="1" hidden="0" allowOverlap="1" wp14:anchorId="3E2041D5" wp14:editId="768A6A62">
                  <wp:simplePos x="0" y="0"/>
                  <wp:positionH relativeFrom="column">
                    <wp:posOffset>47522</wp:posOffset>
                  </wp:positionH>
                  <wp:positionV relativeFrom="paragraph">
                    <wp:posOffset>51197</wp:posOffset>
                  </wp:positionV>
                  <wp:extent cx="926039" cy="744958"/>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926039" cy="744958"/>
                          </a:xfrm>
                          <a:prstGeom prst="rect">
                            <a:avLst/>
                          </a:prstGeom>
                          <a:ln/>
                        </pic:spPr>
                      </pic:pic>
                    </a:graphicData>
                  </a:graphic>
                </wp:anchor>
              </w:drawing>
            </w:r>
          </w:p>
        </w:tc>
      </w:tr>
      <w:tr w:rsidR="00F53264" w14:paraId="26921489" w14:textId="77777777">
        <w:tc>
          <w:tcPr>
            <w:tcW w:w="8910" w:type="dxa"/>
            <w:gridSpan w:val="4"/>
            <w:tcBorders>
              <w:top w:val="single" w:sz="4" w:space="0" w:color="000000"/>
              <w:left w:val="nil"/>
              <w:bottom w:val="single" w:sz="4" w:space="0" w:color="000000"/>
              <w:right w:val="nil"/>
            </w:tcBorders>
          </w:tcPr>
          <w:p w14:paraId="7681F39E" w14:textId="77777777" w:rsidR="00F53264" w:rsidRDefault="00000000">
            <w:pPr>
              <w:spacing w:before="240" w:after="240" w:line="276" w:lineRule="auto"/>
              <w:ind w:hanging="57"/>
              <w:jc w:val="center"/>
              <w:rPr>
                <w:rFonts w:ascii="Lustria" w:eastAsia="Lustria" w:hAnsi="Lustria" w:cs="Lustria"/>
                <w:b/>
                <w:sz w:val="24"/>
                <w:szCs w:val="24"/>
              </w:rPr>
            </w:pPr>
            <w:r>
              <w:rPr>
                <w:rFonts w:ascii="Lustria" w:eastAsia="Lustria" w:hAnsi="Lustria" w:cs="Lustria"/>
                <w:b/>
                <w:sz w:val="24"/>
                <w:szCs w:val="24"/>
              </w:rPr>
              <w:t xml:space="preserve">Reconstruction of Richard Matheson’s </w:t>
            </w:r>
            <w:r>
              <w:rPr>
                <w:rFonts w:ascii="Lustria" w:eastAsia="Lustria" w:hAnsi="Lustria" w:cs="Lustria"/>
                <w:b/>
                <w:i/>
                <w:sz w:val="24"/>
                <w:szCs w:val="24"/>
              </w:rPr>
              <w:t>Button, button</w:t>
            </w:r>
          </w:p>
          <w:p w14:paraId="726BDE1F" w14:textId="77777777" w:rsidR="00F53264" w:rsidRDefault="00000000">
            <w:pPr>
              <w:spacing w:before="240" w:line="276" w:lineRule="auto"/>
              <w:ind w:hanging="57"/>
              <w:jc w:val="center"/>
              <w:rPr>
                <w:rFonts w:ascii="Lustria" w:eastAsia="Lustria" w:hAnsi="Lustria" w:cs="Lustria"/>
                <w:sz w:val="21"/>
                <w:szCs w:val="21"/>
              </w:rPr>
            </w:pPr>
            <w:r>
              <w:rPr>
                <w:rFonts w:ascii="Lustria" w:eastAsia="Lustria" w:hAnsi="Lustria" w:cs="Lustria"/>
                <w:b/>
                <w:sz w:val="21"/>
                <w:szCs w:val="21"/>
              </w:rPr>
              <w:t>Haqiqi Ranu Antariksa Saputra</w:t>
            </w:r>
            <w:r>
              <w:rPr>
                <w:rFonts w:ascii="Lustria" w:eastAsia="Lustria" w:hAnsi="Lustria" w:cs="Lustria"/>
                <w:b/>
                <w:sz w:val="21"/>
                <w:szCs w:val="21"/>
                <w:vertAlign w:val="superscript"/>
              </w:rPr>
              <w:t>1</w:t>
            </w:r>
            <w:r>
              <w:rPr>
                <w:rFonts w:ascii="Lustria" w:eastAsia="Lustria" w:hAnsi="Lustria" w:cs="Lustria"/>
                <w:b/>
                <w:sz w:val="21"/>
                <w:szCs w:val="21"/>
              </w:rPr>
              <w:t>, Thohiriyah</w:t>
            </w:r>
            <w:r>
              <w:rPr>
                <w:rFonts w:ascii="Lustria" w:eastAsia="Lustria" w:hAnsi="Lustria" w:cs="Lustria"/>
                <w:b/>
                <w:sz w:val="21"/>
                <w:szCs w:val="21"/>
                <w:vertAlign w:val="superscript"/>
              </w:rPr>
              <w:t>2</w:t>
            </w:r>
            <w:r>
              <w:rPr>
                <w:rFonts w:ascii="Lustria" w:eastAsia="Lustria" w:hAnsi="Lustria" w:cs="Lustria"/>
                <w:b/>
                <w:sz w:val="21"/>
                <w:szCs w:val="21"/>
              </w:rPr>
              <w:t>,</w:t>
            </w:r>
          </w:p>
          <w:p w14:paraId="2F35307E" w14:textId="77777777" w:rsidR="00F53264" w:rsidRDefault="00000000">
            <w:pPr>
              <w:spacing w:after="240" w:line="276" w:lineRule="auto"/>
              <w:ind w:hanging="57"/>
              <w:jc w:val="center"/>
              <w:rPr>
                <w:rFonts w:ascii="Lustria" w:eastAsia="Lustria" w:hAnsi="Lustria" w:cs="Lustria"/>
                <w:b/>
                <w:sz w:val="21"/>
                <w:szCs w:val="21"/>
              </w:rPr>
            </w:pPr>
            <w:r>
              <w:rPr>
                <w:rFonts w:ascii="Lustria" w:eastAsia="Lustria" w:hAnsi="Lustria" w:cs="Lustria"/>
                <w:b/>
                <w:vertAlign w:val="superscript"/>
              </w:rPr>
              <w:t>1</w:t>
            </w:r>
            <w:r>
              <w:rPr>
                <w:rFonts w:ascii="Lustria" w:eastAsia="Lustria" w:hAnsi="Lustria" w:cs="Lustria"/>
                <w:sz w:val="20"/>
                <w:szCs w:val="20"/>
              </w:rPr>
              <w:t xml:space="preserve">Sastra </w:t>
            </w:r>
            <w:proofErr w:type="spellStart"/>
            <w:r>
              <w:rPr>
                <w:rFonts w:ascii="Lustria" w:eastAsia="Lustria" w:hAnsi="Lustria" w:cs="Lustria"/>
                <w:sz w:val="20"/>
                <w:szCs w:val="20"/>
              </w:rPr>
              <w:t>Inggris</w:t>
            </w:r>
            <w:proofErr w:type="spellEnd"/>
            <w:r>
              <w:rPr>
                <w:rFonts w:ascii="Lustria" w:eastAsia="Lustria" w:hAnsi="Lustria" w:cs="Lustria"/>
                <w:sz w:val="20"/>
                <w:szCs w:val="20"/>
              </w:rPr>
              <w:t>/</w:t>
            </w:r>
            <w:proofErr w:type="spellStart"/>
            <w:r>
              <w:rPr>
                <w:rFonts w:ascii="Lustria" w:eastAsia="Lustria" w:hAnsi="Lustria" w:cs="Lustria"/>
                <w:sz w:val="20"/>
                <w:szCs w:val="20"/>
              </w:rPr>
              <w:t>Fakultas</w:t>
            </w:r>
            <w:proofErr w:type="spellEnd"/>
            <w:r>
              <w:rPr>
                <w:rFonts w:ascii="Lustria" w:eastAsia="Lustria" w:hAnsi="Lustria" w:cs="Lustria"/>
                <w:sz w:val="20"/>
                <w:szCs w:val="20"/>
              </w:rPr>
              <w:t xml:space="preserve"> Bahasa dan Seni, Universitas Negeri Semarang, Semarang, Indonesia </w:t>
            </w:r>
            <w:r>
              <w:rPr>
                <w:rFonts w:ascii="Lustria" w:eastAsia="Lustria" w:hAnsi="Lustria" w:cs="Lustria"/>
                <w:sz w:val="20"/>
                <w:szCs w:val="20"/>
              </w:rPr>
              <w:br/>
            </w:r>
            <w:r>
              <w:rPr>
                <w:rFonts w:ascii="Lustria" w:eastAsia="Lustria" w:hAnsi="Lustria" w:cs="Lustria"/>
                <w:b/>
                <w:vertAlign w:val="superscript"/>
              </w:rPr>
              <w:t>2</w:t>
            </w:r>
            <w:r>
              <w:rPr>
                <w:rFonts w:ascii="Lustria" w:eastAsia="Lustria" w:hAnsi="Lustria" w:cs="Lustria"/>
                <w:sz w:val="20"/>
                <w:szCs w:val="20"/>
              </w:rPr>
              <w:t xml:space="preserve">Sastra </w:t>
            </w:r>
            <w:proofErr w:type="spellStart"/>
            <w:r>
              <w:rPr>
                <w:rFonts w:ascii="Lustria" w:eastAsia="Lustria" w:hAnsi="Lustria" w:cs="Lustria"/>
                <w:sz w:val="20"/>
                <w:szCs w:val="20"/>
              </w:rPr>
              <w:t>Inggris</w:t>
            </w:r>
            <w:proofErr w:type="spellEnd"/>
            <w:r>
              <w:rPr>
                <w:rFonts w:ascii="Lustria" w:eastAsia="Lustria" w:hAnsi="Lustria" w:cs="Lustria"/>
                <w:sz w:val="20"/>
                <w:szCs w:val="20"/>
              </w:rPr>
              <w:t>/</w:t>
            </w:r>
            <w:proofErr w:type="spellStart"/>
            <w:r>
              <w:rPr>
                <w:rFonts w:ascii="Lustria" w:eastAsia="Lustria" w:hAnsi="Lustria" w:cs="Lustria"/>
                <w:sz w:val="20"/>
                <w:szCs w:val="20"/>
              </w:rPr>
              <w:t>Fakultas</w:t>
            </w:r>
            <w:proofErr w:type="spellEnd"/>
            <w:r>
              <w:rPr>
                <w:rFonts w:ascii="Lustria" w:eastAsia="Lustria" w:hAnsi="Lustria" w:cs="Lustria"/>
                <w:sz w:val="20"/>
                <w:szCs w:val="20"/>
              </w:rPr>
              <w:t xml:space="preserve"> Bahasa dan Seni, Universitas Negeri Semarang, Semarang, Indonesia</w:t>
            </w:r>
          </w:p>
        </w:tc>
      </w:tr>
      <w:tr w:rsidR="00F53264" w14:paraId="1FB13F37" w14:textId="77777777">
        <w:tc>
          <w:tcPr>
            <w:tcW w:w="2715" w:type="dxa"/>
            <w:gridSpan w:val="2"/>
            <w:tcBorders>
              <w:top w:val="single" w:sz="4" w:space="0" w:color="000000"/>
              <w:left w:val="nil"/>
              <w:bottom w:val="single" w:sz="4" w:space="0" w:color="000000"/>
              <w:right w:val="nil"/>
            </w:tcBorders>
            <w:vAlign w:val="center"/>
          </w:tcPr>
          <w:p w14:paraId="4D2A9F8A" w14:textId="77777777" w:rsidR="00F53264" w:rsidRDefault="00000000">
            <w:pPr>
              <w:pBdr>
                <w:top w:val="nil"/>
                <w:left w:val="nil"/>
                <w:bottom w:val="nil"/>
                <w:right w:val="nil"/>
                <w:between w:val="nil"/>
              </w:pBdr>
              <w:spacing w:line="360" w:lineRule="auto"/>
              <w:ind w:hanging="57"/>
              <w:rPr>
                <w:rFonts w:ascii="Lustria" w:eastAsia="Lustria" w:hAnsi="Lustria" w:cs="Lustria"/>
                <w:color w:val="000000"/>
                <w:sz w:val="20"/>
                <w:szCs w:val="20"/>
              </w:rPr>
            </w:pPr>
            <w:r>
              <w:rPr>
                <w:rFonts w:ascii="Lustria" w:eastAsia="Lustria" w:hAnsi="Lustria" w:cs="Lustria"/>
                <w:b/>
                <w:color w:val="000000"/>
                <w:sz w:val="20"/>
                <w:szCs w:val="20"/>
              </w:rPr>
              <w:t>Article Info</w:t>
            </w:r>
          </w:p>
        </w:tc>
        <w:tc>
          <w:tcPr>
            <w:tcW w:w="6195" w:type="dxa"/>
            <w:gridSpan w:val="2"/>
            <w:tcBorders>
              <w:top w:val="single" w:sz="4" w:space="0" w:color="000000"/>
              <w:left w:val="nil"/>
              <w:bottom w:val="single" w:sz="4" w:space="0" w:color="000000"/>
              <w:right w:val="nil"/>
            </w:tcBorders>
            <w:vAlign w:val="center"/>
          </w:tcPr>
          <w:p w14:paraId="77374DD1" w14:textId="77777777" w:rsidR="00F53264" w:rsidRDefault="00000000">
            <w:pPr>
              <w:pBdr>
                <w:top w:val="nil"/>
                <w:left w:val="nil"/>
                <w:bottom w:val="nil"/>
                <w:right w:val="nil"/>
                <w:between w:val="nil"/>
              </w:pBdr>
              <w:spacing w:line="276" w:lineRule="auto"/>
              <w:ind w:hanging="57"/>
              <w:rPr>
                <w:rFonts w:ascii="Lustria" w:eastAsia="Lustria" w:hAnsi="Lustria" w:cs="Lustria"/>
                <w:color w:val="000000"/>
                <w:sz w:val="20"/>
                <w:szCs w:val="20"/>
              </w:rPr>
            </w:pPr>
            <w:r>
              <w:rPr>
                <w:rFonts w:ascii="Lustria" w:eastAsia="Lustria" w:hAnsi="Lustria" w:cs="Lustria"/>
                <w:b/>
                <w:color w:val="000000"/>
                <w:sz w:val="20"/>
                <w:szCs w:val="20"/>
              </w:rPr>
              <w:t xml:space="preserve">Abstract </w:t>
            </w:r>
          </w:p>
        </w:tc>
      </w:tr>
      <w:tr w:rsidR="00F53264" w14:paraId="005F2679" w14:textId="77777777">
        <w:tc>
          <w:tcPr>
            <w:tcW w:w="2715" w:type="dxa"/>
            <w:gridSpan w:val="2"/>
            <w:tcBorders>
              <w:top w:val="single" w:sz="4" w:space="0" w:color="000000"/>
              <w:left w:val="nil"/>
              <w:bottom w:val="single" w:sz="4" w:space="0" w:color="000000"/>
              <w:right w:val="nil"/>
            </w:tcBorders>
          </w:tcPr>
          <w:p w14:paraId="6DD2F738" w14:textId="77777777" w:rsidR="00F53264" w:rsidRDefault="00000000">
            <w:pPr>
              <w:pBdr>
                <w:top w:val="nil"/>
                <w:left w:val="nil"/>
                <w:bottom w:val="nil"/>
                <w:right w:val="nil"/>
                <w:between w:val="nil"/>
              </w:pBdr>
              <w:spacing w:line="276" w:lineRule="auto"/>
              <w:ind w:hanging="57"/>
              <w:jc w:val="both"/>
              <w:rPr>
                <w:rFonts w:ascii="Lustria" w:eastAsia="Lustria" w:hAnsi="Lustria" w:cs="Lustria"/>
                <w:i/>
                <w:color w:val="000000"/>
                <w:sz w:val="18"/>
                <w:szCs w:val="18"/>
              </w:rPr>
            </w:pPr>
            <w:r>
              <w:rPr>
                <w:rFonts w:ascii="Lustria" w:eastAsia="Lustria" w:hAnsi="Lustria" w:cs="Lustria"/>
                <w:i/>
                <w:color w:val="000000"/>
                <w:sz w:val="18"/>
                <w:szCs w:val="18"/>
              </w:rPr>
              <w:t>Article History:</w:t>
            </w:r>
          </w:p>
          <w:p w14:paraId="5163222B" w14:textId="77777777" w:rsidR="00F53264" w:rsidRDefault="00000000">
            <w:pPr>
              <w:pBdr>
                <w:top w:val="nil"/>
                <w:left w:val="nil"/>
                <w:bottom w:val="nil"/>
                <w:right w:val="nil"/>
                <w:between w:val="nil"/>
              </w:pBdr>
              <w:spacing w:line="276" w:lineRule="auto"/>
              <w:ind w:hanging="57"/>
              <w:jc w:val="both"/>
              <w:rPr>
                <w:rFonts w:ascii="Lustria" w:eastAsia="Lustria" w:hAnsi="Lustria" w:cs="Lustria"/>
                <w:color w:val="000000"/>
                <w:sz w:val="18"/>
                <w:szCs w:val="18"/>
              </w:rPr>
            </w:pPr>
            <w:r>
              <w:rPr>
                <w:rFonts w:ascii="Lustria" w:eastAsia="Lustria" w:hAnsi="Lustria" w:cs="Lustria"/>
                <w:color w:val="000000"/>
                <w:sz w:val="18"/>
                <w:szCs w:val="18"/>
              </w:rPr>
              <w:t xml:space="preserve">Received </w:t>
            </w:r>
          </w:p>
          <w:p w14:paraId="6322AB01" w14:textId="5A96DE0E" w:rsidR="00F53264" w:rsidRDefault="00C96EAB">
            <w:pPr>
              <w:pBdr>
                <w:top w:val="nil"/>
                <w:left w:val="nil"/>
                <w:bottom w:val="nil"/>
                <w:right w:val="nil"/>
                <w:between w:val="nil"/>
              </w:pBdr>
              <w:spacing w:line="276" w:lineRule="auto"/>
              <w:ind w:hanging="57"/>
              <w:jc w:val="both"/>
              <w:rPr>
                <w:rFonts w:ascii="Lustria" w:eastAsia="Lustria" w:hAnsi="Lustria" w:cs="Lustria"/>
                <w:color w:val="000000"/>
                <w:sz w:val="18"/>
                <w:szCs w:val="18"/>
              </w:rPr>
            </w:pPr>
            <w:r>
              <w:rPr>
                <w:rFonts w:ascii="Lustria" w:eastAsia="Lustria" w:hAnsi="Lustria" w:cs="Lustria"/>
                <w:color w:val="000000"/>
                <w:sz w:val="18"/>
                <w:szCs w:val="18"/>
              </w:rPr>
              <w:t>30 June 2025</w:t>
            </w:r>
          </w:p>
          <w:p w14:paraId="440727F8" w14:textId="77777777" w:rsidR="00F53264" w:rsidRDefault="00000000">
            <w:pPr>
              <w:pBdr>
                <w:top w:val="nil"/>
                <w:left w:val="nil"/>
                <w:bottom w:val="nil"/>
                <w:right w:val="nil"/>
                <w:between w:val="nil"/>
              </w:pBdr>
              <w:spacing w:line="276" w:lineRule="auto"/>
              <w:ind w:hanging="57"/>
              <w:jc w:val="both"/>
              <w:rPr>
                <w:rFonts w:ascii="Lustria" w:eastAsia="Lustria" w:hAnsi="Lustria" w:cs="Lustria"/>
                <w:color w:val="000000"/>
                <w:sz w:val="18"/>
                <w:szCs w:val="18"/>
              </w:rPr>
            </w:pPr>
            <w:r>
              <w:rPr>
                <w:rFonts w:ascii="Lustria" w:eastAsia="Lustria" w:hAnsi="Lustria" w:cs="Lustria"/>
                <w:color w:val="000000"/>
                <w:sz w:val="18"/>
                <w:szCs w:val="18"/>
              </w:rPr>
              <w:t xml:space="preserve">Approved </w:t>
            </w:r>
          </w:p>
          <w:p w14:paraId="6195306E" w14:textId="3FE85691" w:rsidR="00F53264" w:rsidRDefault="00C96EAB">
            <w:pPr>
              <w:pBdr>
                <w:top w:val="nil"/>
                <w:left w:val="nil"/>
                <w:bottom w:val="nil"/>
                <w:right w:val="nil"/>
                <w:between w:val="nil"/>
              </w:pBdr>
              <w:spacing w:line="276" w:lineRule="auto"/>
              <w:ind w:hanging="57"/>
              <w:jc w:val="both"/>
              <w:rPr>
                <w:rFonts w:ascii="Lustria" w:eastAsia="Lustria" w:hAnsi="Lustria" w:cs="Lustria"/>
                <w:color w:val="000000"/>
                <w:sz w:val="18"/>
                <w:szCs w:val="18"/>
              </w:rPr>
            </w:pPr>
            <w:bookmarkStart w:id="0" w:name="_wbw1arji2wv8" w:colFirst="0" w:colLast="0"/>
            <w:bookmarkEnd w:id="0"/>
            <w:r>
              <w:rPr>
                <w:rFonts w:ascii="Lustria" w:eastAsia="Lustria" w:hAnsi="Lustria" w:cs="Lustria"/>
                <w:color w:val="000000"/>
                <w:sz w:val="18"/>
                <w:szCs w:val="18"/>
              </w:rPr>
              <w:t>30 July 2025</w:t>
            </w:r>
          </w:p>
          <w:p w14:paraId="336FD5E9" w14:textId="77777777" w:rsidR="00F53264" w:rsidRDefault="00000000">
            <w:pPr>
              <w:pBdr>
                <w:top w:val="nil"/>
                <w:left w:val="nil"/>
                <w:bottom w:val="nil"/>
                <w:right w:val="nil"/>
                <w:between w:val="nil"/>
              </w:pBdr>
              <w:spacing w:line="276" w:lineRule="auto"/>
              <w:ind w:hanging="57"/>
              <w:jc w:val="both"/>
              <w:rPr>
                <w:rFonts w:ascii="Lustria" w:eastAsia="Lustria" w:hAnsi="Lustria" w:cs="Lustria"/>
                <w:color w:val="000000"/>
                <w:sz w:val="18"/>
                <w:szCs w:val="18"/>
              </w:rPr>
            </w:pPr>
            <w:r>
              <w:rPr>
                <w:rFonts w:ascii="Lustria" w:eastAsia="Lustria" w:hAnsi="Lustria" w:cs="Lustria"/>
                <w:color w:val="000000"/>
                <w:sz w:val="18"/>
                <w:szCs w:val="18"/>
              </w:rPr>
              <w:t xml:space="preserve">Published </w:t>
            </w:r>
          </w:p>
          <w:p w14:paraId="646E1F56" w14:textId="7E7F21A5" w:rsidR="00F53264" w:rsidRDefault="00C96EAB">
            <w:pPr>
              <w:pBdr>
                <w:top w:val="nil"/>
                <w:left w:val="nil"/>
                <w:bottom w:val="nil"/>
                <w:right w:val="nil"/>
                <w:between w:val="nil"/>
              </w:pBdr>
              <w:spacing w:line="276" w:lineRule="auto"/>
              <w:ind w:hanging="57"/>
              <w:jc w:val="both"/>
              <w:rPr>
                <w:rFonts w:ascii="Lustria" w:eastAsia="Lustria" w:hAnsi="Lustria" w:cs="Lustria"/>
                <w:color w:val="000000"/>
                <w:sz w:val="18"/>
                <w:szCs w:val="18"/>
              </w:rPr>
            </w:pPr>
            <w:r>
              <w:rPr>
                <w:rFonts w:ascii="Lustria" w:eastAsia="Lustria" w:hAnsi="Lustria" w:cs="Lustria"/>
                <w:color w:val="000000"/>
                <w:sz w:val="18"/>
                <w:szCs w:val="18"/>
              </w:rPr>
              <w:t>31 July 2025</w:t>
            </w:r>
          </w:p>
        </w:tc>
        <w:tc>
          <w:tcPr>
            <w:tcW w:w="6195" w:type="dxa"/>
            <w:gridSpan w:val="2"/>
            <w:vMerge w:val="restart"/>
            <w:tcBorders>
              <w:top w:val="single" w:sz="4" w:space="0" w:color="000000"/>
              <w:left w:val="nil"/>
              <w:bottom w:val="single" w:sz="4" w:space="0" w:color="000000"/>
              <w:right w:val="nil"/>
            </w:tcBorders>
          </w:tcPr>
          <w:p w14:paraId="6FB52252" w14:textId="77777777" w:rsidR="00F53264" w:rsidRPr="0027431A" w:rsidRDefault="00000000">
            <w:pPr>
              <w:spacing w:before="240" w:after="240" w:line="276" w:lineRule="auto"/>
              <w:ind w:hanging="57"/>
              <w:jc w:val="both"/>
              <w:rPr>
                <w:rFonts w:ascii="Lustria" w:eastAsia="Lustria" w:hAnsi="Lustria" w:cs="Lustria"/>
                <w:color w:val="000000"/>
                <w:sz w:val="16"/>
                <w:szCs w:val="16"/>
              </w:rPr>
            </w:pPr>
            <w:r w:rsidRPr="0027431A">
              <w:rPr>
                <w:rFonts w:ascii="Lustria" w:eastAsia="Lustria" w:hAnsi="Lustria" w:cs="Lustria"/>
                <w:sz w:val="16"/>
                <w:szCs w:val="16"/>
              </w:rPr>
              <w:t xml:space="preserve"> This study analyzes how the story reveals hidden systems of control. It shows how modern economic system trick people into thinking they're making free choices, when they're </w:t>
            </w:r>
            <w:proofErr w:type="gramStart"/>
            <w:r w:rsidRPr="0027431A">
              <w:rPr>
                <w:rFonts w:ascii="Lustria" w:eastAsia="Lustria" w:hAnsi="Lustria" w:cs="Lustria"/>
                <w:sz w:val="16"/>
                <w:szCs w:val="16"/>
              </w:rPr>
              <w:t>actually being</w:t>
            </w:r>
            <w:proofErr w:type="gramEnd"/>
            <w:r w:rsidRPr="0027431A">
              <w:rPr>
                <w:rFonts w:ascii="Lustria" w:eastAsia="Lustria" w:hAnsi="Lustria" w:cs="Lustria"/>
                <w:sz w:val="16"/>
                <w:szCs w:val="16"/>
              </w:rPr>
              <w:t xml:space="preserve"> manipulated. The method in this research is using close reading approach as well as the triadic form of construction-deconstruction-reconstruction, it </w:t>
            </w:r>
            <w:proofErr w:type="gramStart"/>
            <w:r w:rsidRPr="0027431A">
              <w:rPr>
                <w:rFonts w:ascii="Lustria" w:eastAsia="Lustria" w:hAnsi="Lustria" w:cs="Lustria"/>
                <w:sz w:val="16"/>
                <w:szCs w:val="16"/>
              </w:rPr>
              <w:t>work</w:t>
            </w:r>
            <w:proofErr w:type="gramEnd"/>
            <w:r w:rsidRPr="0027431A">
              <w:rPr>
                <w:rFonts w:ascii="Lustria" w:eastAsia="Lustria" w:hAnsi="Lustria" w:cs="Lustria"/>
                <w:sz w:val="16"/>
                <w:szCs w:val="16"/>
              </w:rPr>
              <w:t xml:space="preserve"> by establishing themes and binary oppositions in a story first, then deconstruct it by flipping the binary oppositions, and then reconstruct it by creating a new interpretation of the story based </w:t>
            </w:r>
            <w:proofErr w:type="gramStart"/>
            <w:r w:rsidRPr="0027431A">
              <w:rPr>
                <w:rFonts w:ascii="Lustria" w:eastAsia="Lustria" w:hAnsi="Lustria" w:cs="Lustria"/>
                <w:sz w:val="16"/>
                <w:szCs w:val="16"/>
              </w:rPr>
              <w:t>from</w:t>
            </w:r>
            <w:proofErr w:type="gramEnd"/>
            <w:r w:rsidRPr="0027431A">
              <w:rPr>
                <w:rFonts w:ascii="Lustria" w:eastAsia="Lustria" w:hAnsi="Lustria" w:cs="Lustria"/>
                <w:sz w:val="16"/>
                <w:szCs w:val="16"/>
              </w:rPr>
              <w:t xml:space="preserve"> deconstructed binary oppositions and themes. The triadic analysis uncovers contradictions, where Pandora's myth attributes evil to divine forces, Matheson's story attributes it to a </w:t>
            </w:r>
            <w:proofErr w:type="gramStart"/>
            <w:r w:rsidRPr="0027431A">
              <w:rPr>
                <w:rFonts w:ascii="Lustria" w:eastAsia="Lustria" w:hAnsi="Lustria" w:cs="Lustria"/>
                <w:sz w:val="16"/>
                <w:szCs w:val="16"/>
              </w:rPr>
              <w:t>systems</w:t>
            </w:r>
            <w:proofErr w:type="gramEnd"/>
            <w:r w:rsidRPr="0027431A">
              <w:rPr>
                <w:rFonts w:ascii="Lustria" w:eastAsia="Lustria" w:hAnsi="Lustria" w:cs="Lustria"/>
                <w:sz w:val="16"/>
                <w:szCs w:val="16"/>
              </w:rPr>
              <w:t xml:space="preserve"> that tempt and make Norma, the main character, into thinking that she got a free will over her choice. This research concludes that Norma thinks she's making a real choice, just like Pandora gave in to curiosity. But the shocking ending shows she was never really in </w:t>
            </w:r>
            <w:proofErr w:type="gramStart"/>
            <w:r w:rsidRPr="0027431A">
              <w:rPr>
                <w:rFonts w:ascii="Lustria" w:eastAsia="Lustria" w:hAnsi="Lustria" w:cs="Lustria"/>
                <w:sz w:val="16"/>
                <w:szCs w:val="16"/>
              </w:rPr>
              <w:t>control,</w:t>
            </w:r>
            <w:proofErr w:type="gramEnd"/>
            <w:r w:rsidRPr="0027431A">
              <w:rPr>
                <w:rFonts w:ascii="Lustria" w:eastAsia="Lustria" w:hAnsi="Lustria" w:cs="Lustria"/>
                <w:sz w:val="16"/>
                <w:szCs w:val="16"/>
              </w:rPr>
              <w:t xml:space="preserve"> the system had already decided her fate. This exposes how those in power fake 'freedom' to keep people under their thumb.</w:t>
            </w:r>
          </w:p>
          <w:p w14:paraId="12F29C34" w14:textId="77777777" w:rsidR="00F53264" w:rsidRPr="0027431A" w:rsidRDefault="00000000">
            <w:pPr>
              <w:pBdr>
                <w:top w:val="nil"/>
                <w:left w:val="nil"/>
                <w:bottom w:val="nil"/>
                <w:right w:val="nil"/>
                <w:between w:val="nil"/>
              </w:pBdr>
              <w:spacing w:before="280" w:line="360" w:lineRule="auto"/>
              <w:ind w:hanging="57"/>
              <w:jc w:val="right"/>
              <w:rPr>
                <w:rFonts w:ascii="Lustria" w:eastAsia="Lustria" w:hAnsi="Lustria" w:cs="Lustria"/>
                <w:color w:val="000000"/>
                <w:sz w:val="16"/>
                <w:szCs w:val="16"/>
              </w:rPr>
            </w:pPr>
            <w:r w:rsidRPr="0027431A">
              <w:rPr>
                <w:rFonts w:ascii="Lustria" w:eastAsia="Lustria" w:hAnsi="Lustria" w:cs="Lustria"/>
                <w:color w:val="000000"/>
                <w:sz w:val="16"/>
                <w:szCs w:val="16"/>
              </w:rPr>
              <w:t>© Copyright 20</w:t>
            </w:r>
            <w:r w:rsidRPr="0027431A">
              <w:rPr>
                <w:rFonts w:ascii="Lustria" w:eastAsia="Lustria" w:hAnsi="Lustria" w:cs="Lustria"/>
                <w:sz w:val="16"/>
                <w:szCs w:val="16"/>
              </w:rPr>
              <w:t>25</w:t>
            </w:r>
            <w:r w:rsidRPr="0027431A">
              <w:rPr>
                <w:rFonts w:ascii="Lustria" w:eastAsia="Lustria" w:hAnsi="Lustria" w:cs="Lustria"/>
                <w:color w:val="000000"/>
                <w:sz w:val="16"/>
                <w:szCs w:val="16"/>
              </w:rPr>
              <w:t xml:space="preserve"> </w:t>
            </w:r>
          </w:p>
        </w:tc>
      </w:tr>
      <w:tr w:rsidR="00F53264" w14:paraId="591C4347" w14:textId="77777777">
        <w:tc>
          <w:tcPr>
            <w:tcW w:w="2715" w:type="dxa"/>
            <w:gridSpan w:val="2"/>
            <w:tcBorders>
              <w:top w:val="single" w:sz="4" w:space="0" w:color="000000"/>
              <w:left w:val="nil"/>
              <w:bottom w:val="single" w:sz="4" w:space="0" w:color="000000"/>
              <w:right w:val="nil"/>
            </w:tcBorders>
          </w:tcPr>
          <w:p w14:paraId="5D53B08B" w14:textId="77777777" w:rsidR="00F53264" w:rsidRDefault="00000000">
            <w:pPr>
              <w:pBdr>
                <w:top w:val="nil"/>
                <w:left w:val="nil"/>
                <w:bottom w:val="nil"/>
                <w:right w:val="nil"/>
                <w:between w:val="nil"/>
              </w:pBdr>
              <w:spacing w:line="276" w:lineRule="auto"/>
              <w:ind w:hanging="57"/>
              <w:rPr>
                <w:rFonts w:ascii="Lustria" w:eastAsia="Lustria" w:hAnsi="Lustria" w:cs="Lustria"/>
                <w:color w:val="000000"/>
                <w:sz w:val="12"/>
                <w:szCs w:val="12"/>
                <w:highlight w:val="yellow"/>
              </w:rPr>
            </w:pPr>
            <w:r>
              <w:rPr>
                <w:rFonts w:ascii="Lustria" w:eastAsia="Lustria" w:hAnsi="Lustria" w:cs="Lustria"/>
                <w:b/>
                <w:color w:val="000000"/>
                <w:sz w:val="16"/>
                <w:szCs w:val="16"/>
              </w:rPr>
              <w:t>Keywords</w:t>
            </w:r>
            <w:r>
              <w:rPr>
                <w:rFonts w:ascii="Lustria" w:eastAsia="Lustria" w:hAnsi="Lustria" w:cs="Lustria"/>
                <w:sz w:val="16"/>
                <w:szCs w:val="16"/>
              </w:rPr>
              <w:t xml:space="preserve">: </w:t>
            </w:r>
            <w:r w:rsidRPr="0027431A">
              <w:rPr>
                <w:rFonts w:ascii="Lustria" w:eastAsia="Lustria" w:hAnsi="Lustria" w:cs="Lustria"/>
                <w:sz w:val="16"/>
                <w:szCs w:val="16"/>
              </w:rPr>
              <w:t>Deconstruction, Reconstruction, Richard Matheson, Pandora’s Box</w:t>
            </w:r>
          </w:p>
        </w:tc>
        <w:tc>
          <w:tcPr>
            <w:tcW w:w="6195" w:type="dxa"/>
            <w:gridSpan w:val="2"/>
            <w:vMerge/>
            <w:tcBorders>
              <w:top w:val="single" w:sz="4" w:space="0" w:color="000000"/>
              <w:left w:val="nil"/>
              <w:bottom w:val="single" w:sz="4" w:space="0" w:color="000000"/>
              <w:right w:val="nil"/>
            </w:tcBorders>
          </w:tcPr>
          <w:p w14:paraId="6EA8B45D" w14:textId="77777777" w:rsidR="00F53264" w:rsidRDefault="00F53264">
            <w:pPr>
              <w:widowControl w:val="0"/>
              <w:pBdr>
                <w:top w:val="nil"/>
                <w:left w:val="nil"/>
                <w:bottom w:val="nil"/>
                <w:right w:val="nil"/>
                <w:between w:val="nil"/>
              </w:pBdr>
              <w:spacing w:line="276" w:lineRule="auto"/>
              <w:rPr>
                <w:rFonts w:ascii="Lustria" w:eastAsia="Lustria" w:hAnsi="Lustria" w:cs="Lustria"/>
                <w:color w:val="000000"/>
                <w:sz w:val="12"/>
                <w:szCs w:val="12"/>
                <w:highlight w:val="yellow"/>
              </w:rPr>
            </w:pPr>
          </w:p>
        </w:tc>
      </w:tr>
      <w:tr w:rsidR="00F53264" w14:paraId="6B65AA53" w14:textId="77777777">
        <w:trPr>
          <w:trHeight w:val="230"/>
        </w:trPr>
        <w:tc>
          <w:tcPr>
            <w:tcW w:w="8910" w:type="dxa"/>
            <w:gridSpan w:val="4"/>
            <w:tcBorders>
              <w:top w:val="single" w:sz="4" w:space="0" w:color="000000"/>
              <w:left w:val="nil"/>
              <w:bottom w:val="single" w:sz="4" w:space="0" w:color="000000"/>
              <w:right w:val="nil"/>
            </w:tcBorders>
          </w:tcPr>
          <w:p w14:paraId="2C4DDF6C" w14:textId="77777777" w:rsidR="00F53264" w:rsidRDefault="00000000">
            <w:pPr>
              <w:pBdr>
                <w:top w:val="nil"/>
                <w:left w:val="nil"/>
                <w:bottom w:val="nil"/>
                <w:right w:val="nil"/>
                <w:between w:val="nil"/>
              </w:pBdr>
              <w:tabs>
                <w:tab w:val="left" w:pos="3431"/>
                <w:tab w:val="right" w:pos="4823"/>
              </w:tabs>
              <w:spacing w:line="276" w:lineRule="auto"/>
              <w:ind w:hanging="57"/>
              <w:rPr>
                <w:rFonts w:ascii="Lustria" w:eastAsia="Lustria" w:hAnsi="Lustria" w:cs="Lustria"/>
                <w:b/>
                <w:color w:val="000000"/>
                <w:sz w:val="16"/>
                <w:szCs w:val="16"/>
              </w:rPr>
            </w:pPr>
            <w:r>
              <w:rPr>
                <w:rFonts w:ascii="Lustria" w:eastAsia="Lustria" w:hAnsi="Lustria" w:cs="Lustria"/>
                <w:b/>
                <w:color w:val="000000"/>
                <w:sz w:val="16"/>
                <w:szCs w:val="16"/>
              </w:rPr>
              <w:t>How to cite (in APA style):</w:t>
            </w:r>
          </w:p>
          <w:p w14:paraId="428109E7" w14:textId="24B35E12" w:rsidR="00F53264" w:rsidRPr="008B27C9" w:rsidRDefault="008B27C9" w:rsidP="008B27C9">
            <w:pPr>
              <w:pBdr>
                <w:top w:val="nil"/>
                <w:left w:val="nil"/>
                <w:bottom w:val="nil"/>
                <w:right w:val="nil"/>
                <w:between w:val="nil"/>
              </w:pBdr>
              <w:tabs>
                <w:tab w:val="left" w:pos="3431"/>
                <w:tab w:val="right" w:pos="4823"/>
              </w:tabs>
              <w:spacing w:line="276" w:lineRule="auto"/>
              <w:ind w:hanging="57"/>
              <w:jc w:val="both"/>
              <w:rPr>
                <w:rFonts w:ascii="Lustria" w:eastAsia="Lustria" w:hAnsi="Lustria" w:cs="Lustria"/>
                <w:color w:val="000000"/>
                <w:sz w:val="16"/>
                <w:szCs w:val="16"/>
                <w:lang w:val="en-ID"/>
              </w:rPr>
            </w:pPr>
            <w:r>
              <w:rPr>
                <w:rFonts w:ascii="Lustria" w:eastAsia="Lustria" w:hAnsi="Lustria" w:cs="Lustria"/>
                <w:color w:val="000000"/>
                <w:sz w:val="16"/>
                <w:szCs w:val="16"/>
                <w:lang w:val="en-ID"/>
              </w:rPr>
              <w:t xml:space="preserve">Saputra, H.R.A. &amp; </w:t>
            </w:r>
            <w:proofErr w:type="spellStart"/>
            <w:r w:rsidRPr="008B27C9">
              <w:rPr>
                <w:rFonts w:ascii="Lustria" w:eastAsia="Lustria" w:hAnsi="Lustria" w:cs="Lustria"/>
                <w:color w:val="000000"/>
                <w:sz w:val="16"/>
                <w:szCs w:val="16"/>
                <w:lang w:val="en-ID"/>
              </w:rPr>
              <w:t>Thohiriyah</w:t>
            </w:r>
            <w:proofErr w:type="spellEnd"/>
            <w:r>
              <w:rPr>
                <w:rFonts w:ascii="Lustria" w:eastAsia="Lustria" w:hAnsi="Lustria" w:cs="Lustria"/>
                <w:color w:val="000000"/>
                <w:sz w:val="16"/>
                <w:szCs w:val="16"/>
                <w:lang w:val="en-ID"/>
              </w:rPr>
              <w:t>.</w:t>
            </w:r>
            <w:r w:rsidRPr="008B27C9">
              <w:rPr>
                <w:rFonts w:ascii="Lustria" w:eastAsia="Lustria" w:hAnsi="Lustria" w:cs="Lustria"/>
                <w:color w:val="000000"/>
                <w:sz w:val="16"/>
                <w:szCs w:val="16"/>
                <w:lang w:val="en-ID"/>
              </w:rPr>
              <w:t xml:space="preserve"> </w:t>
            </w:r>
            <w:r w:rsidRPr="008B27C9">
              <w:rPr>
                <w:rFonts w:ascii="Lustria" w:eastAsia="Lustria" w:hAnsi="Lustria" w:cs="Lustria"/>
                <w:color w:val="000000"/>
                <w:sz w:val="16"/>
                <w:szCs w:val="16"/>
                <w:lang w:val="en-ID"/>
              </w:rPr>
              <w:t xml:space="preserve">(2025). Reconstruction of Richard Matheson’s Button, button. </w:t>
            </w:r>
            <w:r w:rsidRPr="008B27C9">
              <w:rPr>
                <w:rFonts w:ascii="Lustria" w:eastAsia="Lustria" w:hAnsi="Lustria" w:cs="Lustria"/>
                <w:i/>
                <w:iCs/>
                <w:color w:val="000000"/>
                <w:sz w:val="16"/>
                <w:szCs w:val="16"/>
                <w:lang w:val="en-ID"/>
              </w:rPr>
              <w:t>Rainbow : Journal of Literature, Linguistics and Culture Studies</w:t>
            </w:r>
            <w:r w:rsidRPr="008B27C9">
              <w:rPr>
                <w:rFonts w:ascii="Lustria" w:eastAsia="Lustria" w:hAnsi="Lustria" w:cs="Lustria"/>
                <w:color w:val="000000"/>
                <w:sz w:val="16"/>
                <w:szCs w:val="16"/>
                <w:lang w:val="en-ID"/>
              </w:rPr>
              <w:t>, </w:t>
            </w:r>
            <w:r w:rsidRPr="008B27C9">
              <w:rPr>
                <w:rFonts w:ascii="Lustria" w:eastAsia="Lustria" w:hAnsi="Lustria" w:cs="Lustria"/>
                <w:i/>
                <w:iCs/>
                <w:color w:val="000000"/>
                <w:sz w:val="16"/>
                <w:szCs w:val="16"/>
                <w:lang w:val="en-ID"/>
              </w:rPr>
              <w:t>14</w:t>
            </w:r>
            <w:r>
              <w:rPr>
                <w:rFonts w:ascii="Lustria" w:eastAsia="Lustria" w:hAnsi="Lustria" w:cs="Lustria"/>
                <w:i/>
                <w:iCs/>
                <w:color w:val="000000"/>
                <w:sz w:val="16"/>
                <w:szCs w:val="16"/>
                <w:lang w:val="en-ID"/>
              </w:rPr>
              <w:t xml:space="preserve">, </w:t>
            </w:r>
            <w:r>
              <w:rPr>
                <w:rFonts w:ascii="Lustria" w:eastAsia="Lustria" w:hAnsi="Lustria" w:cs="Lustria"/>
                <w:color w:val="000000"/>
                <w:sz w:val="16"/>
                <w:szCs w:val="16"/>
                <w:lang w:val="en-ID"/>
              </w:rPr>
              <w:t>154-163</w:t>
            </w:r>
            <w:r w:rsidRPr="008B27C9">
              <w:rPr>
                <w:rFonts w:ascii="Lustria" w:eastAsia="Lustria" w:hAnsi="Lustria" w:cs="Lustria"/>
                <w:color w:val="000000"/>
                <w:sz w:val="16"/>
                <w:szCs w:val="16"/>
                <w:lang w:val="en-ID"/>
              </w:rPr>
              <w:t>. </w:t>
            </w:r>
            <w:r w:rsidRPr="008B27C9">
              <w:rPr>
                <w:rFonts w:ascii="Lustria" w:eastAsia="Lustria" w:hAnsi="Lustria" w:cs="Lustria"/>
                <w:color w:val="000000"/>
                <w:sz w:val="16"/>
                <w:szCs w:val="16"/>
                <w:lang w:val="en-ID"/>
              </w:rPr>
              <w:fldChar w:fldCharType="begin"/>
            </w:r>
            <w:r w:rsidRPr="008B27C9">
              <w:rPr>
                <w:rFonts w:ascii="Lustria" w:eastAsia="Lustria" w:hAnsi="Lustria" w:cs="Lustria"/>
                <w:color w:val="000000"/>
                <w:sz w:val="16"/>
                <w:szCs w:val="16"/>
                <w:lang w:val="en-ID"/>
              </w:rPr>
              <w:instrText>HYPERLINK "https://doi.org/10.15294/rainbow.v14i.29944"</w:instrText>
            </w:r>
            <w:r w:rsidRPr="008B27C9">
              <w:rPr>
                <w:rFonts w:ascii="Lustria" w:eastAsia="Lustria" w:hAnsi="Lustria" w:cs="Lustria"/>
                <w:color w:val="000000"/>
                <w:sz w:val="16"/>
                <w:szCs w:val="16"/>
                <w:lang w:val="en-ID"/>
              </w:rPr>
            </w:r>
            <w:r w:rsidRPr="008B27C9">
              <w:rPr>
                <w:rFonts w:ascii="Lustria" w:eastAsia="Lustria" w:hAnsi="Lustria" w:cs="Lustria"/>
                <w:color w:val="000000"/>
                <w:sz w:val="16"/>
                <w:szCs w:val="16"/>
                <w:lang w:val="en-ID"/>
              </w:rPr>
              <w:fldChar w:fldCharType="separate"/>
            </w:r>
            <w:r w:rsidRPr="008B27C9">
              <w:rPr>
                <w:rStyle w:val="Hyperlink"/>
                <w:rFonts w:ascii="Lustria" w:eastAsia="Lustria" w:hAnsi="Lustria" w:cs="Lustria"/>
                <w:sz w:val="16"/>
                <w:szCs w:val="16"/>
                <w:lang w:val="en-ID"/>
              </w:rPr>
              <w:t>https://doi.org/10.15294/rainbow.v14i.29944</w:t>
            </w:r>
            <w:r w:rsidRPr="008B27C9">
              <w:rPr>
                <w:rFonts w:ascii="Lustria" w:eastAsia="Lustria" w:hAnsi="Lustria" w:cs="Lustria"/>
                <w:color w:val="000000"/>
                <w:sz w:val="16"/>
                <w:szCs w:val="16"/>
              </w:rPr>
              <w:fldChar w:fldCharType="end"/>
            </w:r>
            <w:r w:rsidR="00000000">
              <w:rPr>
                <w:rFonts w:ascii="Lustria" w:eastAsia="Lustria" w:hAnsi="Lustria" w:cs="Lustria"/>
                <w:color w:val="000000"/>
                <w:sz w:val="16"/>
                <w:szCs w:val="16"/>
              </w:rPr>
              <w:t xml:space="preserve"> </w:t>
            </w:r>
          </w:p>
        </w:tc>
      </w:tr>
    </w:tbl>
    <w:p w14:paraId="36440FF7" w14:textId="77777777" w:rsidR="00F53264" w:rsidRDefault="00F53264">
      <w:pPr>
        <w:pStyle w:val="Heading2"/>
        <w:sectPr w:rsidR="00F53264" w:rsidSect="008B27C9">
          <w:headerReference w:type="default" r:id="rId8"/>
          <w:footerReference w:type="default" r:id="rId9"/>
          <w:footerReference w:type="first" r:id="rId10"/>
          <w:pgSz w:w="11907" w:h="16839"/>
          <w:pgMar w:top="1155" w:right="1701" w:bottom="1246" w:left="1701" w:header="510" w:footer="720" w:gutter="0"/>
          <w:pgNumType w:start="154"/>
          <w:cols w:space="720"/>
          <w:titlePg/>
        </w:sectPr>
      </w:pPr>
    </w:p>
    <w:p w14:paraId="6C253A17" w14:textId="77777777" w:rsidR="00F53264" w:rsidRDefault="00000000">
      <w:pPr>
        <w:spacing w:after="240" w:line="276" w:lineRule="auto"/>
        <w:ind w:left="0" w:right="0"/>
        <w:jc w:val="both"/>
        <w:rPr>
          <w:rFonts w:ascii="Lustria" w:eastAsia="Lustria" w:hAnsi="Lustria" w:cs="Lustria"/>
          <w:b/>
          <w:smallCaps/>
          <w:sz w:val="20"/>
          <w:szCs w:val="20"/>
        </w:rPr>
      </w:pPr>
      <w:r>
        <w:rPr>
          <w:rFonts w:ascii="Lustria" w:eastAsia="Lustria" w:hAnsi="Lustria" w:cs="Lustria"/>
          <w:b/>
          <w:smallCaps/>
          <w:sz w:val="20"/>
          <w:szCs w:val="20"/>
        </w:rPr>
        <w:t xml:space="preserve">INTRODUCTION </w:t>
      </w:r>
    </w:p>
    <w:p w14:paraId="6B326982" w14:textId="77777777" w:rsidR="00F53264" w:rsidRDefault="00000000">
      <w:pPr>
        <w:spacing w:before="240" w:after="240"/>
        <w:ind w:left="0" w:right="0" w:firstLine="720"/>
        <w:jc w:val="both"/>
        <w:rPr>
          <w:rFonts w:ascii="Lustria" w:eastAsia="Lustria" w:hAnsi="Lustria" w:cs="Lustria"/>
          <w:sz w:val="20"/>
          <w:szCs w:val="20"/>
        </w:rPr>
      </w:pPr>
      <w:r>
        <w:rPr>
          <w:rFonts w:ascii="Lustria" w:eastAsia="Lustria" w:hAnsi="Lustria" w:cs="Lustria"/>
          <w:sz w:val="20"/>
          <w:szCs w:val="20"/>
        </w:rPr>
        <w:t xml:space="preserve">Richard Matheson's story </w:t>
      </w:r>
      <w:r>
        <w:rPr>
          <w:rFonts w:ascii="Lustria" w:eastAsia="Lustria" w:hAnsi="Lustria" w:cs="Lustria"/>
          <w:i/>
          <w:sz w:val="20"/>
          <w:szCs w:val="20"/>
        </w:rPr>
        <w:t>Button, Button</w:t>
      </w:r>
      <w:r>
        <w:rPr>
          <w:rFonts w:ascii="Lustria" w:eastAsia="Lustria" w:hAnsi="Lustria" w:cs="Lustria"/>
          <w:sz w:val="20"/>
          <w:szCs w:val="20"/>
        </w:rPr>
        <w:t xml:space="preserve"> is a gripping exploration of moral dilemmas, desires, and the prices of human actions. First published in 1970, the story revolves around a mysterious box with a button, delivered to a couple with a chilling proposition: if they press the button, they will receive a financial reward, but somebody they don’t familiar with will be killed. This deceptively simple premise delves into the ethical dilemmas of greed, responsibility, and </w:t>
      </w:r>
      <w:r>
        <w:rPr>
          <w:rFonts w:ascii="Lustria" w:eastAsia="Lustria" w:hAnsi="Lustria" w:cs="Lustria"/>
          <w:sz w:val="20"/>
          <w:szCs w:val="20"/>
        </w:rPr>
        <w:t xml:space="preserve">the value of human life, forcing readers to question what they might do in similar circumstances. Matheson’s taut, suspenseful storytelling and psychological depth make </w:t>
      </w:r>
      <w:r>
        <w:rPr>
          <w:rFonts w:ascii="Lustria" w:eastAsia="Lustria" w:hAnsi="Lustria" w:cs="Lustria"/>
          <w:i/>
          <w:sz w:val="20"/>
          <w:szCs w:val="20"/>
        </w:rPr>
        <w:t>Button, Button</w:t>
      </w:r>
      <w:r>
        <w:rPr>
          <w:rFonts w:ascii="Lustria" w:eastAsia="Lustria" w:hAnsi="Lustria" w:cs="Lustria"/>
          <w:sz w:val="20"/>
          <w:szCs w:val="20"/>
        </w:rPr>
        <w:t xml:space="preserve"> a timeless and thought-provoking tale. This study aims to reconstruct this story into another interpretation using the deconstruction theory coined by the French Philosopher Jacques Derrida.</w:t>
      </w:r>
    </w:p>
    <w:p w14:paraId="08068250" w14:textId="77777777" w:rsidR="00F53264" w:rsidRDefault="00000000">
      <w:pPr>
        <w:spacing w:before="240" w:after="240"/>
        <w:ind w:left="0" w:right="0" w:firstLine="720"/>
        <w:jc w:val="both"/>
        <w:rPr>
          <w:rFonts w:ascii="Lustria" w:eastAsia="Lustria" w:hAnsi="Lustria" w:cs="Lustria"/>
          <w:sz w:val="20"/>
          <w:szCs w:val="20"/>
        </w:rPr>
      </w:pPr>
      <w:r>
        <w:rPr>
          <w:rFonts w:ascii="Lustria" w:eastAsia="Lustria" w:hAnsi="Lustria" w:cs="Lustria"/>
          <w:i/>
          <w:sz w:val="20"/>
          <w:szCs w:val="20"/>
        </w:rPr>
        <w:t>Button, Button</w:t>
      </w:r>
      <w:r>
        <w:rPr>
          <w:rFonts w:ascii="Lustria" w:eastAsia="Lustria" w:hAnsi="Lustria" w:cs="Lustria"/>
          <w:sz w:val="20"/>
          <w:szCs w:val="20"/>
        </w:rPr>
        <w:t xml:space="preserve"> serves as a narrative that exposes the darker side of human nature, our weakness to temptation, our inability to </w:t>
      </w:r>
      <w:r>
        <w:rPr>
          <w:rFonts w:ascii="Lustria" w:eastAsia="Lustria" w:hAnsi="Lustria" w:cs="Lustria"/>
          <w:sz w:val="20"/>
          <w:szCs w:val="20"/>
        </w:rPr>
        <w:lastRenderedPageBreak/>
        <w:t>resist the unknown, and the catastrophic consequences of our choices. Norma, swayed by the temptations of financial gain, presses the button only to discover that her greed has cost her the life of her husband. This story functions as a mirror, reflecting the same unsettling truth: humans repeatedly fall into self-destructive patterns when faced with easy rewards. By analyzing this story, the research studies how the story functions as a critique of systemic predation—specifically, how it exposes the mechanisms by which neoliberal capitalism disguises coercion as free choice.</w:t>
      </w:r>
    </w:p>
    <w:p w14:paraId="7CC1E1B1" w14:textId="77777777" w:rsidR="00F53264" w:rsidRDefault="00000000">
      <w:pPr>
        <w:spacing w:before="240" w:after="240"/>
        <w:ind w:left="0" w:right="0" w:firstLine="720"/>
        <w:jc w:val="both"/>
        <w:rPr>
          <w:rFonts w:ascii="Lustria" w:eastAsia="Lustria" w:hAnsi="Lustria" w:cs="Lustria"/>
          <w:sz w:val="20"/>
          <w:szCs w:val="20"/>
        </w:rPr>
      </w:pPr>
      <w:r>
        <w:rPr>
          <w:rFonts w:ascii="Lustria" w:eastAsia="Lustria" w:hAnsi="Lustria" w:cs="Lustria"/>
          <w:sz w:val="20"/>
          <w:szCs w:val="20"/>
        </w:rPr>
        <w:t>Mythology is a category of folklore made up mainly of stories that hold a crucial place in a society and is closely related to religion or spirituality and is the origin of taboos, norms, and laws that are sanctified or exalted by religious group entities (</w:t>
      </w:r>
      <w:proofErr w:type="spellStart"/>
      <w:r>
        <w:rPr>
          <w:rFonts w:ascii="Lustria" w:eastAsia="Lustria" w:hAnsi="Lustria" w:cs="Lustria"/>
          <w:sz w:val="20"/>
          <w:szCs w:val="20"/>
        </w:rPr>
        <w:t>Deretic</w:t>
      </w:r>
      <w:proofErr w:type="spellEnd"/>
      <w:r>
        <w:rPr>
          <w:rFonts w:ascii="Lustria" w:eastAsia="Lustria" w:hAnsi="Lustria" w:cs="Lustria"/>
          <w:sz w:val="20"/>
          <w:szCs w:val="20"/>
        </w:rPr>
        <w:t>, 2020; Eliade, 1998; R Samuel, 2021). Mythological stories serve important functions within a culture, such as reinforcing social norms, explaining natural phenomena, and providing moral guidance. They help maintain social order by offering a shared framework through which members of a society understand their world and their place within it (Eliade, Myth and Reality, 1998). Pandora’s box is one of the many mythological stories.</w:t>
      </w:r>
    </w:p>
    <w:p w14:paraId="34FC5111" w14:textId="77777777" w:rsidR="00F53264" w:rsidRDefault="00000000">
      <w:pPr>
        <w:spacing w:before="240" w:after="240"/>
        <w:ind w:left="0" w:right="0" w:firstLine="720"/>
        <w:jc w:val="both"/>
        <w:rPr>
          <w:rFonts w:ascii="Lustria" w:eastAsia="Lustria" w:hAnsi="Lustria" w:cs="Lustria"/>
          <w:sz w:val="20"/>
          <w:szCs w:val="20"/>
        </w:rPr>
      </w:pPr>
      <w:r>
        <w:rPr>
          <w:rFonts w:ascii="Lustria" w:eastAsia="Lustria" w:hAnsi="Lustria" w:cs="Lustria"/>
          <w:sz w:val="20"/>
          <w:szCs w:val="20"/>
        </w:rPr>
        <w:t>The myth of Pandora’s box serves as a powerful metaphor for unintended consequences—while it unleashes chaos and suffering, it also exposes hidden truths. In Greek mythology, the gods presented Pandora (Earth’s first woman) with a sealed container holding the world’s evils, which escaped upon its opening (</w:t>
      </w:r>
      <w:proofErr w:type="spellStart"/>
      <w:r>
        <w:rPr>
          <w:rFonts w:ascii="Lustria" w:eastAsia="Lustria" w:hAnsi="Lustria" w:cs="Lustria"/>
          <w:sz w:val="20"/>
          <w:szCs w:val="20"/>
        </w:rPr>
        <w:t>Athanassakis</w:t>
      </w:r>
      <w:proofErr w:type="spellEnd"/>
      <w:r>
        <w:rPr>
          <w:rFonts w:ascii="Lustria" w:eastAsia="Lustria" w:hAnsi="Lustria" w:cs="Lustria"/>
          <w:sz w:val="20"/>
          <w:szCs w:val="20"/>
        </w:rPr>
        <w:t xml:space="preserve">, 2022; DiSibio, 2021; Yokota, 2020). This duality mirrors modern scandals like the </w:t>
      </w:r>
      <w:r>
        <w:rPr>
          <w:rFonts w:ascii="Lustria" w:eastAsia="Lustria" w:hAnsi="Lustria" w:cs="Lustria"/>
          <w:i/>
          <w:sz w:val="20"/>
          <w:szCs w:val="20"/>
        </w:rPr>
        <w:t>Pandora Papers</w:t>
      </w:r>
      <w:r>
        <w:rPr>
          <w:rFonts w:ascii="Lustria" w:eastAsia="Lustria" w:hAnsi="Lustria" w:cs="Lustria"/>
          <w:sz w:val="20"/>
          <w:szCs w:val="20"/>
        </w:rPr>
        <w:t xml:space="preserve"> (Scott, 2023), where leaked documents revealed covert financial schemes among global elites, including former UK Prime Minister Tony Blair. Like the mythical box, such exposures simultaneously disrupt systems and uncover concealed corruption.</w:t>
      </w:r>
    </w:p>
    <w:p w14:paraId="4EBEC620" w14:textId="77777777" w:rsidR="00F53264" w:rsidRDefault="00000000">
      <w:pPr>
        <w:spacing w:before="240" w:after="240"/>
        <w:ind w:left="0" w:right="0" w:firstLine="720"/>
        <w:jc w:val="both"/>
        <w:rPr>
          <w:rFonts w:ascii="Lustria" w:eastAsia="Lustria" w:hAnsi="Lustria" w:cs="Lustria"/>
          <w:sz w:val="20"/>
          <w:szCs w:val="20"/>
        </w:rPr>
      </w:pPr>
      <w:r>
        <w:rPr>
          <w:rFonts w:ascii="Lustria" w:eastAsia="Lustria" w:hAnsi="Lustria" w:cs="Lustria"/>
          <w:sz w:val="20"/>
          <w:szCs w:val="20"/>
        </w:rPr>
        <w:t xml:space="preserve">The term "deconstruction" derives from the French </w:t>
      </w:r>
      <w:r>
        <w:rPr>
          <w:rFonts w:ascii="Lustria" w:eastAsia="Lustria" w:hAnsi="Lustria" w:cs="Lustria"/>
          <w:i/>
          <w:sz w:val="20"/>
          <w:szCs w:val="20"/>
        </w:rPr>
        <w:t>"</w:t>
      </w:r>
      <w:proofErr w:type="spellStart"/>
      <w:r>
        <w:rPr>
          <w:rFonts w:ascii="Lustria" w:eastAsia="Lustria" w:hAnsi="Lustria" w:cs="Lustria"/>
          <w:i/>
          <w:sz w:val="20"/>
          <w:szCs w:val="20"/>
        </w:rPr>
        <w:t>déconstruire</w:t>
      </w:r>
      <w:proofErr w:type="spellEnd"/>
      <w:r>
        <w:rPr>
          <w:rFonts w:ascii="Lustria" w:eastAsia="Lustria" w:hAnsi="Lustria" w:cs="Lustria"/>
          <w:i/>
          <w:sz w:val="20"/>
          <w:szCs w:val="20"/>
        </w:rPr>
        <w:t>"</w:t>
      </w:r>
      <w:r>
        <w:rPr>
          <w:rFonts w:ascii="Lustria" w:eastAsia="Lustria" w:hAnsi="Lustria" w:cs="Lustria"/>
          <w:sz w:val="20"/>
          <w:szCs w:val="20"/>
        </w:rPr>
        <w:t xml:space="preserve">, meaning "to dismantle" or "reverse the construction of </w:t>
      </w:r>
      <w:r>
        <w:rPr>
          <w:rFonts w:ascii="Lustria" w:eastAsia="Lustria" w:hAnsi="Lustria" w:cs="Lustria"/>
          <w:sz w:val="20"/>
          <w:szCs w:val="20"/>
        </w:rPr>
        <w:t xml:space="preserve">something." While this literal sense implies breaking down structures, philosopher Jacques Derrida as in </w:t>
      </w:r>
      <w:proofErr w:type="spellStart"/>
      <w:r>
        <w:rPr>
          <w:rFonts w:ascii="Lustria" w:eastAsia="Lustria" w:hAnsi="Lustria" w:cs="Lustria"/>
          <w:sz w:val="20"/>
          <w:szCs w:val="20"/>
        </w:rPr>
        <w:t>Sikirivwa</w:t>
      </w:r>
      <w:proofErr w:type="spellEnd"/>
      <w:r>
        <w:rPr>
          <w:rFonts w:ascii="Lustria" w:eastAsia="Lustria" w:hAnsi="Lustria" w:cs="Lustria"/>
          <w:sz w:val="20"/>
          <w:szCs w:val="20"/>
        </w:rPr>
        <w:t xml:space="preserve"> (2020) redefined it as a critical method. This study adopts Derridean deconstruction as its theoretical lens, challenging the notion of stable, singular meanings in texts (Bressler, 2004). Instead, it reveals how narratives harbor contradictions and invite plural interpretations—a view echoed by Currie (2013), who emphasizes that texts resist fixed readings, instead offering fluid, often conflicting meanings.</w:t>
      </w:r>
    </w:p>
    <w:p w14:paraId="07C3A85F" w14:textId="77777777" w:rsidR="00F53264" w:rsidRDefault="00000000">
      <w:pPr>
        <w:spacing w:before="240" w:after="240"/>
        <w:ind w:left="0" w:right="0" w:firstLine="720"/>
        <w:jc w:val="both"/>
        <w:rPr>
          <w:rFonts w:ascii="Lustria" w:eastAsia="Lustria" w:hAnsi="Lustria" w:cs="Lustria"/>
          <w:sz w:val="20"/>
          <w:szCs w:val="20"/>
        </w:rPr>
      </w:pPr>
      <w:r>
        <w:rPr>
          <w:rFonts w:ascii="Lustria" w:eastAsia="Lustria" w:hAnsi="Lustria" w:cs="Lustria"/>
          <w:sz w:val="20"/>
          <w:szCs w:val="20"/>
        </w:rPr>
        <w:t>The study uses deconstruction along with the triadic form of construction-deconstruction-reconstruction. The triadic form of construction-deconstruction-reconstruction is a dialectical framework often used in critical theory and poststructuralist thought to analyze and reinterpret knowledge, texts, or social structures. Construction refers to the formation of meaning, systems, or ideologies, while deconstruction—a concept popularized by Jacques Derrida—involves dismantling these structures to expose contradictions, biases, or instabilities within them. Finally, reconstruction entails reassembling or reimagining these elements in a more inclusive, reflexive, or transformative manner. This triad reflects a dynamic process of critique and renewal, emphasizing fluidity over fixed meanings (</w:t>
      </w:r>
      <w:proofErr w:type="spellStart"/>
      <w:r>
        <w:rPr>
          <w:rFonts w:ascii="Lustria" w:eastAsia="Lustria" w:hAnsi="Lustria" w:cs="Lustria"/>
          <w:sz w:val="20"/>
          <w:szCs w:val="20"/>
        </w:rPr>
        <w:t>Yamb</w:t>
      </w:r>
      <w:proofErr w:type="spellEnd"/>
      <w:r>
        <w:rPr>
          <w:rFonts w:ascii="Lustria" w:eastAsia="Lustria" w:hAnsi="Lustria" w:cs="Lustria"/>
          <w:sz w:val="20"/>
          <w:szCs w:val="20"/>
        </w:rPr>
        <w:t>, 2024)</w:t>
      </w:r>
    </w:p>
    <w:p w14:paraId="781F09D1" w14:textId="77777777" w:rsidR="00F53264" w:rsidRDefault="00000000">
      <w:pPr>
        <w:spacing w:after="240"/>
        <w:ind w:left="0" w:right="0"/>
        <w:jc w:val="both"/>
        <w:rPr>
          <w:rFonts w:ascii="Lustria" w:eastAsia="Lustria" w:hAnsi="Lustria" w:cs="Lustria"/>
          <w:sz w:val="20"/>
          <w:szCs w:val="20"/>
        </w:rPr>
      </w:pPr>
      <w:r>
        <w:rPr>
          <w:rFonts w:ascii="Lustria" w:eastAsia="Lustria" w:hAnsi="Lustria" w:cs="Lustria"/>
          <w:sz w:val="20"/>
          <w:szCs w:val="20"/>
        </w:rPr>
        <w:t xml:space="preserve">Several studies have examined Richard Matheson’s story </w:t>
      </w:r>
      <w:r>
        <w:rPr>
          <w:rFonts w:ascii="Lustria" w:eastAsia="Lustria" w:hAnsi="Lustria" w:cs="Lustria"/>
          <w:i/>
          <w:sz w:val="20"/>
          <w:szCs w:val="20"/>
        </w:rPr>
        <w:t>Button, Button</w:t>
      </w:r>
      <w:r>
        <w:rPr>
          <w:rFonts w:ascii="Lustria" w:eastAsia="Lustria" w:hAnsi="Lustria" w:cs="Lustria"/>
          <w:sz w:val="20"/>
          <w:szCs w:val="20"/>
        </w:rPr>
        <w:t xml:space="preserve">. Psychoanalysis of Norma’s Character in </w:t>
      </w:r>
      <w:r>
        <w:rPr>
          <w:rFonts w:ascii="Lustria" w:eastAsia="Lustria" w:hAnsi="Lustria" w:cs="Lustria"/>
          <w:i/>
          <w:sz w:val="20"/>
          <w:szCs w:val="20"/>
        </w:rPr>
        <w:t>Button, Button</w:t>
      </w:r>
      <w:r>
        <w:rPr>
          <w:rFonts w:ascii="Lustria" w:eastAsia="Lustria" w:hAnsi="Lustria" w:cs="Lustria"/>
          <w:sz w:val="20"/>
          <w:szCs w:val="20"/>
        </w:rPr>
        <w:t xml:space="preserve"> by Richard Matheson (Syed, 2021) delves into and analyzes the thoughts of the character of Norma, the main protagonist of the story. Construction of Self and Post-Modern Consumerism in Richard Matheson's </w:t>
      </w:r>
      <w:r>
        <w:rPr>
          <w:rFonts w:ascii="Lustria" w:eastAsia="Lustria" w:hAnsi="Lustria" w:cs="Lustria"/>
          <w:i/>
          <w:sz w:val="20"/>
          <w:szCs w:val="20"/>
        </w:rPr>
        <w:t>Button, Button</w:t>
      </w:r>
      <w:r>
        <w:rPr>
          <w:rFonts w:ascii="Lustria" w:eastAsia="Lustria" w:hAnsi="Lustria" w:cs="Lustria"/>
          <w:sz w:val="20"/>
          <w:szCs w:val="20"/>
        </w:rPr>
        <w:t xml:space="preserve"> (Ashraf, 2019) discusses the socio-economic reason behind Norma’s actions. </w:t>
      </w:r>
      <w:proofErr w:type="spellStart"/>
      <w:r>
        <w:rPr>
          <w:rFonts w:ascii="Lustria" w:eastAsia="Lustria" w:hAnsi="Lustria" w:cs="Lustria"/>
          <w:sz w:val="20"/>
          <w:szCs w:val="20"/>
        </w:rPr>
        <w:t>Asmarani</w:t>
      </w:r>
      <w:proofErr w:type="spellEnd"/>
      <w:r>
        <w:rPr>
          <w:rFonts w:ascii="Lustria" w:eastAsia="Lustria" w:hAnsi="Lustria" w:cs="Lustria"/>
          <w:sz w:val="20"/>
          <w:szCs w:val="20"/>
        </w:rPr>
        <w:t xml:space="preserve"> (2020) analyses the theme of free choices and its consequences. Anwar (2018) discusses the reasons behind Norma’s action, which was to fulfill Maslow’s five levels of needs. These studies have not analyzed the story using a deconstruction theory and </w:t>
      </w:r>
      <w:r>
        <w:rPr>
          <w:rFonts w:ascii="Lustria" w:eastAsia="Lustria" w:hAnsi="Lustria" w:cs="Lustria"/>
          <w:sz w:val="20"/>
          <w:szCs w:val="20"/>
        </w:rPr>
        <w:lastRenderedPageBreak/>
        <w:t>attempt to reconstruct it into other interpretations, this study aims to fill that gap.</w:t>
      </w:r>
    </w:p>
    <w:p w14:paraId="59C897CD" w14:textId="77777777" w:rsidR="00F53264" w:rsidRDefault="00000000">
      <w:pPr>
        <w:pStyle w:val="Heading4"/>
        <w:spacing w:before="240" w:after="240" w:line="360" w:lineRule="auto"/>
        <w:ind w:firstLine="0"/>
        <w:rPr>
          <w:b/>
        </w:rPr>
      </w:pPr>
      <w:r>
        <w:rPr>
          <w:b/>
        </w:rPr>
        <w:t>METHOD</w:t>
      </w:r>
    </w:p>
    <w:p w14:paraId="7F747D7E" w14:textId="77777777" w:rsidR="00F53264" w:rsidRDefault="00000000">
      <w:pPr>
        <w:pStyle w:val="Heading4"/>
        <w:spacing w:before="240" w:after="240" w:line="240" w:lineRule="auto"/>
        <w:ind w:firstLine="0"/>
      </w:pPr>
      <w:r>
        <w:t xml:space="preserve">    </w:t>
      </w:r>
      <w:r>
        <w:tab/>
        <w:t xml:space="preserve">This research employs a close reading approach as well as the triadic form of construction–deconstruction–reconstruction to reconstruct Richard Matheson’s short story </w:t>
      </w:r>
      <w:r>
        <w:rPr>
          <w:i/>
        </w:rPr>
        <w:t>Button, Button</w:t>
      </w:r>
      <w:r>
        <w:t xml:space="preserve"> into another interpretation.</w:t>
      </w:r>
    </w:p>
    <w:p w14:paraId="32FF4BCD" w14:textId="77777777" w:rsidR="00F53264" w:rsidRDefault="00000000">
      <w:pPr>
        <w:pStyle w:val="Heading4"/>
        <w:spacing w:before="240" w:after="240" w:line="240" w:lineRule="auto"/>
        <w:ind w:firstLine="720"/>
      </w:pPr>
      <w:r>
        <w:t>Close reading is a critical analytical approach that involves careful, sustained interpretation of a text to uncover deeper meanings, nuances, and structural elements. It emphasizes examining language, syntax, tone, imagery, and rhetorical devices to understand how a text conveys meaning beyond its surface level (Barry, 2017)</w:t>
      </w:r>
    </w:p>
    <w:p w14:paraId="070BC913" w14:textId="77777777" w:rsidR="00F53264" w:rsidRDefault="00000000">
      <w:pPr>
        <w:pStyle w:val="Heading4"/>
        <w:spacing w:before="240" w:after="240" w:line="240" w:lineRule="auto"/>
        <w:ind w:firstLine="720"/>
      </w:pPr>
      <w:r>
        <w:t>Construction</w:t>
      </w:r>
      <w:r>
        <w:rPr>
          <w:sz w:val="18"/>
          <w:szCs w:val="18"/>
        </w:rPr>
        <w:t xml:space="preserve"> </w:t>
      </w:r>
      <w:r>
        <w:t xml:space="preserve">refers to the process of establishing a text’s apparent meaning through identifiable structures—plot, themes, symbols, and cultural contexts. This phase aligns with New Criticism’s close reading (Brooks &amp; Warren, 1938) or structuralist approaches (Barthes, 1966), which treat narratives as coherent systems of signs. For </w:t>
      </w:r>
      <w:r>
        <w:rPr>
          <w:i/>
        </w:rPr>
        <w:t>Button, Button</w:t>
      </w:r>
      <w:r>
        <w:t>, construction involves mapping its surface logic: the button as moral test, Norma’s choice as individual failing, and the twist as cosmic justice. As Bressler (2004) notes, construction "assembles a text’s explicit framework" but this is only the first layer—a stage later challenged by deconstruction.</w:t>
      </w:r>
    </w:p>
    <w:p w14:paraId="6A2D89F5" w14:textId="77777777" w:rsidR="00F53264" w:rsidRDefault="00000000">
      <w:pPr>
        <w:pStyle w:val="Heading4"/>
        <w:spacing w:before="240" w:after="240" w:line="240" w:lineRule="auto"/>
        <w:ind w:firstLine="720"/>
      </w:pPr>
      <w:r>
        <w:t xml:space="preserve">Deconstruction, rooted in Jacques Derrida’s philosophy, exposes how texts undermine their own apparent logic by revealing internal contradictions. Derrida argued that Western thought relies on binary oppositions (e.g., free will/determinism, good/evil) that </w:t>
      </w:r>
      <w:proofErr w:type="gramStart"/>
      <w:r>
        <w:t>hierarchies</w:t>
      </w:r>
      <w:proofErr w:type="gramEnd"/>
      <w:r>
        <w:t xml:space="preserve"> privilege but texts inevitably destabilize (Of Grammatology, 2016). Applied to </w:t>
      </w:r>
      <w:r>
        <w:rPr>
          <w:i/>
        </w:rPr>
        <w:t>Button, Button</w:t>
      </w:r>
      <w:r>
        <w:t xml:space="preserve">, deconstruction dismantles the illusion of "choice" by showing how the story’s system (Mr. Steward’s and his </w:t>
      </w:r>
      <w:proofErr w:type="spellStart"/>
      <w:r>
        <w:t>orgar</w:t>
      </w:r>
      <w:proofErr w:type="spellEnd"/>
      <w:r>
        <w:t xml:space="preserve">) predetermines Norma’s action while maintaining the veneer of agency. As Culler (2007) summarizes, </w:t>
      </w:r>
      <w:r>
        <w:t>deconstruction "reveals the text’s unconscious anxieties" —here, capitalism’s coercion masked as freedom.</w:t>
      </w:r>
    </w:p>
    <w:p w14:paraId="701274B6" w14:textId="77777777" w:rsidR="00F53264" w:rsidRDefault="00000000">
      <w:pPr>
        <w:pStyle w:val="Heading4"/>
        <w:spacing w:before="240" w:after="240" w:line="240" w:lineRule="auto"/>
        <w:ind w:firstLine="720"/>
      </w:pPr>
      <w:r>
        <w:t xml:space="preserve">Reconstruction, as theorized by Bressler (2004) and others, moves beyond critique to rebuild meaning by integrating deconstruction’s insights with historical, ideological or other contexts. Unlike construction’s stability or deconstruction’s rupture, reconstruction asks: What does the text now signify when read against its hidden tensions? For </w:t>
      </w:r>
      <w:r>
        <w:rPr>
          <w:i/>
        </w:rPr>
        <w:t>Button, Button</w:t>
      </w:r>
      <w:r>
        <w:t>, this means reframing it as a neoliberal parable where the button symbolizes illusion of free choice.</w:t>
      </w:r>
    </w:p>
    <w:p w14:paraId="0F145BDD" w14:textId="77777777" w:rsidR="00F53264" w:rsidRDefault="00000000">
      <w:pPr>
        <w:pStyle w:val="Heading4"/>
        <w:spacing w:before="240" w:after="240" w:line="240" w:lineRule="auto"/>
        <w:ind w:firstLine="720"/>
      </w:pPr>
      <w:r>
        <w:t xml:space="preserve">The triadic approach of construction-deconstruction-reconstruction proves particularly apt for analyzing both </w:t>
      </w:r>
      <w:r>
        <w:rPr>
          <w:i/>
        </w:rPr>
        <w:t>Button, Button</w:t>
      </w:r>
      <w:r>
        <w:t xml:space="preserve"> and Pandora’s Box because it systematically uncovers the layered meanings embedded in mythological and modern narratives, revealing how ancient archetypes evolve to reflect contemporary anxieties.</w:t>
      </w:r>
      <w:r>
        <w:rPr>
          <w:sz w:val="18"/>
          <w:szCs w:val="18"/>
        </w:rPr>
        <w:t xml:space="preserve"> </w:t>
      </w:r>
      <w:r>
        <w:t>This triadic method not only traces how myths adapt across time but also exposes the hidden mechanisms of power—whether Olympian or neoliberal—that shape human agency, making it uniquely suited for analyzing narratives that mask systemic violence as moral fables. By progressing from surface meaning to systemic critique, the approach mirrors both stories’ own structures of revelation, where deeper truths emerge only after initial illusions are dismantled.</w:t>
      </w:r>
    </w:p>
    <w:p w14:paraId="1B14D66C" w14:textId="77777777" w:rsidR="00F53264" w:rsidRDefault="00000000">
      <w:pPr>
        <w:pStyle w:val="Heading4"/>
        <w:spacing w:before="240" w:after="240" w:line="240" w:lineRule="auto"/>
        <w:ind w:firstLine="0"/>
      </w:pPr>
      <w:r>
        <w:t>Here is how each phase works:</w:t>
      </w:r>
    </w:p>
    <w:p w14:paraId="0972BC5D" w14:textId="77777777" w:rsidR="00F53264" w:rsidRDefault="00000000">
      <w:pPr>
        <w:pStyle w:val="Heading4"/>
        <w:spacing w:before="240" w:after="240" w:line="360" w:lineRule="auto"/>
        <w:ind w:firstLine="0"/>
        <w:rPr>
          <w:b/>
        </w:rPr>
      </w:pPr>
      <w:r>
        <w:rPr>
          <w:b/>
        </w:rPr>
        <w:t>Construction</w:t>
      </w:r>
    </w:p>
    <w:p w14:paraId="11B0E812" w14:textId="77777777" w:rsidR="00F53264" w:rsidRDefault="00000000">
      <w:pPr>
        <w:pStyle w:val="Heading4"/>
        <w:spacing w:before="240" w:after="240" w:line="240" w:lineRule="auto"/>
        <w:ind w:firstLine="720"/>
      </w:pPr>
      <w:r>
        <w:t xml:space="preserve">In this phase, the researchers identify and establish or build the framework, design, narrative, theory, or idea, such as the themes, characters, plot points, and structures in a story or this research to construct or establish the binary oppositions in the story. Construction is the act of mapping out the basic framework or design of the text or </w:t>
      </w:r>
      <w:proofErr w:type="gramStart"/>
      <w:r>
        <w:t>concepts, and</w:t>
      </w:r>
      <w:proofErr w:type="gramEnd"/>
      <w:r>
        <w:t xml:space="preserve"> sets the stage for deeper analysis.</w:t>
      </w:r>
    </w:p>
    <w:p w14:paraId="4AC3BB6D" w14:textId="77777777" w:rsidR="00F53264" w:rsidRDefault="00000000">
      <w:pPr>
        <w:pStyle w:val="Heading4"/>
        <w:spacing w:before="240" w:after="240" w:line="240" w:lineRule="auto"/>
        <w:ind w:firstLine="0"/>
        <w:rPr>
          <w:b/>
        </w:rPr>
      </w:pPr>
      <w:r>
        <w:rPr>
          <w:b/>
        </w:rPr>
        <w:t>Deconstruction</w:t>
      </w:r>
    </w:p>
    <w:p w14:paraId="51FA29FA" w14:textId="77777777" w:rsidR="00F53264" w:rsidRDefault="00000000">
      <w:pPr>
        <w:pStyle w:val="Heading4"/>
        <w:spacing w:before="240" w:after="240" w:line="240" w:lineRule="auto"/>
        <w:ind w:firstLine="720"/>
      </w:pPr>
      <w:r>
        <w:lastRenderedPageBreak/>
        <w:t>Derrida (1967)</w:t>
      </w:r>
      <w:r>
        <w:rPr>
          <w:i/>
        </w:rPr>
        <w:t xml:space="preserve"> </w:t>
      </w:r>
      <w:r>
        <w:t xml:space="preserve">introduces deconstruction </w:t>
      </w:r>
      <w:proofErr w:type="gramStart"/>
      <w:r>
        <w:t>as a way to</w:t>
      </w:r>
      <w:proofErr w:type="gramEnd"/>
      <w:r>
        <w:t xml:space="preserve"> challenge the binary oppositions found in literary books. In this phase, the researcher examines and deconstructs the constructed framework, drawing from post-structuralist thought of Derrida’s deconstruction. In literary analysis, this might involve dismantling a text’s apparent structure, showing how themes, characters, or structures and binary oppositions that contradict themselves.  Deconstruction does not seek to destroy but to reveal complexity and multiplicity.</w:t>
      </w:r>
    </w:p>
    <w:p w14:paraId="05292C72" w14:textId="77777777" w:rsidR="00F53264" w:rsidRDefault="00000000">
      <w:pPr>
        <w:pStyle w:val="Heading4"/>
        <w:spacing w:before="240" w:after="240" w:line="240" w:lineRule="auto"/>
        <w:ind w:firstLine="0"/>
        <w:rPr>
          <w:b/>
        </w:rPr>
      </w:pPr>
      <w:r>
        <w:rPr>
          <w:b/>
        </w:rPr>
        <w:t>Reconstruction</w:t>
      </w:r>
    </w:p>
    <w:p w14:paraId="179AD5FA" w14:textId="77777777" w:rsidR="00F53264" w:rsidRDefault="00000000">
      <w:pPr>
        <w:pStyle w:val="Heading4"/>
        <w:spacing w:before="240" w:after="240" w:line="240" w:lineRule="auto"/>
        <w:ind w:firstLine="720"/>
      </w:pPr>
      <w:bookmarkStart w:id="1" w:name="_ace80qlwu3ke" w:colFirst="0" w:colLast="0"/>
      <w:bookmarkEnd w:id="1"/>
      <w:r>
        <w:t>Bressler (2004) stated that after deconstructing the previously established framework, narrative, idea, and binary opposition in a story, one must recognize or accept that texts can be understood in different ways or at different levels through the reversal of binary oppositions. He also stated that there are many interpretations of a story. Following deconstruction, this phase reconstructs the examined elements into a new understanding. Reconstruction does not restore the original framework but instead synthesizes the insights gained from deconstruction to propose alternative interpretations, models, or narratives. Unlike the initial construction, reconstruction remains open to further critique, embodying a dynamic process rather than a fixed conclusion.</w:t>
      </w:r>
    </w:p>
    <w:p w14:paraId="2A0F9304" w14:textId="77777777" w:rsidR="00F53264" w:rsidRDefault="00F53264">
      <w:pPr>
        <w:pStyle w:val="Heading4"/>
        <w:spacing w:line="240" w:lineRule="auto"/>
      </w:pPr>
    </w:p>
    <w:p w14:paraId="3287C6F6" w14:textId="77777777" w:rsidR="00F53264" w:rsidRDefault="00000000">
      <w:pPr>
        <w:pStyle w:val="Heading4"/>
        <w:spacing w:line="240" w:lineRule="auto"/>
        <w:ind w:firstLine="0"/>
        <w:rPr>
          <w:b/>
        </w:rPr>
      </w:pPr>
      <w:r>
        <w:rPr>
          <w:b/>
        </w:rPr>
        <w:t xml:space="preserve">RESULTS AND DISCUSSION </w:t>
      </w:r>
    </w:p>
    <w:p w14:paraId="1DE8A249" w14:textId="77777777" w:rsidR="00F53264" w:rsidRDefault="00000000">
      <w:pPr>
        <w:spacing w:before="240" w:after="240"/>
        <w:ind w:left="0" w:right="0" w:firstLine="720"/>
        <w:jc w:val="both"/>
        <w:rPr>
          <w:rFonts w:ascii="Lustria" w:eastAsia="Lustria" w:hAnsi="Lustria" w:cs="Lustria"/>
          <w:sz w:val="20"/>
          <w:szCs w:val="20"/>
        </w:rPr>
      </w:pPr>
      <w:r>
        <w:rPr>
          <w:rFonts w:ascii="Lustria" w:eastAsia="Lustria" w:hAnsi="Lustria" w:cs="Lustria"/>
          <w:sz w:val="20"/>
          <w:szCs w:val="20"/>
        </w:rPr>
        <w:t xml:space="preserve">The triadic analysis of </w:t>
      </w:r>
      <w:r>
        <w:rPr>
          <w:rFonts w:ascii="Lustria" w:eastAsia="Lustria" w:hAnsi="Lustria" w:cs="Lustria"/>
          <w:i/>
          <w:sz w:val="20"/>
          <w:szCs w:val="20"/>
        </w:rPr>
        <w:t>Button, Button</w:t>
      </w:r>
      <w:r>
        <w:rPr>
          <w:rFonts w:ascii="Lustria" w:eastAsia="Lustria" w:hAnsi="Lustria" w:cs="Lustria"/>
          <w:sz w:val="20"/>
          <w:szCs w:val="20"/>
        </w:rPr>
        <w:t xml:space="preserve"> reveals how these stories are reconfigured to critique modern systems of power. The construction phase established core parallels, the forbidden, that is, the object box/button, the tempter, that is, the gods/Mr. Steward, and the illusion of choice, highlighting enduring tensions between fate and free will (Blondell, 2013). Deconstruction, however, exposed critical divergences: Pandora’s myth externalizes evil as divine punishment, while Matheson’s story implicates capitalist structures that manufacture ethical compromise (Brouillette, 2020; Fisher, 2022). </w:t>
      </w:r>
      <w:r>
        <w:rPr>
          <w:rFonts w:ascii="Lustria" w:eastAsia="Lustria" w:hAnsi="Lustria" w:cs="Lustria"/>
          <w:sz w:val="20"/>
          <w:szCs w:val="20"/>
        </w:rPr>
        <w:t>Norma’s tragic twist, her unwitting complicity in her husband’s death, demonstrates how oppression disguised as choice, a stark departure from Pandora’s narrative, where hope persists (</w:t>
      </w:r>
      <w:r>
        <w:rPr>
          <w:rFonts w:ascii="Times New Roman" w:eastAsia="Times New Roman" w:hAnsi="Times New Roman" w:cs="Times New Roman"/>
          <w:sz w:val="20"/>
          <w:szCs w:val="20"/>
        </w:rPr>
        <w:t>Ž</w:t>
      </w:r>
      <w:r>
        <w:rPr>
          <w:rFonts w:ascii="Lustria" w:eastAsia="Lustria" w:hAnsi="Lustria" w:cs="Lustria"/>
          <w:sz w:val="20"/>
          <w:szCs w:val="20"/>
        </w:rPr>
        <w:t>i</w:t>
      </w:r>
      <w:r>
        <w:rPr>
          <w:rFonts w:ascii="Times New Roman" w:eastAsia="Times New Roman" w:hAnsi="Times New Roman" w:cs="Times New Roman"/>
          <w:sz w:val="20"/>
          <w:szCs w:val="20"/>
        </w:rPr>
        <w:t>ž</w:t>
      </w:r>
      <w:r>
        <w:rPr>
          <w:rFonts w:ascii="Lustria" w:eastAsia="Lustria" w:hAnsi="Lustria" w:cs="Lustria"/>
          <w:sz w:val="20"/>
          <w:szCs w:val="20"/>
        </w:rPr>
        <w:t xml:space="preserve">ek, 2021). The reconstruction synthesizes these insights, framing both stories as warnings about engineered suffering, but with distinct resolutions: Pandora’s myth clings to hope as a counterforce, while Matheson’s nihilistic conclusion reflects contemporary anxieties about impersonal exploitation (Han, 2017; Latour, 2017). Ultimately, the triadic method underscores how </w:t>
      </w:r>
      <w:proofErr w:type="gramStart"/>
      <w:r>
        <w:rPr>
          <w:rFonts w:ascii="Lustria" w:eastAsia="Lustria" w:hAnsi="Lustria" w:cs="Lustria"/>
          <w:sz w:val="20"/>
          <w:szCs w:val="20"/>
        </w:rPr>
        <w:t>both of the stories</w:t>
      </w:r>
      <w:proofErr w:type="gramEnd"/>
      <w:r>
        <w:rPr>
          <w:rFonts w:ascii="Lustria" w:eastAsia="Lustria" w:hAnsi="Lustria" w:cs="Lustria"/>
          <w:sz w:val="20"/>
          <w:szCs w:val="20"/>
        </w:rPr>
        <w:t xml:space="preserve"> adapt to cultural shifts, with </w:t>
      </w:r>
      <w:r>
        <w:rPr>
          <w:rFonts w:ascii="Lustria" w:eastAsia="Lustria" w:hAnsi="Lustria" w:cs="Lustria"/>
          <w:i/>
          <w:sz w:val="20"/>
          <w:szCs w:val="20"/>
        </w:rPr>
        <w:t>Button, Button</w:t>
      </w:r>
      <w:r>
        <w:rPr>
          <w:rFonts w:ascii="Lustria" w:eastAsia="Lustria" w:hAnsi="Lustria" w:cs="Lustria"/>
          <w:sz w:val="20"/>
          <w:szCs w:val="20"/>
        </w:rPr>
        <w:t xml:space="preserve"> serving as a 20th-century Pandora for an era of hidden systemic violence. </w:t>
      </w:r>
    </w:p>
    <w:p w14:paraId="00A698F9" w14:textId="77777777" w:rsidR="00F53264" w:rsidRDefault="00000000">
      <w:pPr>
        <w:pStyle w:val="Heading4"/>
        <w:spacing w:before="240" w:after="40" w:line="240" w:lineRule="auto"/>
        <w:ind w:firstLine="0"/>
        <w:rPr>
          <w:b/>
        </w:rPr>
      </w:pPr>
      <w:bookmarkStart w:id="2" w:name="_kj6inqt92ypj" w:colFirst="0" w:colLast="0"/>
      <w:bookmarkEnd w:id="2"/>
      <w:r>
        <w:rPr>
          <w:b/>
        </w:rPr>
        <w:t>Construction</w:t>
      </w:r>
    </w:p>
    <w:p w14:paraId="124742C1" w14:textId="77777777" w:rsidR="00F53264" w:rsidRDefault="00000000">
      <w:pPr>
        <w:pStyle w:val="Heading4"/>
        <w:spacing w:before="240" w:after="240" w:line="240" w:lineRule="auto"/>
        <w:ind w:firstLine="720"/>
      </w:pPr>
      <w:r>
        <w:t xml:space="preserve">The construction phase reveals fundamental binary oppositions in </w:t>
      </w:r>
      <w:r>
        <w:rPr>
          <w:i/>
        </w:rPr>
        <w:t>Button, Button</w:t>
      </w:r>
      <w:r>
        <w:t xml:space="preserve">—systemic authority vs. human agency—which structure their narratives as moral examinations of transgression and consequence. These oppositions are shaped by their distinct cultural contexts, </w:t>
      </w:r>
      <w:r>
        <w:rPr>
          <w:i/>
        </w:rPr>
        <w:t>Button, Button</w:t>
      </w:r>
      <w:r>
        <w:t xml:space="preserve"> critiques postwar American capitalism’s illusion of choice.</w:t>
      </w:r>
    </w:p>
    <w:p w14:paraId="52D8A5BA" w14:textId="77777777" w:rsidR="00F53264" w:rsidRDefault="00000000">
      <w:pPr>
        <w:pStyle w:val="Heading4"/>
        <w:spacing w:before="240" w:after="240" w:line="240" w:lineRule="auto"/>
        <w:ind w:firstLine="720"/>
      </w:pPr>
      <w:r>
        <w:t>The story’s 1960s backdrop is key to grasping its unfair structure. This era marked the height of postwar consumer culture—ads were everywhere, from TV to roadside billboards, training people to link shopping with fulfillment (Miller et al., 2018). Norma, like most Americans, was trapped in this showy spending spiral. Economist Thorstein Veblen (1992) called this "conspicuous consumption"—buying fancy things not for need, but to prove status and meet social expectations. By the 60s, this trend had become a powerful cultural machine (West, 2004), turning wants into inescapable demands.</w:t>
      </w:r>
    </w:p>
    <w:p w14:paraId="5C5ABE14" w14:textId="77777777" w:rsidR="00F53264" w:rsidRDefault="00000000">
      <w:pPr>
        <w:pStyle w:val="Heading4"/>
        <w:spacing w:before="240" w:after="240" w:line="240" w:lineRule="auto"/>
        <w:ind w:firstLine="720"/>
      </w:pPr>
      <w:r>
        <w:t>“</w:t>
      </w:r>
      <w:r>
        <w:rPr>
          <w:i/>
        </w:rPr>
        <w:t>We could go to Europe... We could buy a cottage on the island</w:t>
      </w:r>
      <w:r>
        <w:t xml:space="preserve">" (Matheson, 1970, p. 7). Norma’s fantasies of luxury reveal how consumer capitalism stokes desire as a means of control. Her motivation to press the button stems not from inherent greed but from systemic conditioning—what Lauren Berlant </w:t>
      </w:r>
      <w:r>
        <w:lastRenderedPageBreak/>
        <w:t>(2011) calls "cruel optimism", where the promise of upward mobility masks structural barriers.</w:t>
      </w:r>
    </w:p>
    <w:p w14:paraId="203ADDE8" w14:textId="77777777" w:rsidR="00F53264" w:rsidRDefault="00000000">
      <w:pPr>
        <w:pStyle w:val="Heading4"/>
        <w:spacing w:before="240" w:after="240" w:line="240" w:lineRule="auto"/>
        <w:ind w:firstLine="720"/>
      </w:pPr>
      <w:r>
        <w:t xml:space="preserve">The plot device of the button in Richard Matheson's </w:t>
      </w:r>
      <w:r>
        <w:rPr>
          <w:i/>
        </w:rPr>
        <w:t>Button, Button</w:t>
      </w:r>
      <w:r>
        <w:t xml:space="preserve"> serves as a powerful mechanism to explore the illusion of free will within a rigged system. The button unit, delivered by the mysterious Mr. Steward, presents itself as a simple choice—press the button to receive a financial reward at the cost of an unknown person's death—but ultimately functions as an elaborate trap designed to manipulate and expose human vulnerability. This device mirrors the mythological function of Pandora's box as a vessel of inevitable </w:t>
      </w:r>
      <w:proofErr w:type="gramStart"/>
      <w:r>
        <w:t>transgression,</w:t>
      </w:r>
      <w:proofErr w:type="gramEnd"/>
      <w:r>
        <w:t xml:space="preserve"> Norma's decision is engineered by socioeconomic forces that make her "choice" statistically predictable. The button's sleek, impersonal design "</w:t>
      </w:r>
      <w:r>
        <w:rPr>
          <w:i/>
        </w:rPr>
        <w:t>a small wooden box... with a button protected by a glass dome</w:t>
      </w:r>
      <w:r>
        <w:t>" (Matheson, 1970 p. 1</w:t>
      </w:r>
      <w:proofErr w:type="gramStart"/>
      <w:r>
        <w:t>)  embodies</w:t>
      </w:r>
      <w:proofErr w:type="gramEnd"/>
      <w:r>
        <w:t xml:space="preserve"> what Jean Baudrillard would call the "cold seduction" of technological objects—its aesthetic neutrality belying its destructive potential (Baudrillard, 1990).</w:t>
      </w:r>
    </w:p>
    <w:p w14:paraId="0D5FE28E" w14:textId="77777777" w:rsidR="00F53264" w:rsidRDefault="00000000">
      <w:pPr>
        <w:pStyle w:val="Heading4"/>
        <w:spacing w:before="240" w:after="240" w:line="240" w:lineRule="auto"/>
        <w:ind w:firstLine="720"/>
      </w:pPr>
      <w:r>
        <w:t>The phrase "Pandora's box" symbolizes something that, once opened, unleashes significant problems or disasters, yet may also uncover hidden truths. According to Greek myth, the gods presented Pandora, the first woman on Earth, with this box as a gift. Inside it lay all the world's evils, which escaped when she lifted the lid (</w:t>
      </w:r>
      <w:proofErr w:type="spellStart"/>
      <w:r>
        <w:t>Athanassakis</w:t>
      </w:r>
      <w:proofErr w:type="spellEnd"/>
      <w:r>
        <w:t>, 2022; DiSibio, 2021; Yokota, 2020). In the story, Norma, the main character, receives a push-button fastened to a wooden box covered in a clear glass dome (Matheson, 1970). This button can be represented in the same way as the box that Pandora received in the mythology.</w:t>
      </w:r>
    </w:p>
    <w:p w14:paraId="328309D3" w14:textId="77777777" w:rsidR="00F53264" w:rsidRDefault="00000000">
      <w:pPr>
        <w:pStyle w:val="Heading4"/>
        <w:spacing w:before="240" w:after="240" w:line="240" w:lineRule="auto"/>
        <w:ind w:firstLine="720"/>
      </w:pPr>
      <w:r>
        <w:t xml:space="preserve">Poverty is the condition of not having sufficient income or resources to meet fundamental living needs (Brady, 2023). Individuals experiencing poverty tend to focus on immediate rewards over long-term benefits, often engaging in risky financial behaviors such as taking out high-interest loans. This mindset stems from the "tunneling effect," where scarcity narrows attention to urgent needs, often at the expense of future </w:t>
      </w:r>
      <w:r>
        <w:t xml:space="preserve">consequences. Research has demonstrated that artificially induced scarcity in laboratory settings leads to the same poor decision-making patterns observed in real-life poverty. Additionally, chronic stress, common among those in poverty, negatively affects the prefrontal cortex, the brain region responsible for self-regulation and impulse control, further exacerbating these tendencies (Sheehy-Skeffington &amp; Haushofer, 2015; Carvalho et al., 2018, 84-260; </w:t>
      </w:r>
      <w:proofErr w:type="spellStart"/>
      <w:r>
        <w:t>Haushoffer</w:t>
      </w:r>
      <w:proofErr w:type="spellEnd"/>
      <w:r>
        <w:t xml:space="preserve"> &amp; Fehr, 2015, 862-867). Human beings are naturally social creatures who require meaningful connections with others to meet both personal and shared needs. These interactions play a vital role in overall well-being, fostering emotional, psychological, and social development. Engaging with others is not just a preference but a fundamental aspect of life that contributes to a person's growth and fulfillment (</w:t>
      </w:r>
      <w:proofErr w:type="spellStart"/>
      <w:r>
        <w:t>Prasetya</w:t>
      </w:r>
      <w:proofErr w:type="spellEnd"/>
      <w:r>
        <w:t xml:space="preserve"> &amp; </w:t>
      </w:r>
      <w:proofErr w:type="spellStart"/>
      <w:r>
        <w:t>Thohiriyah</w:t>
      </w:r>
      <w:proofErr w:type="spellEnd"/>
      <w:r>
        <w:t xml:space="preserve">, 2024, 161-172). Norma is depicted as a housewife set in the settings of 1960-1970s America, her family is not poor per se, but her dwelling is not very nicely furnished, so she wanted a new apartment </w:t>
      </w:r>
      <w:proofErr w:type="gramStart"/>
      <w:r>
        <w:t>“..</w:t>
      </w:r>
      <w:proofErr w:type="gramEnd"/>
      <w:r>
        <w:rPr>
          <w:i/>
        </w:rPr>
        <w:t xml:space="preserve">Like for us to have a nicer </w:t>
      </w:r>
      <w:proofErr w:type="gramStart"/>
      <w:r>
        <w:rPr>
          <w:i/>
        </w:rPr>
        <w:t>apartment</w:t>
      </w:r>
      <w:r>
        <w:t>..</w:t>
      </w:r>
      <w:proofErr w:type="gramEnd"/>
      <w:r>
        <w:t xml:space="preserve">" (Matheson, 1970). Her husband’s work didn't provide them with much income, so much so that she also had to work herself. Her family is not poor to the point of facing starvation or </w:t>
      </w:r>
      <w:proofErr w:type="gramStart"/>
      <w:r>
        <w:t>homelessness, but</w:t>
      </w:r>
      <w:proofErr w:type="gramEnd"/>
      <w:r>
        <w:t xml:space="preserve"> is not rich either that they can afford many luxuries in their life. This results in Norma having poor decision-making and a lack of self-control, wanting to afford a new, nicer apartment and other things.</w:t>
      </w:r>
    </w:p>
    <w:p w14:paraId="681CABE2" w14:textId="77777777" w:rsidR="00F53264" w:rsidRDefault="00000000">
      <w:pPr>
        <w:pStyle w:val="Heading4"/>
        <w:spacing w:before="240" w:after="240" w:line="240" w:lineRule="auto"/>
        <w:ind w:firstLine="720"/>
      </w:pPr>
      <w:r>
        <w:t xml:space="preserve">The two stories share a key similarity, in </w:t>
      </w:r>
      <w:r>
        <w:rPr>
          <w:i/>
        </w:rPr>
        <w:t>Button, Button,</w:t>
      </w:r>
      <w:r>
        <w:t xml:space="preserve"> the salesman anticipates Norma’s decision to press the button, as he hints at its potential benefits—</w:t>
      </w:r>
      <w:r>
        <w:rPr>
          <w:i/>
        </w:rPr>
        <w:t>"It could prove very valuable"</w:t>
      </w:r>
      <w:r>
        <w:t xml:space="preserve"> (Matheson, 1970, p. 2).  In contrast, Pandora’s choice to open the box was predetermined by the gods, who designed her with inherent curiosity rather than offering an explicit reward. Despite this difference, both characters face temptation and the illusion of free will, though</w:t>
      </w:r>
      <w:proofErr w:type="gramStart"/>
      <w:r>
        <w:t>, in reality, their</w:t>
      </w:r>
      <w:proofErr w:type="gramEnd"/>
      <w:r>
        <w:t xml:space="preserve"> actions were almost inevitable, as they were destined to make their fateful choices. In contrast to Pandora’s situation, Norma was given a choice whether to push the button or not; the story was created in such a way that </w:t>
      </w:r>
      <w:r>
        <w:lastRenderedPageBreak/>
        <w:t>the salesman already knew that Norma would push the button.</w:t>
      </w:r>
    </w:p>
    <w:p w14:paraId="2EFADAD7" w14:textId="77777777" w:rsidR="00F53264" w:rsidRDefault="00000000">
      <w:pPr>
        <w:pStyle w:val="Heading4"/>
        <w:spacing w:before="240" w:after="240" w:line="240" w:lineRule="auto"/>
        <w:ind w:firstLine="720"/>
      </w:pPr>
      <w:r>
        <w:t xml:space="preserve">Mr. Steward in </w:t>
      </w:r>
      <w:r>
        <w:rPr>
          <w:i/>
        </w:rPr>
        <w:t>Button, Button</w:t>
      </w:r>
      <w:r>
        <w:t xml:space="preserve"> mirrors the gods of Greek myth, particularly in his role as an enigmatic orchestrator of moral tests. Like Zeus and Hermes, who crafted Pandora and her infamous box as a punishment for humanity’s defiance, Steward delivers a deceptively simple temptation—the button—fully aware of the destructive consequences it will unleash. Both figures operate with detached amusement, observing human weakness without direct intervention, allowing curiosity and greed to dictate the outcome. While the gods embedded Pandora with irresistible curiosity, Steward preys on Norma’s rationalizations, ensuring she makes the choice he anticipates. Neither acts out of malice, but rather as indifferent forces revealing humanity’s flaws—the gods through unleashed chaos, Steward through the cold mechanics of cause and effect. Ultimately, both serve as divine tricksters, proving that the greatest evils arise not from external forces but from the choices humans make when tested.</w:t>
      </w:r>
    </w:p>
    <w:p w14:paraId="68AA267F" w14:textId="77777777" w:rsidR="00F53264" w:rsidRDefault="00000000">
      <w:pPr>
        <w:pStyle w:val="Heading4"/>
        <w:spacing w:before="240" w:after="480" w:line="240" w:lineRule="auto"/>
        <w:ind w:firstLine="0"/>
        <w:rPr>
          <w:b/>
        </w:rPr>
      </w:pPr>
      <w:r>
        <w:rPr>
          <w:b/>
        </w:rPr>
        <w:t>Deconstruction</w:t>
      </w:r>
    </w:p>
    <w:p w14:paraId="6293BF69" w14:textId="77777777" w:rsidR="00F53264" w:rsidRDefault="00000000">
      <w:pPr>
        <w:pStyle w:val="Heading4"/>
        <w:spacing w:before="240" w:after="240" w:line="240" w:lineRule="auto"/>
        <w:ind w:firstLine="720"/>
      </w:pPr>
      <w:r>
        <w:t xml:space="preserve">To deconstruct these narratives, we must look beyond their obvious contradictions and question the hidden assumptions and power systems they rely on. Following Derrida’s approach, this means exposing how seemingly stable meanings—like "choice" or "justice"—are </w:t>
      </w:r>
      <w:proofErr w:type="gramStart"/>
      <w:r>
        <w:t>actually unstable</w:t>
      </w:r>
      <w:proofErr w:type="gramEnd"/>
      <w:r>
        <w:t xml:space="preserve">, shaped by unseen forces (Derrida, 1976). For example, in </w:t>
      </w:r>
      <w:r>
        <w:rPr>
          <w:i/>
        </w:rPr>
        <w:t>Button, Button</w:t>
      </w:r>
      <w:r>
        <w:t>, the button appears to offer a simple yes/no decision, but deconstruction reveals how its design strips away real agency, trapping Norma in a false dilemma. Similarly, in Pandora’s Box, the myth frames curiosity as a flaw, but deconstructing Zeus’s role exposes how divine power enforces control by blaming the victim.</w:t>
      </w:r>
    </w:p>
    <w:p w14:paraId="592300DA" w14:textId="77777777" w:rsidR="00F53264" w:rsidRDefault="00000000">
      <w:pPr>
        <w:pStyle w:val="Heading4"/>
        <w:spacing w:before="240" w:after="240" w:line="240" w:lineRule="auto"/>
        <w:ind w:firstLine="720"/>
      </w:pPr>
      <w:r>
        <w:t xml:space="preserve">Post-structuralist critics like Barthes (1977) remind us that deconstruction isn’t just about pointing out contradictions—it’s about showing how texts quietly reinforce </w:t>
      </w:r>
      <w:r>
        <w:t xml:space="preserve">hierarchies. In </w:t>
      </w:r>
      <w:r>
        <w:rPr>
          <w:i/>
        </w:rPr>
        <w:t>Button, Button</w:t>
      </w:r>
      <w:r>
        <w:t>, Arthur’s moral outrage "</w:t>
      </w:r>
      <w:r>
        <w:rPr>
          <w:i/>
        </w:rPr>
        <w:t>It’s immoral!</w:t>
      </w:r>
      <w:r>
        <w:t>” (Matheson, 1970, p. 4</w:t>
      </w:r>
      <w:proofErr w:type="gramStart"/>
      <w:r>
        <w:t>)</w:t>
      </w:r>
      <w:r>
        <w:rPr>
          <w:sz w:val="24"/>
          <w:szCs w:val="24"/>
        </w:rPr>
        <w:t xml:space="preserve"> </w:t>
      </w:r>
      <w:r>
        <w:t xml:space="preserve"> seems</w:t>
      </w:r>
      <w:proofErr w:type="gramEnd"/>
      <w:r>
        <w:t xml:space="preserve"> heroic, but the system’s indifference to his protest reveals how responsibility is shifted onto individuals while the real power stays hidden. Likewise, Pandora’s "choice" to open the box is framed as disobedience, but deconstruction uncovers how the gods rigged the game from the start.</w:t>
      </w:r>
    </w:p>
    <w:p w14:paraId="2EE47FA4" w14:textId="77777777" w:rsidR="00F53264" w:rsidRDefault="00000000">
      <w:pPr>
        <w:pStyle w:val="Heading4"/>
        <w:spacing w:before="240" w:after="240" w:line="240" w:lineRule="auto"/>
        <w:ind w:firstLine="720"/>
      </w:pPr>
      <w:r>
        <w:t>By focusing on these moments, deconstruction doesn’t just describe the stories—it exposes how they manipulate ideas of guilt, freedom, and blame. The button and the box aren’t just objects; they’re tools that let systems (corporate or divine) pretend to offer agency while ensuring control. This critical lens helps us see how myths and modern tales alike disguise power as fate or free will.</w:t>
      </w:r>
    </w:p>
    <w:p w14:paraId="0F018542" w14:textId="77777777" w:rsidR="00F53264" w:rsidRDefault="00000000">
      <w:pPr>
        <w:pStyle w:val="Heading4"/>
        <w:spacing w:before="240" w:after="240" w:line="240" w:lineRule="auto"/>
        <w:ind w:firstLine="0"/>
        <w:rPr>
          <w:b/>
        </w:rPr>
      </w:pPr>
      <w:r>
        <w:rPr>
          <w:b/>
        </w:rPr>
        <w:t>Reconstruction</w:t>
      </w:r>
    </w:p>
    <w:p w14:paraId="4861DDD0" w14:textId="77777777" w:rsidR="00F53264" w:rsidRDefault="00000000">
      <w:pPr>
        <w:pStyle w:val="Heading4"/>
        <w:spacing w:before="240" w:after="240" w:line="240" w:lineRule="auto"/>
        <w:ind w:firstLine="720"/>
      </w:pPr>
      <w:r>
        <w:t xml:space="preserve">The insights gained through deconstruction directly fuel reconstruction by exposing the hidden power dynamics and ideological tensions buried within the text. Where deconstruction dismantles the illusion of fixed meanings—revealing, for instance, how "free choice" in </w:t>
      </w:r>
      <w:r>
        <w:rPr>
          <w:i/>
        </w:rPr>
        <w:t>Button, Button</w:t>
      </w:r>
      <w:r>
        <w:t xml:space="preserve"> is </w:t>
      </w:r>
      <w:proofErr w:type="gramStart"/>
      <w:r>
        <w:t>actually constrained</w:t>
      </w:r>
      <w:proofErr w:type="gramEnd"/>
      <w:r>
        <w:t xml:space="preserve"> by neoliberal systems—reconstruction reassembles these fragments into sharper critical frameworks. By integrating Derrida’s destabilizing revelations with materialist theory e.g., Fisher’s analysis of late-capitalist coercion, reconstruction reframes the button not as a neutral object but as a predatory mechanism (Thaler &amp; Sunstein, 2021), embedding critique within the text’s own contradictions. This synthesis generates new models: Pandora’s myth, once deconstructed as divine scapegoating, can be reconstructed as a prototype for modern systems that disguise structural violence as individual failing. Thus, reconstruction transforms deconstruction’s ruptures into tools for rethinking agency, responsibility, and resistance—not as abstract concepts, but as contested battlegrounds within narrative and ideology.</w:t>
      </w:r>
    </w:p>
    <w:p w14:paraId="6D874E2D" w14:textId="77777777" w:rsidR="00F53264" w:rsidRDefault="00000000">
      <w:pPr>
        <w:pStyle w:val="Heading4"/>
        <w:spacing w:before="240" w:after="240" w:line="240" w:lineRule="auto"/>
        <w:ind w:firstLine="720"/>
      </w:pPr>
      <w:r>
        <w:t xml:space="preserve">When we piece these stories back together with new understanding, they </w:t>
      </w:r>
      <w:r>
        <w:lastRenderedPageBreak/>
        <w:t xml:space="preserve">become more than just warnings, they reflect deeper truths about power, ethics, and human nature. Pandora’s Box and </w:t>
      </w:r>
      <w:r>
        <w:rPr>
          <w:i/>
        </w:rPr>
        <w:t>Button, Button</w:t>
      </w:r>
      <w:r>
        <w:t xml:space="preserve"> both explore the consequences of temptation, but their real meaning shifts when we see them as stories about who controls the rules of the game. Pandora was not just a curious </w:t>
      </w:r>
      <w:proofErr w:type="gramStart"/>
      <w:r>
        <w:t>woman,</w:t>
      </w:r>
      <w:proofErr w:type="gramEnd"/>
      <w:r>
        <w:t xml:space="preserve"> she was a pawn in Zeus’ punishment of humanity. Norma was not just </w:t>
      </w:r>
      <w:proofErr w:type="gramStart"/>
      <w:r>
        <w:t>greedy,</w:t>
      </w:r>
      <w:proofErr w:type="gramEnd"/>
      <w:r>
        <w:t xml:space="preserve"> she was trapped in a rigged experiment where pressing the button was the only way the story could end. </w:t>
      </w:r>
    </w:p>
    <w:p w14:paraId="7ACEF779" w14:textId="77777777" w:rsidR="00F53264" w:rsidRDefault="00000000">
      <w:pPr>
        <w:pStyle w:val="Heading4"/>
        <w:spacing w:before="240" w:after="240" w:line="240" w:lineRule="auto"/>
        <w:ind w:firstLine="720"/>
      </w:pPr>
      <w:r>
        <w:t>Reconstructing these tales lets us ask bigger questions: What if Pandora’s box was not just about evil, but about the unavoidable risks of knowledge? What if Norma’s choice was not just selfish, but a commentary on how capitalism forces impossible decisions? The stories take on new life when we see them as mirrors of society, not just fables about personal weakness. Maybe hope stayed in Pandora’s box because suffering alone is not the whole story. Berlant’s (2011) concept of “cruel optimism” explains that people hold on to hope that ultimately hurt them in the end not because they choose to, but because the current system that we live in forces us, maybe Norma’s tragedy is not that she pressed the button, but that the system made her think she had a choice to grasp her happiness that is impossible for her and her husband to attain, therefore leave her no choice but to push the button and ultimately doom her husband at the end.</w:t>
      </w:r>
    </w:p>
    <w:p w14:paraId="70F8E925" w14:textId="77777777" w:rsidR="00F53264" w:rsidRDefault="00000000">
      <w:pPr>
        <w:pStyle w:val="Heading4"/>
        <w:spacing w:before="240" w:after="240" w:line="240" w:lineRule="auto"/>
        <w:ind w:firstLine="720"/>
      </w:pPr>
      <w:r>
        <w:t>In the end, these reconstructed stories remind us that the real danger is not curiosity or even selfishness, it is the unseen forces that shape our choices before we ever make them. The box and the button are still powerful symbols, but now they stand for something deeper: the way power hides behind stories, letting individuals take the blame while the true architects of suffering stay in the shadows. (Latour, 2017; Mbembe, 2020)</w:t>
      </w:r>
    </w:p>
    <w:p w14:paraId="18152AF4" w14:textId="77777777" w:rsidR="00F53264" w:rsidRDefault="00000000">
      <w:pPr>
        <w:pStyle w:val="Heading4"/>
        <w:spacing w:before="240" w:after="480" w:line="240" w:lineRule="auto"/>
        <w:ind w:firstLine="0"/>
        <w:rPr>
          <w:b/>
        </w:rPr>
      </w:pPr>
      <w:r>
        <w:rPr>
          <w:b/>
        </w:rPr>
        <w:t>Rigged System Reconstruction</w:t>
      </w:r>
    </w:p>
    <w:p w14:paraId="7F1D8583" w14:textId="77777777" w:rsidR="00F53264" w:rsidRDefault="00000000">
      <w:pPr>
        <w:pStyle w:val="Heading4"/>
        <w:spacing w:before="240" w:after="240" w:line="240" w:lineRule="auto"/>
        <w:ind w:firstLine="720"/>
      </w:pPr>
      <w:r>
        <w:t xml:space="preserve">The deconstruction and reconstruction of Richard Matheson's </w:t>
      </w:r>
      <w:r>
        <w:rPr>
          <w:i/>
        </w:rPr>
        <w:t>Button, Button</w:t>
      </w:r>
      <w:r>
        <w:t xml:space="preserve"> reveals a far more insidious </w:t>
      </w:r>
      <w:r>
        <w:t>interpretation of the story—one that shifts blame from Norma's individual morality to the predatory systems manipulating her. On the surface, the narrative frames Norma as greedy or selfish for pushing the button, but the truth is far more unsettling: Mr. Steward's organization knew she would press it all along because the entire experiment was designed to exploit people trapped in America's consumerist machine.</w:t>
      </w:r>
    </w:p>
    <w:p w14:paraId="2A97FF9B" w14:textId="77777777" w:rsidR="00F53264" w:rsidRDefault="00000000">
      <w:pPr>
        <w:pStyle w:val="Heading4"/>
        <w:spacing w:before="240" w:after="240" w:line="240" w:lineRule="auto"/>
        <w:ind w:firstLine="720"/>
      </w:pPr>
      <w:r>
        <w:t>The 1960s setting is crucial to understanding this rigged system. This was the peak of postwar consumer capitalism, where advertising saturated daily life—from television commercials to billboards, conditioning people to equate happiness with consumption (Miller et al., 2018). Norma, like many Americans, was caught in this cycle of conspicuous consumption, a term coined by economist Thorstein Veblen (1992) to describe how people buy luxury goods not out of necessity, but to signal status and keep up with societal pressures. By the 1960s, this had evolved into a relentless cultural force (West, 2004), making desire inescapable, especially for working-class women like Norma, who were constantly told they needed more but lacked the means to attain it.</w:t>
      </w:r>
    </w:p>
    <w:p w14:paraId="2435B14E" w14:textId="77777777" w:rsidR="00F53264" w:rsidRDefault="00000000">
      <w:pPr>
        <w:pStyle w:val="Heading4"/>
        <w:spacing w:before="240" w:after="240" w:line="240" w:lineRule="auto"/>
        <w:ind w:firstLine="720"/>
      </w:pPr>
      <w:r>
        <w:t>Mr. Steward’s button offer wasn’t just a test of morality; it was a trap set by the same system that bombarded Norma with ads. His organization preyed on her economic vulnerability, offering a Faustian bargain that appeared to solve her financial struggles while ensuring her downfall. The cruel irony—that the "unknown" victim was her husband—mirrors how capitalism often makes the working class unknowingly harm themselves in pursuit of illusory prosperity (Fisher, 2009).</w:t>
      </w:r>
    </w:p>
    <w:p w14:paraId="3ADFC891" w14:textId="77777777" w:rsidR="00F53264" w:rsidRDefault="00000000">
      <w:pPr>
        <w:pStyle w:val="Heading4"/>
        <w:spacing w:before="240" w:after="240" w:line="240" w:lineRule="auto"/>
        <w:ind w:firstLine="720"/>
      </w:pPr>
      <w:r>
        <w:t xml:space="preserve">In this reconstruction, Norma is not the villain but a </w:t>
      </w:r>
      <w:r>
        <w:rPr>
          <w:b/>
        </w:rPr>
        <w:t>v</w:t>
      </w:r>
      <w:r>
        <w:t>ictim of engineered desperation. The real evil lies not in her choice, but in the system that made pressing the button the only seemingly viable option. Just as Pandora was Zeus’ pawn, Norma was a casualty of a rigged economic game—one where the powerful (Mr. Steward’s organization) always win, and the marginalized (Norma and Arthur) pay the price.</w:t>
      </w:r>
    </w:p>
    <w:p w14:paraId="361E243D" w14:textId="77777777" w:rsidR="00F53264" w:rsidRDefault="00000000">
      <w:pPr>
        <w:pStyle w:val="Heading4"/>
        <w:spacing w:before="240" w:after="240" w:line="240" w:lineRule="auto"/>
        <w:ind w:firstLine="720"/>
      </w:pPr>
      <w:bookmarkStart w:id="3" w:name="_abcnfmfohvyx" w:colFirst="0" w:colLast="0"/>
      <w:bookmarkEnd w:id="3"/>
      <w:r>
        <w:lastRenderedPageBreak/>
        <w:t>The reconstructed alternative meaning hinges on this divergence; Pandora’s act is a cosmic inevitability, while Norma’s is a systemic inevitability. Zeus designs Pandora to fail, but his punishment is overt; Mr. Steward’s experiment, however, mimics capitalism’s false meritocracy, where Norma’s "choice" is statistically guaranteed by her socioeconomic position (Brouillette, 2020). This difference reflects modernity’s shift from mythic fatalism to</w:t>
      </w:r>
      <w:r>
        <w:rPr>
          <w:b/>
        </w:rPr>
        <w:t xml:space="preserve"> </w:t>
      </w:r>
      <w:r>
        <w:t>engineered precarity—what Mbembe (2019) terms "necropolitical arithmetic," where systems predetermine victims while maintaining the illusion of choice.</w:t>
      </w:r>
    </w:p>
    <w:p w14:paraId="3D610F87" w14:textId="77777777" w:rsidR="00F53264" w:rsidRDefault="00F53264">
      <w:pPr>
        <w:ind w:hanging="57"/>
        <w:jc w:val="left"/>
        <w:rPr>
          <w:rFonts w:ascii="Lustria" w:eastAsia="Lustria" w:hAnsi="Lustria" w:cs="Lustria"/>
        </w:rPr>
      </w:pPr>
    </w:p>
    <w:p w14:paraId="4F9D7FF0" w14:textId="77777777" w:rsidR="00F53264" w:rsidRDefault="00000000">
      <w:pPr>
        <w:pStyle w:val="Heading4"/>
        <w:spacing w:after="240" w:line="240" w:lineRule="auto"/>
        <w:ind w:firstLine="0"/>
        <w:rPr>
          <w:b/>
        </w:rPr>
      </w:pPr>
      <w:r>
        <w:rPr>
          <w:b/>
        </w:rPr>
        <w:t>CONCLUSION</w:t>
      </w:r>
    </w:p>
    <w:p w14:paraId="6842087B" w14:textId="77777777" w:rsidR="00F53264" w:rsidRDefault="00000000">
      <w:pPr>
        <w:pStyle w:val="Heading4"/>
        <w:spacing w:before="240" w:after="240" w:line="240" w:lineRule="auto"/>
        <w:ind w:firstLine="720"/>
      </w:pPr>
      <w:r>
        <w:t xml:space="preserve">The triadic analysis—construction, deconstruction, and reconstruction—reveals how texts like </w:t>
      </w:r>
      <w:r>
        <w:rPr>
          <w:i/>
        </w:rPr>
        <w:t>Button, Button</w:t>
      </w:r>
      <w:r>
        <w:t xml:space="preserve"> and Pandora’s myth function as dynamic sites of ideological negotiation. By first mapping their surface narratives, then destabilizing their binary oppositions (e.g., agency vs. systems), and finally reconstructing their latent critiques of power, this approach demonstrates how literature both reflects and contests dominant structures. The study contributes to literary studies by bridging post-structuralist critique (Derrida) with materialist theory (Fisher, Thaler &amp; Sunstein), offering a replicable framework to analyze how myths adapt across eras to legitimize or challenge oppression. Future research could apply this triad to other "rigged choice" narratives—from dystopian fiction to corporate allegories—or explore its pedagogical potential in teaching critical literacy. Ultimately, this method affirms that texts are not static artifacts but battlegrounds where meaning is continually unmade and remade. Deconstruction, however, exposes deeper contradictions. While Pandora's myth externalizes evil as divine retribution, </w:t>
      </w:r>
      <w:r>
        <w:rPr>
          <w:i/>
        </w:rPr>
        <w:t>Button, Button</w:t>
      </w:r>
      <w:r>
        <w:t xml:space="preserve"> internalizes it within systemic manipulation, where economic desperation (the $50,000 reward) replaces cosmic punishment. Norma's "choice" mirrors Pandora's curiosity, yet Matheson's twist - revealing she was always the intended victim - </w:t>
      </w:r>
      <w:r>
        <w:t>collapses the illusion of free will, exposing how power disguises control as freedom.</w:t>
      </w:r>
    </w:p>
    <w:p w14:paraId="484C3EE9" w14:textId="77777777" w:rsidR="00F53264" w:rsidRDefault="00000000">
      <w:pPr>
        <w:pStyle w:val="Heading4"/>
        <w:spacing w:before="240" w:after="240" w:line="240" w:lineRule="auto"/>
        <w:ind w:firstLine="720"/>
      </w:pPr>
      <w:r>
        <w:t>The reconstruction phase fundamentally transforms our understanding of both narratives. Where traditional readings stop at individual moral failure (Norma's greed), reconstruction reveals the architectural violence underlying both stories. Norma's button-pushing emerges not as a personal failing but as the inevitable outcome of what Fisher (2022) terms "capitalist realism" - a system that manufactures desperation while maintaining the fiction of choice. This reconstructed view exposes how both stories serve as allegories for systemic predation, whether through divine will (Pandora) or economic coercion (Norma), the true architects of suffering remain hidden while their victims bear both the consequences and the blame.</w:t>
      </w:r>
    </w:p>
    <w:p w14:paraId="30163D86" w14:textId="77777777" w:rsidR="00F53264" w:rsidRDefault="00000000">
      <w:pPr>
        <w:pStyle w:val="Heading2"/>
        <w:spacing w:before="280" w:after="280" w:line="240" w:lineRule="auto"/>
        <w:ind w:firstLine="720"/>
        <w:jc w:val="both"/>
        <w:rPr>
          <w:b w:val="0"/>
          <w:smallCaps w:val="0"/>
        </w:rPr>
      </w:pPr>
      <w:bookmarkStart w:id="4" w:name="_ppcypmfybdh0" w:colFirst="0" w:colLast="0"/>
      <w:bookmarkEnd w:id="4"/>
      <w:r>
        <w:rPr>
          <w:b w:val="0"/>
          <w:smallCaps w:val="0"/>
        </w:rPr>
        <w:t>Matheson critiques a world where economic desperation manipulates people into complicity with violence. The button exemplifies how power operates not through overt force but by designing illusions of agency. Ultimately, the story urges vigilance, what masquerades as personal responsibility may be systemic predation, and moral clarity demands questioning who benefits from the choices we’re offered. True autonomy begins by recognizing and resisting the hidden hands that shape our decisions.</w:t>
      </w:r>
    </w:p>
    <w:p w14:paraId="6042FF17" w14:textId="77777777" w:rsidR="00F53264" w:rsidRDefault="00000000">
      <w:pPr>
        <w:pStyle w:val="Heading2"/>
        <w:spacing w:before="280" w:after="280"/>
        <w:rPr>
          <w:sz w:val="24"/>
          <w:szCs w:val="24"/>
        </w:rPr>
      </w:pPr>
      <w:r>
        <w:rPr>
          <w:sz w:val="24"/>
          <w:szCs w:val="24"/>
        </w:rPr>
        <w:t xml:space="preserve">references </w:t>
      </w:r>
    </w:p>
    <w:p w14:paraId="05410527" w14:textId="77777777" w:rsidR="00F53264" w:rsidRDefault="00000000">
      <w:pPr>
        <w:pStyle w:val="Heading6"/>
        <w:spacing w:before="240" w:after="240"/>
        <w:ind w:left="990" w:hanging="720"/>
        <w:rPr>
          <w:sz w:val="20"/>
          <w:szCs w:val="20"/>
        </w:rPr>
      </w:pPr>
      <w:r>
        <w:rPr>
          <w:sz w:val="20"/>
          <w:szCs w:val="20"/>
        </w:rPr>
        <w:t xml:space="preserve">Ashraf, S. A. (2019). Construction of Self and Post-Modern Consumerism in Richard. </w:t>
      </w:r>
      <w:r>
        <w:rPr>
          <w:i/>
          <w:sz w:val="20"/>
          <w:szCs w:val="20"/>
        </w:rPr>
        <w:t>Research Journal of Language and Literature</w:t>
      </w:r>
      <w:r>
        <w:rPr>
          <w:sz w:val="20"/>
          <w:szCs w:val="20"/>
        </w:rPr>
        <w:t>, 46-68.</w:t>
      </w:r>
    </w:p>
    <w:p w14:paraId="2A6F5CF2" w14:textId="77777777" w:rsidR="00F53264" w:rsidRDefault="00000000">
      <w:pPr>
        <w:pStyle w:val="Heading6"/>
        <w:spacing w:before="240" w:after="240"/>
        <w:ind w:left="990" w:hanging="720"/>
        <w:rPr>
          <w:sz w:val="20"/>
          <w:szCs w:val="20"/>
        </w:rPr>
      </w:pPr>
      <w:proofErr w:type="spellStart"/>
      <w:r>
        <w:rPr>
          <w:sz w:val="20"/>
          <w:szCs w:val="20"/>
        </w:rPr>
        <w:t>Asmarani</w:t>
      </w:r>
      <w:proofErr w:type="spellEnd"/>
      <w:r>
        <w:rPr>
          <w:sz w:val="20"/>
          <w:szCs w:val="20"/>
        </w:rPr>
        <w:t xml:space="preserve">, R. (2020). CARELESS CHOICES, DREADFUL CONSEQUENCES: A COMPARATIVE STUDY OF W.W. JACOBS’ THE MONKEY’S PAW AND RICHARD MATHESON’S BUTTON, BUTTON. </w:t>
      </w:r>
      <w:proofErr w:type="spellStart"/>
      <w:r>
        <w:rPr>
          <w:i/>
          <w:sz w:val="20"/>
          <w:szCs w:val="20"/>
        </w:rPr>
        <w:t>Humanika</w:t>
      </w:r>
      <w:proofErr w:type="spellEnd"/>
      <w:r>
        <w:rPr>
          <w:sz w:val="20"/>
          <w:szCs w:val="20"/>
        </w:rPr>
        <w:t>, 133-146.</w:t>
      </w:r>
    </w:p>
    <w:p w14:paraId="0D4D7719" w14:textId="77777777" w:rsidR="00F53264" w:rsidRDefault="00000000">
      <w:pPr>
        <w:pStyle w:val="Heading6"/>
        <w:spacing w:before="240" w:after="240"/>
        <w:ind w:left="990" w:hanging="720"/>
        <w:rPr>
          <w:sz w:val="20"/>
          <w:szCs w:val="20"/>
        </w:rPr>
      </w:pPr>
      <w:r>
        <w:rPr>
          <w:sz w:val="20"/>
          <w:szCs w:val="20"/>
        </w:rPr>
        <w:lastRenderedPageBreak/>
        <w:t xml:space="preserve">Anwar, B. S. (2018). Maslow’s Hierarchy of Needs in “Button </w:t>
      </w:r>
      <w:proofErr w:type="spellStart"/>
      <w:r>
        <w:rPr>
          <w:sz w:val="20"/>
          <w:szCs w:val="20"/>
        </w:rPr>
        <w:t>Button</w:t>
      </w:r>
      <w:proofErr w:type="spellEnd"/>
      <w:r>
        <w:rPr>
          <w:sz w:val="20"/>
          <w:szCs w:val="20"/>
        </w:rPr>
        <w:t xml:space="preserve">” by Richard Matheson. </w:t>
      </w:r>
      <w:r>
        <w:rPr>
          <w:i/>
          <w:sz w:val="20"/>
          <w:szCs w:val="20"/>
        </w:rPr>
        <w:t>International Journal Online of Humanities</w:t>
      </w:r>
      <w:r>
        <w:rPr>
          <w:sz w:val="20"/>
          <w:szCs w:val="20"/>
        </w:rPr>
        <w:t>, 29–35.</w:t>
      </w:r>
    </w:p>
    <w:p w14:paraId="6FDEC2FC" w14:textId="77777777" w:rsidR="00F53264" w:rsidRDefault="00000000">
      <w:pPr>
        <w:pStyle w:val="Heading6"/>
        <w:spacing w:before="240" w:after="240"/>
        <w:ind w:left="990" w:hanging="720"/>
        <w:rPr>
          <w:sz w:val="20"/>
          <w:szCs w:val="20"/>
        </w:rPr>
      </w:pPr>
      <w:proofErr w:type="spellStart"/>
      <w:r>
        <w:rPr>
          <w:sz w:val="20"/>
          <w:szCs w:val="20"/>
        </w:rPr>
        <w:t>Athanassakis</w:t>
      </w:r>
      <w:proofErr w:type="spellEnd"/>
      <w:r>
        <w:rPr>
          <w:sz w:val="20"/>
          <w:szCs w:val="20"/>
        </w:rPr>
        <w:t xml:space="preserve">, A. N. (2022). </w:t>
      </w:r>
      <w:r>
        <w:rPr>
          <w:i/>
          <w:sz w:val="20"/>
          <w:szCs w:val="20"/>
        </w:rPr>
        <w:t xml:space="preserve">Hesiod: </w:t>
      </w:r>
      <w:proofErr w:type="gramStart"/>
      <w:r>
        <w:rPr>
          <w:i/>
          <w:sz w:val="20"/>
          <w:szCs w:val="20"/>
        </w:rPr>
        <w:t>Theogony,</w:t>
      </w:r>
      <w:proofErr w:type="gramEnd"/>
      <w:r>
        <w:rPr>
          <w:i/>
          <w:sz w:val="20"/>
          <w:szCs w:val="20"/>
        </w:rPr>
        <w:t xml:space="preserve"> works and days, shield.</w:t>
      </w:r>
      <w:r>
        <w:rPr>
          <w:sz w:val="20"/>
          <w:szCs w:val="20"/>
        </w:rPr>
        <w:t xml:space="preserve"> JHU Press.</w:t>
      </w:r>
    </w:p>
    <w:p w14:paraId="4FEB33A2" w14:textId="77777777" w:rsidR="00F53264" w:rsidRDefault="00000000">
      <w:pPr>
        <w:pStyle w:val="Heading6"/>
        <w:spacing w:before="240" w:after="240"/>
        <w:ind w:left="990" w:hanging="720"/>
        <w:rPr>
          <w:i/>
          <w:sz w:val="20"/>
          <w:szCs w:val="20"/>
        </w:rPr>
      </w:pPr>
      <w:r>
        <w:rPr>
          <w:sz w:val="20"/>
          <w:szCs w:val="20"/>
        </w:rPr>
        <w:t xml:space="preserve">Barthes R. (1966). </w:t>
      </w:r>
      <w:r>
        <w:rPr>
          <w:i/>
          <w:sz w:val="20"/>
          <w:szCs w:val="20"/>
        </w:rPr>
        <w:t>Criticism and Truth.</w:t>
      </w:r>
    </w:p>
    <w:p w14:paraId="0D28B1E2" w14:textId="77777777" w:rsidR="00F53264" w:rsidRDefault="00000000">
      <w:pPr>
        <w:pStyle w:val="Heading6"/>
        <w:spacing w:before="240" w:after="240"/>
        <w:ind w:left="990" w:hanging="720"/>
        <w:rPr>
          <w:i/>
          <w:sz w:val="20"/>
          <w:szCs w:val="20"/>
        </w:rPr>
      </w:pPr>
      <w:r>
        <w:rPr>
          <w:sz w:val="20"/>
          <w:szCs w:val="20"/>
        </w:rPr>
        <w:t>Barry, P. (2017).</w:t>
      </w:r>
      <w:r>
        <w:rPr>
          <w:i/>
          <w:sz w:val="20"/>
          <w:szCs w:val="20"/>
        </w:rPr>
        <w:t xml:space="preserve"> Beginning theory: An introduction to literary and cultural theory. </w:t>
      </w:r>
      <w:r>
        <w:rPr>
          <w:sz w:val="20"/>
          <w:szCs w:val="20"/>
        </w:rPr>
        <w:t>Manchester university press</w:t>
      </w:r>
      <w:r>
        <w:rPr>
          <w:i/>
          <w:sz w:val="20"/>
          <w:szCs w:val="20"/>
        </w:rPr>
        <w:t>.</w:t>
      </w:r>
    </w:p>
    <w:p w14:paraId="6D3CF162" w14:textId="77777777" w:rsidR="00F53264" w:rsidRDefault="00000000">
      <w:pPr>
        <w:pStyle w:val="Heading6"/>
        <w:spacing w:before="240" w:after="240"/>
        <w:ind w:left="990" w:hanging="720"/>
        <w:rPr>
          <w:sz w:val="20"/>
          <w:szCs w:val="20"/>
        </w:rPr>
      </w:pPr>
      <w:r>
        <w:rPr>
          <w:sz w:val="20"/>
          <w:szCs w:val="20"/>
        </w:rPr>
        <w:t xml:space="preserve">Brady, D. (2023). Poverty, not the poor. </w:t>
      </w:r>
      <w:r>
        <w:rPr>
          <w:i/>
          <w:sz w:val="20"/>
          <w:szCs w:val="20"/>
        </w:rPr>
        <w:t>Science Advances</w:t>
      </w:r>
      <w:r>
        <w:rPr>
          <w:sz w:val="20"/>
          <w:szCs w:val="20"/>
        </w:rPr>
        <w:t xml:space="preserve">, </w:t>
      </w:r>
      <w:r>
        <w:rPr>
          <w:i/>
          <w:sz w:val="20"/>
          <w:szCs w:val="20"/>
        </w:rPr>
        <w:t>9</w:t>
      </w:r>
      <w:r>
        <w:rPr>
          <w:sz w:val="20"/>
          <w:szCs w:val="20"/>
        </w:rPr>
        <w:t>(34). 10.1126</w:t>
      </w:r>
    </w:p>
    <w:p w14:paraId="560524FA" w14:textId="77777777" w:rsidR="00F53264" w:rsidRDefault="00000000">
      <w:pPr>
        <w:pStyle w:val="Heading6"/>
        <w:spacing w:before="240" w:after="240"/>
        <w:ind w:left="990" w:hanging="720"/>
        <w:rPr>
          <w:sz w:val="20"/>
          <w:szCs w:val="20"/>
        </w:rPr>
      </w:pPr>
      <w:r>
        <w:rPr>
          <w:sz w:val="20"/>
          <w:szCs w:val="20"/>
        </w:rPr>
        <w:t xml:space="preserve">Bressler, C. E. (2004). </w:t>
      </w:r>
      <w:r>
        <w:rPr>
          <w:i/>
          <w:sz w:val="20"/>
          <w:szCs w:val="20"/>
        </w:rPr>
        <w:t>Literary Criticism: an introduction to theory and practice.</w:t>
      </w:r>
      <w:r>
        <w:rPr>
          <w:sz w:val="20"/>
          <w:szCs w:val="20"/>
        </w:rPr>
        <w:t xml:space="preserve"> New Jersey: Prentice Hall.</w:t>
      </w:r>
    </w:p>
    <w:p w14:paraId="1E6865B6" w14:textId="77777777" w:rsidR="00F53264" w:rsidRDefault="00000000">
      <w:pPr>
        <w:pStyle w:val="Heading6"/>
        <w:spacing w:before="240" w:after="240"/>
        <w:ind w:left="990" w:hanging="720"/>
        <w:rPr>
          <w:sz w:val="20"/>
          <w:szCs w:val="20"/>
        </w:rPr>
      </w:pPr>
      <w:proofErr w:type="spellStart"/>
      <w:r>
        <w:rPr>
          <w:sz w:val="20"/>
          <w:szCs w:val="20"/>
        </w:rPr>
        <w:t>Brouilette</w:t>
      </w:r>
      <w:proofErr w:type="spellEnd"/>
      <w:r>
        <w:rPr>
          <w:sz w:val="20"/>
          <w:szCs w:val="20"/>
        </w:rPr>
        <w:t xml:space="preserve">, S. (2014). </w:t>
      </w:r>
      <w:r>
        <w:rPr>
          <w:i/>
          <w:sz w:val="20"/>
          <w:szCs w:val="20"/>
        </w:rPr>
        <w:t>Literature and the Creative Economy</w:t>
      </w:r>
      <w:r>
        <w:rPr>
          <w:sz w:val="20"/>
          <w:szCs w:val="20"/>
        </w:rPr>
        <w:t>. Stanford University Press.</w:t>
      </w:r>
    </w:p>
    <w:p w14:paraId="2612B742" w14:textId="77777777" w:rsidR="00F53264" w:rsidRDefault="00000000">
      <w:pPr>
        <w:pStyle w:val="Heading6"/>
        <w:spacing w:before="240" w:after="240"/>
        <w:ind w:left="990" w:hanging="720"/>
        <w:rPr>
          <w:sz w:val="20"/>
          <w:szCs w:val="20"/>
        </w:rPr>
      </w:pPr>
      <w:r>
        <w:rPr>
          <w:sz w:val="20"/>
          <w:szCs w:val="20"/>
        </w:rPr>
        <w:t xml:space="preserve">Carvalho, L. S., Meier, S., &amp; Wang, S. W. (2018). Poverty and Economic Decision-Making: Evidence from Changes in Financial Resources at Payday. </w:t>
      </w:r>
      <w:r>
        <w:rPr>
          <w:i/>
          <w:sz w:val="20"/>
          <w:szCs w:val="20"/>
        </w:rPr>
        <w:t>American Economic Review</w:t>
      </w:r>
      <w:r>
        <w:rPr>
          <w:sz w:val="20"/>
          <w:szCs w:val="20"/>
        </w:rPr>
        <w:t xml:space="preserve">, </w:t>
      </w:r>
      <w:r>
        <w:rPr>
          <w:i/>
          <w:sz w:val="20"/>
          <w:szCs w:val="20"/>
        </w:rPr>
        <w:t>106</w:t>
      </w:r>
      <w:r>
        <w:rPr>
          <w:sz w:val="20"/>
          <w:szCs w:val="20"/>
        </w:rPr>
        <w:t>, 84-260. https://www.aeaweb.org/articles?id=10.1257%2Faer.20140481&amp;source=post_page---------------------------</w:t>
      </w:r>
    </w:p>
    <w:p w14:paraId="370D2509" w14:textId="77777777" w:rsidR="00F53264" w:rsidRDefault="00000000">
      <w:pPr>
        <w:pStyle w:val="Heading6"/>
        <w:spacing w:before="240" w:after="240"/>
        <w:ind w:left="990" w:hanging="720"/>
        <w:rPr>
          <w:sz w:val="20"/>
          <w:szCs w:val="20"/>
        </w:rPr>
      </w:pPr>
      <w:r>
        <w:rPr>
          <w:sz w:val="20"/>
          <w:szCs w:val="20"/>
        </w:rPr>
        <w:t xml:space="preserve">Cresswell, J. W. (2018). </w:t>
      </w:r>
      <w:r>
        <w:rPr>
          <w:i/>
          <w:sz w:val="20"/>
          <w:szCs w:val="20"/>
        </w:rPr>
        <w:t>Qualitative Inquiry and Research Design: Choosing Among Five Approaches.</w:t>
      </w:r>
      <w:r>
        <w:rPr>
          <w:sz w:val="20"/>
          <w:szCs w:val="20"/>
        </w:rPr>
        <w:t xml:space="preserve"> California: Sage Publications.</w:t>
      </w:r>
    </w:p>
    <w:p w14:paraId="0E529DBE" w14:textId="77777777" w:rsidR="00F53264" w:rsidRDefault="00000000">
      <w:pPr>
        <w:pStyle w:val="Heading6"/>
        <w:spacing w:before="240" w:after="240"/>
        <w:ind w:left="990" w:hanging="720"/>
        <w:rPr>
          <w:sz w:val="20"/>
          <w:szCs w:val="20"/>
        </w:rPr>
      </w:pPr>
      <w:r>
        <w:rPr>
          <w:sz w:val="20"/>
          <w:szCs w:val="20"/>
        </w:rPr>
        <w:t xml:space="preserve">Culler, J. (2007). </w:t>
      </w:r>
      <w:r>
        <w:rPr>
          <w:i/>
          <w:sz w:val="20"/>
          <w:szCs w:val="20"/>
        </w:rPr>
        <w:t xml:space="preserve">On deconstruction: Theory and criticism after </w:t>
      </w:r>
      <w:r>
        <w:rPr>
          <w:i/>
          <w:sz w:val="20"/>
          <w:szCs w:val="20"/>
        </w:rPr>
        <w:t>structuralism</w:t>
      </w:r>
      <w:r>
        <w:rPr>
          <w:sz w:val="20"/>
          <w:szCs w:val="20"/>
        </w:rPr>
        <w:t>. Cornell University Press.</w:t>
      </w:r>
    </w:p>
    <w:p w14:paraId="127A42D7" w14:textId="77777777" w:rsidR="00F53264" w:rsidRDefault="00000000">
      <w:pPr>
        <w:pStyle w:val="Heading6"/>
        <w:spacing w:before="240" w:after="240"/>
        <w:ind w:left="990" w:hanging="720"/>
        <w:rPr>
          <w:sz w:val="20"/>
          <w:szCs w:val="20"/>
        </w:rPr>
      </w:pPr>
      <w:r>
        <w:rPr>
          <w:sz w:val="20"/>
          <w:szCs w:val="20"/>
        </w:rPr>
        <w:t xml:space="preserve">Currie, M. (2013). </w:t>
      </w:r>
      <w:r>
        <w:rPr>
          <w:i/>
          <w:sz w:val="20"/>
          <w:szCs w:val="20"/>
        </w:rPr>
        <w:t>The Invention of Deconstruction.</w:t>
      </w:r>
      <w:r>
        <w:rPr>
          <w:sz w:val="20"/>
          <w:szCs w:val="20"/>
        </w:rPr>
        <w:t xml:space="preserve"> London: Palgrave Macmillan London.</w:t>
      </w:r>
    </w:p>
    <w:p w14:paraId="7762EA26" w14:textId="77777777" w:rsidR="00F53264" w:rsidRDefault="00000000">
      <w:pPr>
        <w:pStyle w:val="Heading6"/>
        <w:spacing w:before="240" w:after="240"/>
        <w:ind w:left="990" w:hanging="720"/>
        <w:rPr>
          <w:sz w:val="20"/>
          <w:szCs w:val="20"/>
        </w:rPr>
      </w:pPr>
      <w:proofErr w:type="spellStart"/>
      <w:r>
        <w:rPr>
          <w:sz w:val="20"/>
          <w:szCs w:val="20"/>
        </w:rPr>
        <w:t>Deretic</w:t>
      </w:r>
      <w:proofErr w:type="spellEnd"/>
      <w:r>
        <w:rPr>
          <w:sz w:val="20"/>
          <w:szCs w:val="20"/>
        </w:rPr>
        <w:t xml:space="preserve">, I. (2020). Why are myths true: Plato on the veracity of myths. </w:t>
      </w:r>
      <w:r>
        <w:rPr>
          <w:i/>
          <w:sz w:val="20"/>
          <w:szCs w:val="20"/>
        </w:rPr>
        <w:t>Philosophy and Conflict Studies vol. 36, issue 3</w:t>
      </w:r>
      <w:r>
        <w:rPr>
          <w:sz w:val="20"/>
          <w:szCs w:val="20"/>
        </w:rPr>
        <w:t>, 441–451.</w:t>
      </w:r>
    </w:p>
    <w:p w14:paraId="28BDAEEA" w14:textId="77777777" w:rsidR="00F53264" w:rsidRDefault="00000000">
      <w:pPr>
        <w:pStyle w:val="Heading6"/>
        <w:spacing w:before="240" w:after="240"/>
        <w:ind w:left="990" w:hanging="720"/>
        <w:rPr>
          <w:sz w:val="20"/>
          <w:szCs w:val="20"/>
        </w:rPr>
      </w:pPr>
      <w:r>
        <w:rPr>
          <w:sz w:val="20"/>
          <w:szCs w:val="20"/>
        </w:rPr>
        <w:t xml:space="preserve">Derrida, J. (2016). </w:t>
      </w:r>
      <w:r>
        <w:rPr>
          <w:i/>
          <w:sz w:val="20"/>
          <w:szCs w:val="20"/>
        </w:rPr>
        <w:t>Of Grammatology</w:t>
      </w:r>
      <w:r>
        <w:rPr>
          <w:sz w:val="20"/>
          <w:szCs w:val="20"/>
        </w:rPr>
        <w:t xml:space="preserve"> (14th ed.). Johns Hopkins University Press.</w:t>
      </w:r>
    </w:p>
    <w:p w14:paraId="0FEC0B45" w14:textId="77777777" w:rsidR="00F53264" w:rsidRDefault="00000000">
      <w:pPr>
        <w:pStyle w:val="Heading6"/>
        <w:spacing w:before="240" w:after="240"/>
        <w:ind w:left="990" w:hanging="720"/>
        <w:rPr>
          <w:color w:val="1155CC"/>
          <w:sz w:val="20"/>
          <w:szCs w:val="20"/>
          <w:u w:val="single"/>
        </w:rPr>
      </w:pPr>
      <w:r>
        <w:rPr>
          <w:sz w:val="20"/>
          <w:szCs w:val="20"/>
        </w:rPr>
        <w:t xml:space="preserve">DiSibio, R. (2021, March 31). </w:t>
      </w:r>
      <w:r>
        <w:rPr>
          <w:i/>
          <w:sz w:val="20"/>
          <w:szCs w:val="20"/>
        </w:rPr>
        <w:t>Undergraduate Honors Thesis.</w:t>
      </w:r>
      <w:r>
        <w:rPr>
          <w:sz w:val="20"/>
          <w:szCs w:val="20"/>
        </w:rPr>
        <w:t xml:space="preserve"> Retrieved May 15, 2025, from CU Scholar University Libraries:</w:t>
      </w:r>
      <w:hyperlink r:id="rId11">
        <w:r>
          <w:rPr>
            <w:sz w:val="20"/>
            <w:szCs w:val="20"/>
          </w:rPr>
          <w:t xml:space="preserve"> </w:t>
        </w:r>
      </w:hyperlink>
      <w:hyperlink r:id="rId12">
        <w:r>
          <w:rPr>
            <w:color w:val="1155CC"/>
            <w:sz w:val="20"/>
            <w:szCs w:val="20"/>
            <w:u w:val="single"/>
          </w:rPr>
          <w:t>https://scholar.colorado.edu/concern/undergraduate_honors_theses/2r36tz70b</w:t>
        </w:r>
      </w:hyperlink>
    </w:p>
    <w:p w14:paraId="6D791BBF" w14:textId="77777777" w:rsidR="00F53264" w:rsidRDefault="00000000">
      <w:pPr>
        <w:pStyle w:val="Heading6"/>
        <w:spacing w:before="240" w:after="240"/>
        <w:ind w:left="990" w:hanging="720"/>
        <w:rPr>
          <w:sz w:val="20"/>
          <w:szCs w:val="20"/>
        </w:rPr>
      </w:pPr>
      <w:r>
        <w:rPr>
          <w:sz w:val="20"/>
          <w:szCs w:val="20"/>
        </w:rPr>
        <w:t xml:space="preserve">Fisher, M. (2022). </w:t>
      </w:r>
      <w:r>
        <w:rPr>
          <w:i/>
          <w:sz w:val="20"/>
          <w:szCs w:val="20"/>
        </w:rPr>
        <w:t>Capitalist Realism: Is There No Alternative?</w:t>
      </w:r>
      <w:r>
        <w:rPr>
          <w:sz w:val="20"/>
          <w:szCs w:val="20"/>
        </w:rPr>
        <w:t xml:space="preserve"> Zero Books.</w:t>
      </w:r>
    </w:p>
    <w:p w14:paraId="5A2A6BBE" w14:textId="77777777" w:rsidR="00F53264" w:rsidRDefault="00000000">
      <w:pPr>
        <w:pStyle w:val="Heading6"/>
        <w:spacing w:before="240" w:after="240"/>
        <w:ind w:left="990" w:hanging="720"/>
        <w:rPr>
          <w:sz w:val="20"/>
          <w:szCs w:val="20"/>
        </w:rPr>
      </w:pPr>
      <w:r>
        <w:rPr>
          <w:sz w:val="20"/>
          <w:szCs w:val="20"/>
        </w:rPr>
        <w:t xml:space="preserve">Eliade, M. (1998). </w:t>
      </w:r>
      <w:r>
        <w:rPr>
          <w:i/>
          <w:sz w:val="20"/>
          <w:szCs w:val="20"/>
        </w:rPr>
        <w:t>Myth and Reality.</w:t>
      </w:r>
      <w:r>
        <w:rPr>
          <w:sz w:val="20"/>
          <w:szCs w:val="20"/>
        </w:rPr>
        <w:t xml:space="preserve"> Waveland Press.</w:t>
      </w:r>
    </w:p>
    <w:p w14:paraId="28742D85" w14:textId="77777777" w:rsidR="00F53264" w:rsidRDefault="00000000">
      <w:pPr>
        <w:pStyle w:val="Heading6"/>
        <w:spacing w:before="240" w:after="240"/>
        <w:ind w:left="990" w:hanging="720"/>
        <w:rPr>
          <w:sz w:val="20"/>
          <w:szCs w:val="20"/>
        </w:rPr>
      </w:pPr>
      <w:r>
        <w:rPr>
          <w:sz w:val="20"/>
          <w:szCs w:val="20"/>
        </w:rPr>
        <w:t xml:space="preserve">Han, B.-C. (2017). </w:t>
      </w:r>
      <w:proofErr w:type="spellStart"/>
      <w:r>
        <w:rPr>
          <w:i/>
          <w:sz w:val="20"/>
          <w:szCs w:val="20"/>
        </w:rPr>
        <w:t>Psychopolitics</w:t>
      </w:r>
      <w:proofErr w:type="spellEnd"/>
      <w:r>
        <w:rPr>
          <w:i/>
          <w:sz w:val="20"/>
          <w:szCs w:val="20"/>
        </w:rPr>
        <w:t>: Neoliberalism and New Technologies of Power</w:t>
      </w:r>
      <w:r>
        <w:rPr>
          <w:sz w:val="20"/>
          <w:szCs w:val="20"/>
        </w:rPr>
        <w:t>. Verso Books.</w:t>
      </w:r>
    </w:p>
    <w:p w14:paraId="0C030476" w14:textId="77777777" w:rsidR="00F53264" w:rsidRDefault="00000000">
      <w:pPr>
        <w:pStyle w:val="Heading6"/>
        <w:spacing w:before="240" w:after="240"/>
        <w:ind w:left="990" w:hanging="720"/>
        <w:rPr>
          <w:sz w:val="20"/>
          <w:szCs w:val="20"/>
        </w:rPr>
      </w:pPr>
      <w:proofErr w:type="spellStart"/>
      <w:r>
        <w:rPr>
          <w:sz w:val="20"/>
          <w:szCs w:val="20"/>
        </w:rPr>
        <w:t>Haushoffer</w:t>
      </w:r>
      <w:proofErr w:type="spellEnd"/>
      <w:r>
        <w:rPr>
          <w:sz w:val="20"/>
          <w:szCs w:val="20"/>
        </w:rPr>
        <w:t xml:space="preserve">, J., &amp; Fehr, E. (2015). On the psychology of poverty. </w:t>
      </w:r>
      <w:r>
        <w:rPr>
          <w:i/>
          <w:sz w:val="20"/>
          <w:szCs w:val="20"/>
        </w:rPr>
        <w:t>Science</w:t>
      </w:r>
      <w:r>
        <w:rPr>
          <w:sz w:val="20"/>
          <w:szCs w:val="20"/>
        </w:rPr>
        <w:t xml:space="preserve">, </w:t>
      </w:r>
      <w:r>
        <w:rPr>
          <w:i/>
          <w:sz w:val="20"/>
          <w:szCs w:val="20"/>
        </w:rPr>
        <w:t>344</w:t>
      </w:r>
      <w:r>
        <w:rPr>
          <w:sz w:val="20"/>
          <w:szCs w:val="20"/>
        </w:rPr>
        <w:t>(6186), 862-867. 10.1126/science.1232491</w:t>
      </w:r>
    </w:p>
    <w:p w14:paraId="6ACEDEBC" w14:textId="77777777" w:rsidR="00F53264" w:rsidRDefault="00000000">
      <w:pPr>
        <w:pStyle w:val="Heading6"/>
        <w:spacing w:before="240" w:after="240"/>
        <w:ind w:left="990" w:hanging="720"/>
        <w:rPr>
          <w:sz w:val="20"/>
          <w:szCs w:val="20"/>
        </w:rPr>
      </w:pPr>
      <w:r>
        <w:rPr>
          <w:sz w:val="20"/>
          <w:szCs w:val="20"/>
        </w:rPr>
        <w:t xml:space="preserve">King, R. O. (2021). </w:t>
      </w:r>
      <w:r>
        <w:rPr>
          <w:i/>
          <w:sz w:val="20"/>
          <w:szCs w:val="20"/>
        </w:rPr>
        <w:t>Designing Social Inquiry: Scientific Inference in Qualitative Research, New Edition.</w:t>
      </w:r>
      <w:r>
        <w:rPr>
          <w:sz w:val="20"/>
          <w:szCs w:val="20"/>
        </w:rPr>
        <w:t xml:space="preserve"> Princeton: Princeton University Press.</w:t>
      </w:r>
    </w:p>
    <w:p w14:paraId="1D43B129" w14:textId="77777777" w:rsidR="00F53264" w:rsidRDefault="00000000">
      <w:pPr>
        <w:pStyle w:val="Heading6"/>
        <w:spacing w:before="240" w:after="240"/>
        <w:ind w:left="990" w:hanging="720"/>
        <w:rPr>
          <w:sz w:val="20"/>
          <w:szCs w:val="20"/>
        </w:rPr>
      </w:pPr>
      <w:r>
        <w:rPr>
          <w:sz w:val="20"/>
          <w:szCs w:val="20"/>
        </w:rPr>
        <w:lastRenderedPageBreak/>
        <w:t xml:space="preserve">Latour, B. (2017). </w:t>
      </w:r>
      <w:r>
        <w:rPr>
          <w:i/>
          <w:sz w:val="20"/>
          <w:szCs w:val="20"/>
        </w:rPr>
        <w:t>Facing Gaia: Eight Lectures on the New Climatic Regime</w:t>
      </w:r>
      <w:r>
        <w:rPr>
          <w:sz w:val="20"/>
          <w:szCs w:val="20"/>
        </w:rPr>
        <w:t>. John Wiley &amp; Sons.</w:t>
      </w:r>
    </w:p>
    <w:p w14:paraId="48F023B9" w14:textId="77777777" w:rsidR="00F53264" w:rsidRDefault="00000000">
      <w:pPr>
        <w:pStyle w:val="Heading6"/>
        <w:spacing w:before="240" w:after="240"/>
        <w:ind w:left="990" w:hanging="720"/>
        <w:rPr>
          <w:sz w:val="20"/>
          <w:szCs w:val="20"/>
        </w:rPr>
      </w:pPr>
      <w:r>
        <w:rPr>
          <w:sz w:val="20"/>
          <w:szCs w:val="20"/>
        </w:rPr>
        <w:t xml:space="preserve">Mbembe, A. (2020). </w:t>
      </w:r>
      <w:proofErr w:type="spellStart"/>
      <w:r>
        <w:rPr>
          <w:i/>
          <w:sz w:val="20"/>
          <w:szCs w:val="20"/>
        </w:rPr>
        <w:t>Necropolitics</w:t>
      </w:r>
      <w:proofErr w:type="spellEnd"/>
      <w:r>
        <w:rPr>
          <w:sz w:val="20"/>
          <w:szCs w:val="20"/>
        </w:rPr>
        <w:t>. Duke University Press.</w:t>
      </w:r>
    </w:p>
    <w:p w14:paraId="3F974207" w14:textId="77777777" w:rsidR="00F53264" w:rsidRDefault="00000000">
      <w:pPr>
        <w:pStyle w:val="Heading6"/>
        <w:spacing w:before="240" w:after="240"/>
        <w:ind w:left="990" w:hanging="720"/>
        <w:rPr>
          <w:sz w:val="20"/>
          <w:szCs w:val="20"/>
        </w:rPr>
      </w:pPr>
      <w:r>
        <w:rPr>
          <w:sz w:val="20"/>
          <w:szCs w:val="20"/>
        </w:rPr>
        <w:t xml:space="preserve">Miller, A. L., Berlo, J. C., Wolf, B. J., &amp; Roberts, J. L. (2018). </w:t>
      </w:r>
      <w:r>
        <w:rPr>
          <w:i/>
          <w:sz w:val="20"/>
          <w:szCs w:val="20"/>
        </w:rPr>
        <w:t>American Encounters: Art, History, and Cultural Identity</w:t>
      </w:r>
      <w:r>
        <w:rPr>
          <w:sz w:val="20"/>
          <w:szCs w:val="20"/>
        </w:rPr>
        <w:t>. Pearson Education, Inc.</w:t>
      </w:r>
    </w:p>
    <w:p w14:paraId="28CCEDDF" w14:textId="77777777" w:rsidR="00F53264" w:rsidRDefault="00000000">
      <w:pPr>
        <w:pStyle w:val="Heading6"/>
        <w:spacing w:before="240" w:after="240"/>
        <w:ind w:left="990" w:hanging="720"/>
        <w:rPr>
          <w:sz w:val="20"/>
          <w:szCs w:val="20"/>
        </w:rPr>
      </w:pPr>
      <w:r>
        <w:rPr>
          <w:sz w:val="20"/>
          <w:szCs w:val="20"/>
        </w:rPr>
        <w:t xml:space="preserve">Nawaz, Q. U. (2017). Speech Acts Analysis of Richard Matheson’s Button, Button. </w:t>
      </w:r>
      <w:r>
        <w:rPr>
          <w:i/>
          <w:sz w:val="20"/>
          <w:szCs w:val="20"/>
        </w:rPr>
        <w:t>Research on Humanities and Social Sciences Vol. 37 No. 3</w:t>
      </w:r>
      <w:r>
        <w:rPr>
          <w:sz w:val="20"/>
          <w:szCs w:val="20"/>
        </w:rPr>
        <w:t>, 31-33.</w:t>
      </w:r>
    </w:p>
    <w:p w14:paraId="58CE49FE" w14:textId="77777777" w:rsidR="00F53264" w:rsidRDefault="00000000">
      <w:pPr>
        <w:pStyle w:val="Heading6"/>
        <w:spacing w:before="240" w:after="240"/>
        <w:ind w:left="990" w:hanging="720"/>
        <w:rPr>
          <w:sz w:val="20"/>
          <w:szCs w:val="20"/>
        </w:rPr>
      </w:pPr>
      <w:proofErr w:type="spellStart"/>
      <w:r>
        <w:rPr>
          <w:sz w:val="20"/>
          <w:szCs w:val="20"/>
        </w:rPr>
        <w:t>Prasetya</w:t>
      </w:r>
      <w:proofErr w:type="spellEnd"/>
      <w:r>
        <w:rPr>
          <w:sz w:val="20"/>
          <w:szCs w:val="20"/>
        </w:rPr>
        <w:t xml:space="preserve">, A. Z., &amp; </w:t>
      </w:r>
      <w:proofErr w:type="spellStart"/>
      <w:r>
        <w:rPr>
          <w:sz w:val="20"/>
          <w:szCs w:val="20"/>
        </w:rPr>
        <w:t>Thohiriyah</w:t>
      </w:r>
      <w:proofErr w:type="spellEnd"/>
      <w:r>
        <w:rPr>
          <w:sz w:val="20"/>
          <w:szCs w:val="20"/>
        </w:rPr>
        <w:t xml:space="preserve">. (2024). SOCIAL IDENTITY AND ITS IMPACTS ON YOZO OBA’S ALIENATION IN </w:t>
      </w:r>
      <w:proofErr w:type="gramStart"/>
      <w:r>
        <w:rPr>
          <w:sz w:val="20"/>
          <w:szCs w:val="20"/>
        </w:rPr>
        <w:t>“ NO</w:t>
      </w:r>
      <w:proofErr w:type="gramEnd"/>
      <w:r>
        <w:rPr>
          <w:sz w:val="20"/>
          <w:szCs w:val="20"/>
        </w:rPr>
        <w:t xml:space="preserve"> LONGER </w:t>
      </w:r>
      <w:proofErr w:type="gramStart"/>
      <w:r>
        <w:rPr>
          <w:sz w:val="20"/>
          <w:szCs w:val="20"/>
        </w:rPr>
        <w:t>HUMAN .</w:t>
      </w:r>
      <w:proofErr w:type="gramEnd"/>
      <w:r>
        <w:rPr>
          <w:sz w:val="20"/>
          <w:szCs w:val="20"/>
        </w:rPr>
        <w:t xml:space="preserve">” </w:t>
      </w:r>
      <w:r>
        <w:rPr>
          <w:i/>
          <w:sz w:val="20"/>
          <w:szCs w:val="20"/>
        </w:rPr>
        <w:t xml:space="preserve">BASIS: </w:t>
      </w:r>
      <w:proofErr w:type="spellStart"/>
      <w:r>
        <w:rPr>
          <w:i/>
          <w:sz w:val="20"/>
          <w:szCs w:val="20"/>
        </w:rPr>
        <w:t>Jurnal</w:t>
      </w:r>
      <w:proofErr w:type="spellEnd"/>
      <w:r>
        <w:rPr>
          <w:i/>
          <w:sz w:val="20"/>
          <w:szCs w:val="20"/>
        </w:rPr>
        <w:t xml:space="preserve"> Bahasa Dan Sastra </w:t>
      </w:r>
      <w:proofErr w:type="spellStart"/>
      <w:r>
        <w:rPr>
          <w:i/>
          <w:sz w:val="20"/>
          <w:szCs w:val="20"/>
        </w:rPr>
        <w:t>Inggris</w:t>
      </w:r>
      <w:proofErr w:type="spellEnd"/>
      <w:r>
        <w:rPr>
          <w:sz w:val="20"/>
          <w:szCs w:val="20"/>
        </w:rPr>
        <w:t>, 161–172.</w:t>
      </w:r>
    </w:p>
    <w:p w14:paraId="7CF98823" w14:textId="77777777" w:rsidR="00F53264" w:rsidRDefault="00000000">
      <w:pPr>
        <w:pStyle w:val="Heading6"/>
        <w:spacing w:before="240" w:after="240"/>
        <w:ind w:left="990" w:hanging="720"/>
        <w:rPr>
          <w:sz w:val="20"/>
          <w:szCs w:val="20"/>
        </w:rPr>
      </w:pPr>
      <w:r>
        <w:rPr>
          <w:sz w:val="20"/>
          <w:szCs w:val="20"/>
        </w:rPr>
        <w:t xml:space="preserve">R Samuel, P. T. (2021). </w:t>
      </w:r>
      <w:r>
        <w:rPr>
          <w:i/>
          <w:sz w:val="20"/>
          <w:szCs w:val="20"/>
        </w:rPr>
        <w:t>The myths we live by.</w:t>
      </w:r>
      <w:r>
        <w:rPr>
          <w:sz w:val="20"/>
          <w:szCs w:val="20"/>
        </w:rPr>
        <w:t xml:space="preserve"> Routledge.</w:t>
      </w:r>
    </w:p>
    <w:p w14:paraId="0BE89204" w14:textId="77777777" w:rsidR="00F53264" w:rsidRDefault="00000000">
      <w:pPr>
        <w:pStyle w:val="Heading6"/>
        <w:spacing w:before="240" w:after="240"/>
        <w:ind w:left="990" w:hanging="720"/>
        <w:rPr>
          <w:sz w:val="20"/>
          <w:szCs w:val="20"/>
        </w:rPr>
      </w:pPr>
      <w:r>
        <w:rPr>
          <w:sz w:val="20"/>
          <w:szCs w:val="20"/>
        </w:rPr>
        <w:t xml:space="preserve">Scott, I. (2023). Pandora’s (Atomic) Box: Religious Myth as a Guide for Semiotic Communication. </w:t>
      </w:r>
      <w:r>
        <w:rPr>
          <w:i/>
          <w:sz w:val="20"/>
          <w:szCs w:val="20"/>
        </w:rPr>
        <w:t>The Macksey Journal</w:t>
      </w:r>
      <w:r>
        <w:rPr>
          <w:sz w:val="20"/>
          <w:szCs w:val="20"/>
        </w:rPr>
        <w:t>.</w:t>
      </w:r>
    </w:p>
    <w:p w14:paraId="74365B1F" w14:textId="77777777" w:rsidR="00F53264" w:rsidRDefault="00000000">
      <w:pPr>
        <w:pStyle w:val="Heading6"/>
        <w:spacing w:before="240" w:after="240"/>
        <w:ind w:left="990" w:hanging="720"/>
        <w:rPr>
          <w:sz w:val="20"/>
          <w:szCs w:val="20"/>
        </w:rPr>
      </w:pPr>
      <w:r>
        <w:rPr>
          <w:sz w:val="20"/>
          <w:szCs w:val="20"/>
        </w:rPr>
        <w:t xml:space="preserve">Sheehy-Skeffington, J., &amp; Haushofer, J. (2015). The </w:t>
      </w:r>
      <w:proofErr w:type="spellStart"/>
      <w:r>
        <w:rPr>
          <w:sz w:val="20"/>
          <w:szCs w:val="20"/>
        </w:rPr>
        <w:t>behavioural</w:t>
      </w:r>
      <w:proofErr w:type="spellEnd"/>
      <w:r>
        <w:rPr>
          <w:sz w:val="20"/>
          <w:szCs w:val="20"/>
        </w:rPr>
        <w:t xml:space="preserve"> economics of poverty. In </w:t>
      </w:r>
      <w:r>
        <w:rPr>
          <w:i/>
          <w:sz w:val="20"/>
          <w:szCs w:val="20"/>
        </w:rPr>
        <w:t xml:space="preserve">Barriers to and Opportunities for Poverty Reduction: Prospects for private </w:t>
      </w:r>
      <w:r>
        <w:rPr>
          <w:i/>
          <w:sz w:val="20"/>
          <w:szCs w:val="20"/>
        </w:rPr>
        <w:t>sector-led interventions</w:t>
      </w:r>
      <w:r>
        <w:rPr>
          <w:sz w:val="20"/>
          <w:szCs w:val="20"/>
        </w:rPr>
        <w:t xml:space="preserve"> (pp. 96-112). United Nations Development </w:t>
      </w:r>
      <w:proofErr w:type="spellStart"/>
      <w:r>
        <w:rPr>
          <w:sz w:val="20"/>
          <w:szCs w:val="20"/>
        </w:rPr>
        <w:t>Programme</w:t>
      </w:r>
      <w:proofErr w:type="spellEnd"/>
      <w:r>
        <w:rPr>
          <w:sz w:val="20"/>
          <w:szCs w:val="20"/>
        </w:rPr>
        <w:t>.</w:t>
      </w:r>
    </w:p>
    <w:p w14:paraId="6452B2E3" w14:textId="77777777" w:rsidR="00F53264" w:rsidRDefault="00000000">
      <w:pPr>
        <w:pStyle w:val="Heading6"/>
        <w:spacing w:before="240" w:after="240"/>
        <w:ind w:left="990" w:hanging="720"/>
        <w:rPr>
          <w:sz w:val="20"/>
          <w:szCs w:val="20"/>
        </w:rPr>
      </w:pPr>
      <w:proofErr w:type="spellStart"/>
      <w:r>
        <w:rPr>
          <w:sz w:val="20"/>
          <w:szCs w:val="20"/>
        </w:rPr>
        <w:t>Sikirivwa</w:t>
      </w:r>
      <w:proofErr w:type="spellEnd"/>
      <w:r>
        <w:rPr>
          <w:sz w:val="20"/>
          <w:szCs w:val="20"/>
        </w:rPr>
        <w:t xml:space="preserve">, M. K. (2020). DECONSTRUCTION THEORY AND ITS BACKGROUND. </w:t>
      </w:r>
      <w:r>
        <w:rPr>
          <w:i/>
          <w:sz w:val="20"/>
          <w:szCs w:val="20"/>
        </w:rPr>
        <w:t>American Journal of Humanities and Social Sciences Research</w:t>
      </w:r>
      <w:r>
        <w:rPr>
          <w:sz w:val="20"/>
          <w:szCs w:val="20"/>
        </w:rPr>
        <w:t>, 44-72.</w:t>
      </w:r>
    </w:p>
    <w:p w14:paraId="53A5AD9E" w14:textId="77777777" w:rsidR="00F53264" w:rsidRDefault="00000000">
      <w:pPr>
        <w:pStyle w:val="Heading6"/>
        <w:spacing w:before="240" w:after="240"/>
        <w:ind w:left="990" w:hanging="720"/>
        <w:rPr>
          <w:b/>
          <w:sz w:val="20"/>
          <w:szCs w:val="20"/>
        </w:rPr>
      </w:pPr>
      <w:r>
        <w:rPr>
          <w:sz w:val="20"/>
          <w:szCs w:val="20"/>
        </w:rPr>
        <w:t xml:space="preserve">Syed, N. F. (2021). Psychoanalysis of Norma’s Character in Button </w:t>
      </w:r>
      <w:proofErr w:type="spellStart"/>
      <w:r>
        <w:rPr>
          <w:sz w:val="20"/>
          <w:szCs w:val="20"/>
        </w:rPr>
        <w:t>Button</w:t>
      </w:r>
      <w:proofErr w:type="spellEnd"/>
      <w:r>
        <w:rPr>
          <w:sz w:val="20"/>
          <w:szCs w:val="20"/>
        </w:rPr>
        <w:t xml:space="preserve"> by Richard Matheson. </w:t>
      </w:r>
      <w:r>
        <w:rPr>
          <w:i/>
          <w:sz w:val="20"/>
          <w:szCs w:val="20"/>
        </w:rPr>
        <w:t>International Journal of Multidisciplinary Research and Explorer Volume No. 1, Issue. 10</w:t>
      </w:r>
      <w:r>
        <w:rPr>
          <w:sz w:val="20"/>
          <w:szCs w:val="20"/>
        </w:rPr>
        <w:t>, 78-85</w:t>
      </w:r>
      <w:r>
        <w:rPr>
          <w:b/>
          <w:sz w:val="20"/>
          <w:szCs w:val="20"/>
        </w:rPr>
        <w:t>.</w:t>
      </w:r>
    </w:p>
    <w:p w14:paraId="1602699B" w14:textId="77777777" w:rsidR="00F53264" w:rsidRDefault="00000000">
      <w:pPr>
        <w:pStyle w:val="Heading6"/>
        <w:spacing w:before="240" w:after="240"/>
        <w:ind w:left="990" w:hanging="720"/>
        <w:rPr>
          <w:sz w:val="20"/>
          <w:szCs w:val="20"/>
        </w:rPr>
      </w:pPr>
      <w:r>
        <w:rPr>
          <w:sz w:val="20"/>
          <w:szCs w:val="20"/>
        </w:rPr>
        <w:t>Thaler, R. H., &amp; Sunstein, C. R. (2021). Nudge: The final edition. Penguin.</w:t>
      </w:r>
    </w:p>
    <w:p w14:paraId="759A25AA" w14:textId="77777777" w:rsidR="00F53264" w:rsidRDefault="00000000">
      <w:pPr>
        <w:pStyle w:val="Heading6"/>
        <w:spacing w:before="240" w:after="240"/>
        <w:ind w:left="990" w:hanging="720"/>
        <w:rPr>
          <w:sz w:val="20"/>
          <w:szCs w:val="20"/>
        </w:rPr>
      </w:pPr>
      <w:r>
        <w:rPr>
          <w:sz w:val="20"/>
          <w:szCs w:val="20"/>
        </w:rPr>
        <w:t xml:space="preserve">West, P. (2004). </w:t>
      </w:r>
      <w:r>
        <w:rPr>
          <w:i/>
          <w:sz w:val="20"/>
          <w:szCs w:val="20"/>
        </w:rPr>
        <w:t xml:space="preserve">Conspicuous Compassion: Why Sometimes It Really Is Cruel </w:t>
      </w:r>
      <w:proofErr w:type="gramStart"/>
      <w:r>
        <w:rPr>
          <w:i/>
          <w:sz w:val="20"/>
          <w:szCs w:val="20"/>
        </w:rPr>
        <w:t>To</w:t>
      </w:r>
      <w:proofErr w:type="gramEnd"/>
      <w:r>
        <w:rPr>
          <w:i/>
          <w:sz w:val="20"/>
          <w:szCs w:val="20"/>
        </w:rPr>
        <w:t xml:space="preserve"> Be Kind</w:t>
      </w:r>
      <w:r>
        <w:rPr>
          <w:sz w:val="20"/>
          <w:szCs w:val="20"/>
        </w:rPr>
        <w:t>. Coronet Books.</w:t>
      </w:r>
    </w:p>
    <w:p w14:paraId="35A3DA1A" w14:textId="77777777" w:rsidR="00F53264" w:rsidRDefault="00000000">
      <w:pPr>
        <w:pStyle w:val="Heading6"/>
        <w:spacing w:before="240" w:after="240"/>
        <w:ind w:left="990" w:hanging="720"/>
        <w:rPr>
          <w:sz w:val="20"/>
          <w:szCs w:val="20"/>
        </w:rPr>
      </w:pPr>
      <w:proofErr w:type="spellStart"/>
      <w:r>
        <w:rPr>
          <w:sz w:val="20"/>
          <w:szCs w:val="20"/>
        </w:rPr>
        <w:t>Yamb</w:t>
      </w:r>
      <w:proofErr w:type="spellEnd"/>
      <w:r>
        <w:rPr>
          <w:sz w:val="20"/>
          <w:szCs w:val="20"/>
        </w:rPr>
        <w:t xml:space="preserve">, G. D. (2024). </w:t>
      </w:r>
      <w:r>
        <w:rPr>
          <w:i/>
          <w:sz w:val="20"/>
          <w:szCs w:val="20"/>
        </w:rPr>
        <w:t xml:space="preserve">Decolonizing Knowledge in Africa: </w:t>
      </w:r>
      <w:proofErr w:type="spellStart"/>
      <w:r>
        <w:rPr>
          <w:i/>
          <w:sz w:val="20"/>
          <w:szCs w:val="20"/>
        </w:rPr>
        <w:t>Mudimbe’s</w:t>
      </w:r>
      <w:proofErr w:type="spellEnd"/>
      <w:r>
        <w:rPr>
          <w:i/>
          <w:sz w:val="20"/>
          <w:szCs w:val="20"/>
        </w:rPr>
        <w:t xml:space="preserve"> Philosophical Deconstruction of the Postcolonial Event.</w:t>
      </w:r>
      <w:r>
        <w:rPr>
          <w:sz w:val="20"/>
          <w:szCs w:val="20"/>
        </w:rPr>
        <w:t xml:space="preserve"> Palgrave Macmillan.</w:t>
      </w:r>
    </w:p>
    <w:p w14:paraId="69F2EE23" w14:textId="77777777" w:rsidR="00F53264" w:rsidRDefault="00000000">
      <w:pPr>
        <w:pStyle w:val="Heading6"/>
        <w:spacing w:before="240" w:after="240"/>
        <w:ind w:left="990" w:hanging="720"/>
        <w:rPr>
          <w:sz w:val="20"/>
          <w:szCs w:val="20"/>
        </w:rPr>
      </w:pPr>
      <w:r>
        <w:rPr>
          <w:sz w:val="20"/>
          <w:szCs w:val="20"/>
        </w:rPr>
        <w:t>Yokota, G. (2020). The Power of Metaphor and Myth: Pandora's Box.</w:t>
      </w:r>
    </w:p>
    <w:p w14:paraId="27A694A0" w14:textId="77777777" w:rsidR="00F53264" w:rsidRDefault="00000000">
      <w:pPr>
        <w:pStyle w:val="Heading6"/>
        <w:spacing w:before="240" w:after="240"/>
        <w:ind w:left="990" w:hanging="720"/>
        <w:rPr>
          <w:sz w:val="20"/>
          <w:szCs w:val="20"/>
        </w:rPr>
      </w:pPr>
      <w:r>
        <w:rPr>
          <w:sz w:val="20"/>
          <w:szCs w:val="20"/>
        </w:rPr>
        <w:t xml:space="preserve">Veblen, T. (1992). </w:t>
      </w:r>
      <w:r>
        <w:rPr>
          <w:i/>
          <w:sz w:val="20"/>
          <w:szCs w:val="20"/>
        </w:rPr>
        <w:t>The Theory of the Leisure Class</w:t>
      </w:r>
      <w:r>
        <w:rPr>
          <w:sz w:val="20"/>
          <w:szCs w:val="20"/>
        </w:rPr>
        <w:t xml:space="preserve"> (1st ed.). Routledge.</w:t>
      </w:r>
    </w:p>
    <w:p w14:paraId="3CA084C8" w14:textId="77777777" w:rsidR="00F53264" w:rsidRDefault="00000000">
      <w:pPr>
        <w:pStyle w:val="Heading6"/>
        <w:spacing w:before="240" w:after="240"/>
        <w:ind w:left="990" w:hanging="720"/>
        <w:rPr>
          <w:sz w:val="20"/>
          <w:szCs w:val="20"/>
        </w:rPr>
        <w:sectPr w:rsidR="00F53264">
          <w:type w:val="continuous"/>
          <w:pgSz w:w="11907" w:h="16839"/>
          <w:pgMar w:top="1155" w:right="1275" w:bottom="1246" w:left="1701" w:header="510" w:footer="510" w:gutter="0"/>
          <w:cols w:num="2" w:space="720" w:equalWidth="0">
            <w:col w:w="4253" w:space="425"/>
            <w:col w:w="4253" w:space="0"/>
          </w:cols>
        </w:sectPr>
      </w:pPr>
      <w:bookmarkStart w:id="5" w:name="_t831zgyga8a9" w:colFirst="0" w:colLast="0"/>
      <w:bookmarkEnd w:id="5"/>
      <w:r>
        <w:rPr>
          <w:rFonts w:ascii="Times New Roman" w:eastAsia="Times New Roman" w:hAnsi="Times New Roman" w:cs="Times New Roman"/>
          <w:sz w:val="20"/>
          <w:szCs w:val="20"/>
        </w:rPr>
        <w:t>Ž</w:t>
      </w:r>
      <w:r>
        <w:rPr>
          <w:sz w:val="20"/>
          <w:szCs w:val="20"/>
        </w:rPr>
        <w:t>i</w:t>
      </w:r>
      <w:r>
        <w:rPr>
          <w:rFonts w:ascii="Times New Roman" w:eastAsia="Times New Roman" w:hAnsi="Times New Roman" w:cs="Times New Roman"/>
          <w:sz w:val="20"/>
          <w:szCs w:val="20"/>
        </w:rPr>
        <w:t>ž</w:t>
      </w:r>
      <w:r>
        <w:rPr>
          <w:sz w:val="20"/>
          <w:szCs w:val="20"/>
        </w:rPr>
        <w:t xml:space="preserve">ek, S. (2021). </w:t>
      </w:r>
      <w:r>
        <w:rPr>
          <w:i/>
          <w:sz w:val="20"/>
          <w:szCs w:val="20"/>
        </w:rPr>
        <w:t>Heaven in Disorder</w:t>
      </w:r>
      <w:r>
        <w:rPr>
          <w:sz w:val="20"/>
          <w:szCs w:val="20"/>
        </w:rPr>
        <w:t>. OR Book.</w:t>
      </w:r>
    </w:p>
    <w:p w14:paraId="7512D182" w14:textId="77777777" w:rsidR="00F53264" w:rsidRDefault="00F53264">
      <w:pPr>
        <w:tabs>
          <w:tab w:val="left" w:pos="240"/>
          <w:tab w:val="center" w:pos="4465"/>
        </w:tabs>
        <w:ind w:left="0"/>
        <w:jc w:val="both"/>
        <w:rPr>
          <w:rFonts w:ascii="Lustria" w:eastAsia="Lustria" w:hAnsi="Lustria" w:cs="Lustria"/>
        </w:rPr>
      </w:pPr>
    </w:p>
    <w:sectPr w:rsidR="00F53264">
      <w:type w:val="continuous"/>
      <w:pgSz w:w="11907" w:h="16839"/>
      <w:pgMar w:top="1701" w:right="1275" w:bottom="1246" w:left="1701"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267FE" w14:textId="77777777" w:rsidR="009970F3" w:rsidRDefault="009970F3">
      <w:r>
        <w:separator/>
      </w:r>
    </w:p>
  </w:endnote>
  <w:endnote w:type="continuationSeparator" w:id="0">
    <w:p w14:paraId="1B86EF5A" w14:textId="77777777" w:rsidR="009970F3" w:rsidRDefault="0099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54CE9EF5-93BE-244C-911D-A9CC92215313}"/>
    <w:embedBold r:id="rId2" w:fontKey="{340A8252-A400-F348-8B4A-26AD4B5513EB}"/>
  </w:font>
  <w:font w:name="Lustria">
    <w:altName w:val="Calibri"/>
    <w:panose1 w:val="020B0604020202020204"/>
    <w:charset w:val="00"/>
    <w:family w:val="auto"/>
    <w:pitch w:val="default"/>
    <w:embedBold r:id="rId4" w:fontKey="{9611943C-3F62-DC4A-86FE-1B9DE8D6C9C6}"/>
    <w:embedItalic r:id="rId5" w:fontKey="{3D37FB26-6EB2-D749-A1AC-E0266F789E41}"/>
    <w:embedBoldItalic r:id="rId6" w:fontKey="{F9E9F551-FC60-134E-8DBB-657098AFD50F}"/>
  </w:font>
  <w:font w:name="Times New Roman">
    <w:panose1 w:val="02020603050405020304"/>
    <w:charset w:val="00"/>
    <w:family w:val="roman"/>
    <w:pitch w:val="variable"/>
    <w:sig w:usb0="E0002EFF" w:usb1="C000785B" w:usb2="00000009" w:usb3="00000000" w:csb0="000001FF" w:csb1="00000000"/>
    <w:embedRegular r:id="rId7" w:fontKey="{6BC5D3E2-06A1-4C43-B950-6AC52E58EA7A}"/>
  </w:font>
  <w:font w:name="Georgia">
    <w:panose1 w:val="02040502050405020303"/>
    <w:charset w:val="00"/>
    <w:family w:val="roman"/>
    <w:pitch w:val="variable"/>
    <w:sig w:usb0="00000287" w:usb1="00000000" w:usb2="00000000" w:usb3="00000000" w:csb0="0000009F" w:csb1="00000000"/>
    <w:embedRegular r:id="rId8" w:fontKey="{26B817F6-20BD-A54C-8D9F-5756098410C8}"/>
    <w:embedItalic r:id="rId9" w:fontKey="{97498DF7-6717-0646-B51D-8D3102C07931}"/>
  </w:font>
  <w:font w:name="___WRD_EMBED_SUB_40">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embedRegular r:id="rId11" w:fontKey="{91EEB609-90AF-8244-8DEA-F3BB346239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A71DE" w14:textId="77777777" w:rsidR="00F53264" w:rsidRDefault="00F53264">
    <w:pPr>
      <w:widowControl w:val="0"/>
      <w:pBdr>
        <w:top w:val="nil"/>
        <w:left w:val="nil"/>
        <w:bottom w:val="nil"/>
        <w:right w:val="nil"/>
        <w:between w:val="nil"/>
      </w:pBdr>
      <w:spacing w:line="276" w:lineRule="auto"/>
      <w:ind w:left="0" w:right="0"/>
      <w:jc w:val="left"/>
      <w:rPr>
        <w:color w:val="000000"/>
      </w:rPr>
    </w:pPr>
  </w:p>
  <w:tbl>
    <w:tblPr>
      <w:tblStyle w:val="a0"/>
      <w:tblW w:w="8495" w:type="dxa"/>
      <w:tblInd w:w="-165"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8495"/>
    </w:tblGrid>
    <w:tr w:rsidR="00F53264" w14:paraId="78CFDDDB" w14:textId="77777777">
      <w:tc>
        <w:tcPr>
          <w:tcW w:w="8495" w:type="dxa"/>
        </w:tcPr>
        <w:p w14:paraId="41DF40D8" w14:textId="77777777" w:rsidR="00F53264" w:rsidRDefault="00000000">
          <w:pPr>
            <w:pBdr>
              <w:top w:val="nil"/>
              <w:left w:val="nil"/>
              <w:bottom w:val="nil"/>
              <w:right w:val="nil"/>
              <w:between w:val="nil"/>
            </w:pBdr>
            <w:spacing w:line="276" w:lineRule="auto"/>
            <w:ind w:left="0" w:right="0"/>
            <w:jc w:val="right"/>
            <w:rPr>
              <w:rFonts w:ascii="Lustria" w:eastAsia="Lustria" w:hAnsi="Lustria" w:cs="Lustria"/>
              <w:color w:val="000000"/>
              <w:sz w:val="16"/>
              <w:szCs w:val="16"/>
            </w:rPr>
          </w:pPr>
          <w:r>
            <w:rPr>
              <w:rFonts w:ascii="Lustria" w:eastAsia="Lustria" w:hAnsi="Lustria" w:cs="Lustria"/>
              <w:color w:val="000000"/>
              <w:sz w:val="16"/>
              <w:szCs w:val="16"/>
            </w:rPr>
            <w:t>p-ISSN: 2252-6323</w:t>
          </w:r>
        </w:p>
        <w:p w14:paraId="2CC7673A" w14:textId="77777777" w:rsidR="00F53264" w:rsidRDefault="00000000">
          <w:pPr>
            <w:pBdr>
              <w:top w:val="nil"/>
              <w:left w:val="nil"/>
              <w:bottom w:val="nil"/>
              <w:right w:val="nil"/>
              <w:between w:val="nil"/>
            </w:pBdr>
            <w:spacing w:line="276" w:lineRule="auto"/>
            <w:ind w:left="0" w:right="0"/>
            <w:jc w:val="right"/>
            <w:rPr>
              <w:rFonts w:ascii="Lustria" w:eastAsia="Lustria" w:hAnsi="Lustria" w:cs="Lustria"/>
              <w:color w:val="000000"/>
              <w:sz w:val="16"/>
              <w:szCs w:val="16"/>
            </w:rPr>
          </w:pPr>
          <w:r>
            <w:rPr>
              <w:rFonts w:ascii="Lustria" w:eastAsia="Lustria" w:hAnsi="Lustria" w:cs="Lustria"/>
              <w:color w:val="000000"/>
              <w:sz w:val="16"/>
              <w:szCs w:val="16"/>
            </w:rPr>
            <w:t>e-ISSN: 2721-4540</w:t>
          </w:r>
        </w:p>
      </w:tc>
    </w:tr>
  </w:tbl>
  <w:p w14:paraId="597F06D4" w14:textId="77777777" w:rsidR="00F53264" w:rsidRDefault="00F53264">
    <w:pPr>
      <w:pBdr>
        <w:top w:val="nil"/>
        <w:left w:val="nil"/>
        <w:bottom w:val="nil"/>
        <w:right w:val="nil"/>
        <w:between w:val="nil"/>
      </w:pBdr>
      <w:tabs>
        <w:tab w:val="center" w:pos="4680"/>
        <w:tab w:val="right" w:pos="9360"/>
      </w:tabs>
      <w:ind w:hanging="57"/>
      <w:rPr>
        <w:color w:val="000000"/>
      </w:rPr>
    </w:pPr>
  </w:p>
  <w:p w14:paraId="7935DEFC" w14:textId="441CF20B" w:rsidR="00F53264" w:rsidRDefault="00000000">
    <w:pPr>
      <w:pBdr>
        <w:top w:val="nil"/>
        <w:left w:val="nil"/>
        <w:bottom w:val="nil"/>
        <w:right w:val="nil"/>
        <w:between w:val="nil"/>
      </w:pBdr>
      <w:tabs>
        <w:tab w:val="center" w:pos="4680"/>
        <w:tab w:val="right" w:pos="9360"/>
      </w:tabs>
      <w:ind w:hanging="57"/>
      <w:rPr>
        <w:color w:val="000000"/>
      </w:rPr>
    </w:pPr>
    <w:r>
      <w:rPr>
        <w:color w:val="000000"/>
      </w:rPr>
      <w:fldChar w:fldCharType="begin"/>
    </w:r>
    <w:r>
      <w:rPr>
        <w:color w:val="000000"/>
      </w:rPr>
      <w:instrText>PAGE</w:instrText>
    </w:r>
    <w:r>
      <w:rPr>
        <w:color w:val="000000"/>
      </w:rPr>
      <w:fldChar w:fldCharType="separate"/>
    </w:r>
    <w:r w:rsidR="00333F53">
      <w:rPr>
        <w:noProof/>
        <w:color w:val="000000"/>
      </w:rPr>
      <w:t>99</w:t>
    </w:r>
    <w:r>
      <w:rPr>
        <w:color w:val="000000"/>
      </w:rPr>
      <w:fldChar w:fldCharType="end"/>
    </w:r>
  </w:p>
  <w:p w14:paraId="22B85FF0" w14:textId="77777777" w:rsidR="00F53264" w:rsidRDefault="00F53264">
    <w:pPr>
      <w:pBdr>
        <w:top w:val="nil"/>
        <w:left w:val="nil"/>
        <w:bottom w:val="nil"/>
        <w:right w:val="nil"/>
        <w:between w:val="nil"/>
      </w:pBdr>
      <w:tabs>
        <w:tab w:val="center" w:pos="4680"/>
        <w:tab w:val="right" w:pos="9360"/>
      </w:tabs>
      <w:ind w:left="0"/>
      <w:jc w:val="both"/>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24F2" w14:textId="77777777" w:rsidR="00F53264" w:rsidRDefault="00F53264">
    <w:pPr>
      <w:widowControl w:val="0"/>
      <w:pBdr>
        <w:top w:val="nil"/>
        <w:left w:val="nil"/>
        <w:bottom w:val="nil"/>
        <w:right w:val="nil"/>
        <w:between w:val="nil"/>
      </w:pBdr>
      <w:spacing w:line="276" w:lineRule="auto"/>
      <w:ind w:left="0" w:right="0"/>
      <w:jc w:val="left"/>
      <w:rPr>
        <w:color w:val="000000"/>
      </w:rPr>
    </w:pPr>
  </w:p>
  <w:tbl>
    <w:tblPr>
      <w:tblStyle w:val="a1"/>
      <w:tblW w:w="8552" w:type="dxa"/>
      <w:tblInd w:w="-165"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6856"/>
      <w:gridCol w:w="1696"/>
    </w:tblGrid>
    <w:tr w:rsidR="00F53264" w14:paraId="492971A7" w14:textId="77777777">
      <w:tc>
        <w:tcPr>
          <w:tcW w:w="6856" w:type="dxa"/>
        </w:tcPr>
        <w:p w14:paraId="0F9841CB" w14:textId="77777777" w:rsidR="00F53264" w:rsidRDefault="00000000">
          <w:pPr>
            <w:pBdr>
              <w:top w:val="nil"/>
              <w:left w:val="nil"/>
              <w:bottom w:val="nil"/>
              <w:right w:val="nil"/>
              <w:between w:val="nil"/>
            </w:pBdr>
            <w:tabs>
              <w:tab w:val="left" w:pos="3431"/>
              <w:tab w:val="right" w:pos="4823"/>
            </w:tabs>
            <w:spacing w:line="276" w:lineRule="auto"/>
            <w:ind w:hanging="57"/>
            <w:jc w:val="left"/>
            <w:rPr>
              <w:rFonts w:ascii="Lustria" w:eastAsia="Lustria" w:hAnsi="Lustria" w:cs="Lustria"/>
              <w:color w:val="000000"/>
              <w:sz w:val="20"/>
              <w:szCs w:val="20"/>
            </w:rPr>
          </w:pPr>
          <w:r>
            <w:rPr>
              <w:rFonts w:ascii="___WRD_EMBED_SUB_40" w:eastAsia="___WRD_EMBED_SUB_40" w:hAnsi="___WRD_EMBED_SUB_40" w:cs="___WRD_EMBED_SUB_40"/>
              <w:color w:val="000000"/>
              <w:sz w:val="16"/>
              <w:szCs w:val="16"/>
              <w:vertAlign w:val="superscript"/>
            </w:rPr>
            <w:t>🖂</w:t>
          </w:r>
          <w:r>
            <w:rPr>
              <w:rFonts w:ascii="Lustria" w:eastAsia="Lustria" w:hAnsi="Lustria" w:cs="Lustria"/>
              <w:color w:val="000000"/>
              <w:sz w:val="16"/>
              <w:szCs w:val="16"/>
            </w:rPr>
            <w:t xml:space="preserve"> Corresponding author: </w:t>
          </w:r>
          <w:r>
            <w:rPr>
              <w:rFonts w:ascii="Lustria" w:eastAsia="Lustria" w:hAnsi="Lustria" w:cs="Lustria"/>
              <w:color w:val="000000"/>
              <w:sz w:val="16"/>
              <w:szCs w:val="16"/>
            </w:rPr>
            <w:br/>
            <w:t xml:space="preserve">Email: </w:t>
          </w:r>
          <w:r>
            <w:rPr>
              <w:rFonts w:ascii="Lustria" w:eastAsia="Lustria" w:hAnsi="Lustria" w:cs="Lustria"/>
              <w:color w:val="0000FF"/>
              <w:sz w:val="16"/>
              <w:szCs w:val="16"/>
              <w:u w:val="single"/>
            </w:rPr>
            <w:t>ranuantariksa@students.unnes.ac.id</w:t>
          </w:r>
          <w:r>
            <w:rPr>
              <w:rFonts w:ascii="Lustria" w:eastAsia="Lustria" w:hAnsi="Lustria" w:cs="Lustria"/>
              <w:color w:val="000000"/>
              <w:sz w:val="16"/>
              <w:szCs w:val="16"/>
            </w:rPr>
            <w:t xml:space="preserve"> </w:t>
          </w:r>
        </w:p>
      </w:tc>
      <w:tc>
        <w:tcPr>
          <w:tcW w:w="1696" w:type="dxa"/>
        </w:tcPr>
        <w:p w14:paraId="5F20AF2F" w14:textId="77777777" w:rsidR="00F53264" w:rsidRDefault="00000000">
          <w:pPr>
            <w:spacing w:line="276" w:lineRule="auto"/>
            <w:ind w:left="0" w:right="0"/>
            <w:jc w:val="right"/>
            <w:rPr>
              <w:rFonts w:ascii="Lustria" w:eastAsia="Lustria" w:hAnsi="Lustria" w:cs="Lustria"/>
              <w:color w:val="000000"/>
              <w:sz w:val="16"/>
              <w:szCs w:val="16"/>
            </w:rPr>
          </w:pPr>
          <w:r>
            <w:rPr>
              <w:rFonts w:ascii="Lustria" w:eastAsia="Lustria" w:hAnsi="Lustria" w:cs="Lustria"/>
              <w:color w:val="000000"/>
              <w:sz w:val="16"/>
              <w:szCs w:val="16"/>
            </w:rPr>
            <w:t>p-ISSN: 2252-6323</w:t>
          </w:r>
        </w:p>
        <w:p w14:paraId="03ED7EE3" w14:textId="77777777" w:rsidR="00F53264" w:rsidRDefault="00000000">
          <w:pPr>
            <w:spacing w:line="276" w:lineRule="auto"/>
            <w:ind w:left="0" w:right="0"/>
            <w:jc w:val="right"/>
            <w:rPr>
              <w:rFonts w:ascii="Lustria" w:eastAsia="Lustria" w:hAnsi="Lustria" w:cs="Lustria"/>
              <w:color w:val="000000"/>
              <w:sz w:val="16"/>
              <w:szCs w:val="16"/>
            </w:rPr>
          </w:pPr>
          <w:r>
            <w:rPr>
              <w:rFonts w:ascii="Lustria" w:eastAsia="Lustria" w:hAnsi="Lustria" w:cs="Lustria"/>
              <w:color w:val="000000"/>
              <w:sz w:val="16"/>
              <w:szCs w:val="16"/>
            </w:rPr>
            <w:t>e-ISSN: 2721-4540</w:t>
          </w:r>
        </w:p>
      </w:tc>
    </w:tr>
  </w:tbl>
  <w:p w14:paraId="55F9ED6E" w14:textId="77777777" w:rsidR="00F53264" w:rsidRDefault="00F53264">
    <w:pPr>
      <w:pBdr>
        <w:top w:val="nil"/>
        <w:left w:val="nil"/>
        <w:bottom w:val="nil"/>
        <w:right w:val="nil"/>
        <w:between w:val="nil"/>
      </w:pBdr>
      <w:tabs>
        <w:tab w:val="center" w:pos="4680"/>
        <w:tab w:val="right" w:pos="9360"/>
      </w:tabs>
      <w:ind w:hanging="57"/>
      <w:rPr>
        <w:color w:val="000000"/>
      </w:rPr>
    </w:pPr>
  </w:p>
  <w:p w14:paraId="70168606" w14:textId="77777777" w:rsidR="00F53264" w:rsidRDefault="00000000">
    <w:pPr>
      <w:pBdr>
        <w:top w:val="nil"/>
        <w:left w:val="nil"/>
        <w:bottom w:val="nil"/>
        <w:right w:val="nil"/>
        <w:between w:val="nil"/>
      </w:pBdr>
      <w:tabs>
        <w:tab w:val="center" w:pos="4680"/>
        <w:tab w:val="right" w:pos="9360"/>
      </w:tabs>
      <w:ind w:hanging="57"/>
      <w:rPr>
        <w:color w:val="000000"/>
      </w:rPr>
    </w:pPr>
    <w:r>
      <w:rPr>
        <w:color w:val="000000"/>
      </w:rPr>
      <w:fldChar w:fldCharType="begin"/>
    </w:r>
    <w:r>
      <w:rPr>
        <w:color w:val="000000"/>
      </w:rPr>
      <w:instrText>PAGE</w:instrText>
    </w:r>
    <w:r>
      <w:rPr>
        <w:color w:val="000000"/>
      </w:rPr>
      <w:fldChar w:fldCharType="separate"/>
    </w:r>
    <w:r w:rsidR="00333F53">
      <w:rPr>
        <w:noProof/>
        <w:color w:val="000000"/>
      </w:rPr>
      <w:t>98</w:t>
    </w:r>
    <w:r>
      <w:rPr>
        <w:color w:val="000000"/>
      </w:rPr>
      <w:fldChar w:fldCharType="end"/>
    </w:r>
  </w:p>
  <w:p w14:paraId="2B20980E" w14:textId="77777777" w:rsidR="00F53264" w:rsidRDefault="00F53264">
    <w:pPr>
      <w:pBdr>
        <w:top w:val="nil"/>
        <w:left w:val="nil"/>
        <w:bottom w:val="nil"/>
        <w:right w:val="nil"/>
        <w:between w:val="nil"/>
      </w:pBdr>
      <w:tabs>
        <w:tab w:val="center" w:pos="4680"/>
        <w:tab w:val="right" w:pos="9360"/>
      </w:tabs>
      <w:ind w:hanging="57"/>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FAB71" w14:textId="77777777" w:rsidR="009970F3" w:rsidRDefault="009970F3">
      <w:r>
        <w:separator/>
      </w:r>
    </w:p>
  </w:footnote>
  <w:footnote w:type="continuationSeparator" w:id="0">
    <w:p w14:paraId="57DE3B87" w14:textId="77777777" w:rsidR="009970F3" w:rsidRDefault="0099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A8745" w14:textId="409BCC8E" w:rsidR="00F53264" w:rsidRDefault="00000000">
    <w:pPr>
      <w:pBdr>
        <w:top w:val="nil"/>
        <w:left w:val="nil"/>
        <w:bottom w:val="nil"/>
        <w:right w:val="nil"/>
        <w:between w:val="nil"/>
      </w:pBdr>
      <w:tabs>
        <w:tab w:val="center" w:pos="4680"/>
        <w:tab w:val="right" w:pos="9360"/>
      </w:tabs>
      <w:ind w:hanging="57"/>
      <w:rPr>
        <w:color w:val="000000"/>
      </w:rPr>
    </w:pPr>
    <w:r>
      <w:rPr>
        <w:rFonts w:ascii="Lustria" w:eastAsia="Lustria" w:hAnsi="Lustria" w:cs="Lustria"/>
        <w:color w:val="000000"/>
        <w:sz w:val="16"/>
        <w:szCs w:val="16"/>
      </w:rPr>
      <w:t xml:space="preserve">Rainbow: Journal of Literature, Linguistics and Cultural Studies, Vol. </w:t>
    </w:r>
    <w:r w:rsidR="008B27C9">
      <w:rPr>
        <w:rFonts w:ascii="Lustria" w:eastAsia="Lustria" w:hAnsi="Lustria" w:cs="Lustria"/>
        <w:color w:val="000000"/>
        <w:sz w:val="16"/>
        <w:szCs w:val="16"/>
      </w:rPr>
      <w:t>14</w:t>
    </w:r>
    <w:r>
      <w:rPr>
        <w:rFonts w:ascii="Lustria" w:eastAsia="Lustria" w:hAnsi="Lustria" w:cs="Lustria"/>
        <w:color w:val="000000"/>
        <w:sz w:val="16"/>
        <w:szCs w:val="16"/>
      </w:rPr>
      <w:t xml:space="preserve"> (</w:t>
    </w:r>
    <w:r w:rsidR="008B27C9">
      <w:rPr>
        <w:rFonts w:ascii="Lustria" w:eastAsia="Lustria" w:hAnsi="Lustria" w:cs="Lustria"/>
        <w:color w:val="000000"/>
        <w:sz w:val="16"/>
        <w:szCs w:val="16"/>
      </w:rPr>
      <w:t>2025</w:t>
    </w:r>
    <w:r>
      <w:rPr>
        <w:rFonts w:ascii="Lustria" w:eastAsia="Lustria" w:hAnsi="Lustria" w:cs="Lustria"/>
        <w:color w:val="000000"/>
        <w:sz w:val="16"/>
        <w:szCs w:val="16"/>
      </w:rPr>
      <w:t xml:space="preserve">) </w:t>
    </w:r>
    <w:r w:rsidR="008B27C9">
      <w:rPr>
        <w:rFonts w:ascii="Lustria" w:eastAsia="Lustria" w:hAnsi="Lustria" w:cs="Lustria"/>
        <w:color w:val="000000"/>
        <w:sz w:val="16"/>
        <w:szCs w:val="16"/>
      </w:rPr>
      <w:t>Special Edition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264"/>
    <w:rsid w:val="0027431A"/>
    <w:rsid w:val="00333F53"/>
    <w:rsid w:val="008B27C9"/>
    <w:rsid w:val="009970F3"/>
    <w:rsid w:val="00C96EAB"/>
    <w:rsid w:val="00E924E6"/>
    <w:rsid w:val="00F5326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3AA19DD"/>
  <w15:docId w15:val="{933F3D4E-4A78-0E49-8853-E14333B3B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76" w:lineRule="auto"/>
      <w:ind w:left="0" w:right="0"/>
      <w:jc w:val="both"/>
      <w:outlineLvl w:val="0"/>
    </w:pPr>
    <w:rPr>
      <w:rFonts w:ascii="Lustria" w:eastAsia="Lustria" w:hAnsi="Lustria" w:cs="Lustria"/>
      <w:i/>
      <w:color w:val="000000"/>
      <w:sz w:val="18"/>
      <w:szCs w:val="18"/>
    </w:rPr>
  </w:style>
  <w:style w:type="paragraph" w:styleId="Heading2">
    <w:name w:val="heading 2"/>
    <w:basedOn w:val="Normal"/>
    <w:next w:val="Normal"/>
    <w:uiPriority w:val="9"/>
    <w:unhideWhenUsed/>
    <w:qFormat/>
    <w:pPr>
      <w:pBdr>
        <w:top w:val="nil"/>
        <w:left w:val="nil"/>
        <w:bottom w:val="nil"/>
        <w:right w:val="nil"/>
        <w:between w:val="nil"/>
      </w:pBdr>
      <w:spacing w:line="288" w:lineRule="auto"/>
      <w:ind w:left="0" w:right="0"/>
      <w:jc w:val="left"/>
      <w:outlineLvl w:val="1"/>
    </w:pPr>
    <w:rPr>
      <w:rFonts w:ascii="Lustria" w:eastAsia="Lustria" w:hAnsi="Lustria" w:cs="Lustria"/>
      <w:b/>
      <w:smallCaps/>
      <w:color w:val="000000"/>
      <w:sz w:val="20"/>
      <w:szCs w:val="20"/>
    </w:rPr>
  </w:style>
  <w:style w:type="paragraph" w:styleId="Heading3">
    <w:name w:val="heading 3"/>
    <w:basedOn w:val="Normal"/>
    <w:next w:val="Normal"/>
    <w:uiPriority w:val="9"/>
    <w:unhideWhenUsed/>
    <w:qFormat/>
    <w:pPr>
      <w:pBdr>
        <w:top w:val="nil"/>
        <w:left w:val="nil"/>
        <w:bottom w:val="nil"/>
        <w:right w:val="nil"/>
        <w:between w:val="nil"/>
      </w:pBdr>
      <w:spacing w:line="288" w:lineRule="auto"/>
      <w:ind w:left="0" w:right="0"/>
      <w:jc w:val="both"/>
      <w:outlineLvl w:val="2"/>
    </w:pPr>
    <w:rPr>
      <w:rFonts w:ascii="Lustria" w:eastAsia="Lustria" w:hAnsi="Lustria" w:cs="Lustria"/>
      <w:b/>
      <w:color w:val="000000"/>
      <w:sz w:val="20"/>
      <w:szCs w:val="20"/>
    </w:rPr>
  </w:style>
  <w:style w:type="paragraph" w:styleId="Heading4">
    <w:name w:val="heading 4"/>
    <w:basedOn w:val="Normal"/>
    <w:next w:val="Normal"/>
    <w:uiPriority w:val="9"/>
    <w:unhideWhenUsed/>
    <w:qFormat/>
    <w:pPr>
      <w:pBdr>
        <w:top w:val="nil"/>
        <w:left w:val="nil"/>
        <w:bottom w:val="nil"/>
        <w:right w:val="nil"/>
        <w:between w:val="nil"/>
      </w:pBdr>
      <w:spacing w:line="288" w:lineRule="auto"/>
      <w:ind w:left="0" w:right="0" w:firstLine="547"/>
      <w:jc w:val="both"/>
      <w:outlineLvl w:val="3"/>
    </w:pPr>
    <w:rPr>
      <w:rFonts w:ascii="Lustria" w:eastAsia="Lustria" w:hAnsi="Lustria" w:cs="Lustria"/>
      <w:color w:val="000000"/>
      <w:sz w:val="20"/>
      <w:szCs w:val="20"/>
    </w:rPr>
  </w:style>
  <w:style w:type="paragraph" w:styleId="Heading5">
    <w:name w:val="heading 5"/>
    <w:basedOn w:val="Normal"/>
    <w:next w:val="Normal"/>
    <w:uiPriority w:val="9"/>
    <w:unhideWhenUsed/>
    <w:qFormat/>
    <w:pPr>
      <w:pBdr>
        <w:top w:val="nil"/>
        <w:left w:val="nil"/>
        <w:bottom w:val="nil"/>
        <w:right w:val="nil"/>
        <w:between w:val="nil"/>
      </w:pBdr>
      <w:spacing w:line="288" w:lineRule="auto"/>
      <w:ind w:left="0" w:right="0"/>
      <w:jc w:val="both"/>
      <w:outlineLvl w:val="4"/>
    </w:pPr>
    <w:rPr>
      <w:rFonts w:ascii="Lustria" w:eastAsia="Lustria" w:hAnsi="Lustria" w:cs="Lustria"/>
      <w:color w:val="000000"/>
      <w:sz w:val="20"/>
      <w:szCs w:val="20"/>
    </w:rPr>
  </w:style>
  <w:style w:type="paragraph" w:styleId="Heading6">
    <w:name w:val="heading 6"/>
    <w:basedOn w:val="Normal"/>
    <w:next w:val="Normal"/>
    <w:uiPriority w:val="9"/>
    <w:unhideWhenUsed/>
    <w:qFormat/>
    <w:pPr>
      <w:pBdr>
        <w:top w:val="nil"/>
        <w:left w:val="nil"/>
        <w:bottom w:val="nil"/>
        <w:right w:val="nil"/>
        <w:between w:val="nil"/>
      </w:pBdr>
      <w:spacing w:line="288" w:lineRule="auto"/>
      <w:ind w:left="567" w:right="0" w:hanging="567"/>
      <w:jc w:val="both"/>
      <w:outlineLvl w:val="5"/>
    </w:pPr>
    <w:rPr>
      <w:rFonts w:ascii="Lustria" w:eastAsia="Lustria" w:hAnsi="Lustria" w:cs="Lustria"/>
      <w:color w:val="00000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ind w:left="0" w:right="0"/>
      <w:jc w:val="left"/>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8B27C9"/>
    <w:pPr>
      <w:tabs>
        <w:tab w:val="center" w:pos="4680"/>
        <w:tab w:val="right" w:pos="9360"/>
      </w:tabs>
    </w:pPr>
  </w:style>
  <w:style w:type="character" w:customStyle="1" w:styleId="HeaderChar">
    <w:name w:val="Header Char"/>
    <w:basedOn w:val="DefaultParagraphFont"/>
    <w:link w:val="Header"/>
    <w:uiPriority w:val="99"/>
    <w:rsid w:val="008B27C9"/>
  </w:style>
  <w:style w:type="paragraph" w:styleId="Footer">
    <w:name w:val="footer"/>
    <w:basedOn w:val="Normal"/>
    <w:link w:val="FooterChar"/>
    <w:uiPriority w:val="99"/>
    <w:unhideWhenUsed/>
    <w:rsid w:val="008B27C9"/>
    <w:pPr>
      <w:tabs>
        <w:tab w:val="center" w:pos="4680"/>
        <w:tab w:val="right" w:pos="9360"/>
      </w:tabs>
    </w:pPr>
  </w:style>
  <w:style w:type="character" w:customStyle="1" w:styleId="FooterChar">
    <w:name w:val="Footer Char"/>
    <w:basedOn w:val="DefaultParagraphFont"/>
    <w:link w:val="Footer"/>
    <w:uiPriority w:val="99"/>
    <w:rsid w:val="008B27C9"/>
  </w:style>
  <w:style w:type="character" w:styleId="Hyperlink">
    <w:name w:val="Hyperlink"/>
    <w:basedOn w:val="DefaultParagraphFont"/>
    <w:uiPriority w:val="99"/>
    <w:unhideWhenUsed/>
    <w:rsid w:val="008B27C9"/>
    <w:rPr>
      <w:color w:val="0000FF" w:themeColor="hyperlink"/>
      <w:u w:val="single"/>
    </w:rPr>
  </w:style>
  <w:style w:type="character" w:styleId="UnresolvedMention">
    <w:name w:val="Unresolved Mention"/>
    <w:basedOn w:val="DefaultParagraphFont"/>
    <w:uiPriority w:val="99"/>
    <w:semiHidden/>
    <w:unhideWhenUsed/>
    <w:rsid w:val="008B2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scholar.colorado.edu/concern/undergraduate_honors_theses/2r36tz70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cholar.colorado.edu/concern/undergraduate_honors_theses/2r36tz70b" TargetMode="Externa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5635</Words>
  <Characters>29195</Characters>
  <Application>Microsoft Office Word</Application>
  <DocSecurity>0</DocSecurity>
  <Lines>912</Lines>
  <Paragraphs>124</Paragraphs>
  <ScaleCrop>false</ScaleCrop>
  <Company/>
  <LinksUpToDate>false</LinksUpToDate>
  <CharactersWithSpaces>34706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Author</cp:lastModifiedBy>
  <cp:revision>3</cp:revision>
  <dcterms:created xsi:type="dcterms:W3CDTF">2025-08-04T02:50:00Z</dcterms:created>
  <dcterms:modified xsi:type="dcterms:W3CDTF">2025-08-04T02:51:00Z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48ed4810-f20d-3ba8-8421-4cea8a0ecb13</vt:lpwstr>
  </property>
</Properties>
</file>