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9796F" w14:textId="77777777" w:rsidR="00440DD7" w:rsidRPr="00F42F80" w:rsidRDefault="00E74908">
      <w:pPr>
        <w:tabs>
          <w:tab w:val="left" w:pos="675"/>
          <w:tab w:val="center" w:pos="4394"/>
        </w:tabs>
        <w:rPr>
          <w:rFonts w:ascii="Lustria" w:eastAsia="Lustria" w:hAnsi="Lustria" w:cs="Lustria"/>
          <w:color w:val="231F20"/>
        </w:rPr>
      </w:pPr>
      <w:bookmarkStart w:id="0" w:name="_Hlk57051036"/>
      <w:bookmarkEnd w:id="0"/>
      <w:r w:rsidRPr="00F42F80">
        <w:rPr>
          <w:rFonts w:ascii="Lustria" w:hAnsi="Lustria"/>
          <w:noProof/>
        </w:rPr>
        <w:drawing>
          <wp:anchor distT="0" distB="0" distL="0" distR="0" simplePos="0" relativeHeight="251658240" behindDoc="0" locked="0" layoutInCell="1" hidden="0" allowOverlap="1" wp14:anchorId="75BF624B" wp14:editId="4A2ACFF5">
            <wp:simplePos x="0" y="0"/>
            <wp:positionH relativeFrom="page">
              <wp:posOffset>5943600</wp:posOffset>
            </wp:positionH>
            <wp:positionV relativeFrom="page">
              <wp:posOffset>973455</wp:posOffset>
            </wp:positionV>
            <wp:extent cx="609600" cy="850900"/>
            <wp:effectExtent l="0" t="0" r="0" b="0"/>
            <wp:wrapSquare wrapText="bothSides" distT="0" distB="0" distL="0" distR="0"/>
            <wp:docPr id="5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9"/>
                    <a:srcRect/>
                    <a:stretch>
                      <a:fillRect/>
                    </a:stretch>
                  </pic:blipFill>
                  <pic:spPr>
                    <a:xfrm>
                      <a:off x="0" y="0"/>
                      <a:ext cx="609600" cy="850900"/>
                    </a:xfrm>
                    <a:prstGeom prst="rect">
                      <a:avLst/>
                    </a:prstGeom>
                    <a:ln/>
                  </pic:spPr>
                </pic:pic>
              </a:graphicData>
            </a:graphic>
          </wp:anchor>
        </w:drawing>
      </w:r>
      <w:r w:rsidRPr="00F42F80">
        <w:rPr>
          <w:rFonts w:ascii="Lustria" w:hAnsi="Lustria"/>
          <w:noProof/>
        </w:rPr>
        <w:drawing>
          <wp:anchor distT="0" distB="0" distL="0" distR="0" simplePos="0" relativeHeight="251659264" behindDoc="0" locked="0" layoutInCell="1" hidden="0" allowOverlap="1" wp14:anchorId="6778B574" wp14:editId="1CD61FF9">
            <wp:simplePos x="0" y="0"/>
            <wp:positionH relativeFrom="page">
              <wp:posOffset>1168400</wp:posOffset>
            </wp:positionH>
            <wp:positionV relativeFrom="page">
              <wp:posOffset>1049655</wp:posOffset>
            </wp:positionV>
            <wp:extent cx="685800" cy="774700"/>
            <wp:effectExtent l="0" t="0" r="0" b="0"/>
            <wp:wrapSquare wrapText="bothSides" distT="0" distB="0" distL="0" distR="0"/>
            <wp:docPr id="5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0"/>
                    <a:srcRect/>
                    <a:stretch>
                      <a:fillRect/>
                    </a:stretch>
                  </pic:blipFill>
                  <pic:spPr>
                    <a:xfrm>
                      <a:off x="0" y="0"/>
                      <a:ext cx="685800" cy="774700"/>
                    </a:xfrm>
                    <a:prstGeom prst="rect">
                      <a:avLst/>
                    </a:prstGeom>
                    <a:ln/>
                  </pic:spPr>
                </pic:pic>
              </a:graphicData>
            </a:graphic>
          </wp:anchor>
        </w:drawing>
      </w:r>
      <w:r w:rsidRPr="00F42F80">
        <w:rPr>
          <w:rFonts w:ascii="Lustria" w:eastAsia="Lustria" w:hAnsi="Lustria" w:cs="Lustria"/>
          <w:color w:val="231F20"/>
        </w:rPr>
        <w:tab/>
      </w:r>
      <w:r w:rsidRPr="00F42F80">
        <w:rPr>
          <w:rFonts w:ascii="Lustria" w:eastAsia="Lustria" w:hAnsi="Lustria" w:cs="Lustria"/>
          <w:color w:val="231F20"/>
        </w:rPr>
        <w:tab/>
      </w:r>
      <w:r w:rsidRPr="00F42F80">
        <w:rPr>
          <w:rFonts w:ascii="Lustria" w:hAnsi="Lustria"/>
          <w:noProof/>
        </w:rPr>
        <mc:AlternateContent>
          <mc:Choice Requires="wpg">
            <w:drawing>
              <wp:anchor distT="4294967295" distB="4294967295" distL="114300" distR="114300" simplePos="0" relativeHeight="251660288" behindDoc="0" locked="0" layoutInCell="1" hidden="0" allowOverlap="1" wp14:anchorId="5D955E75" wp14:editId="4655A7E3">
                <wp:simplePos x="0" y="0"/>
                <wp:positionH relativeFrom="column">
                  <wp:posOffset>38101</wp:posOffset>
                </wp:positionH>
                <wp:positionV relativeFrom="paragraph">
                  <wp:posOffset>17796</wp:posOffset>
                </wp:positionV>
                <wp:extent cx="5695950" cy="19050"/>
                <wp:effectExtent l="0" t="0" r="0" b="0"/>
                <wp:wrapNone/>
                <wp:docPr id="51" name="Straight Arrow Connector 51"/>
                <wp:cNvGraphicFramePr/>
                <a:graphic xmlns:a="http://schemas.openxmlformats.org/drawingml/2006/main">
                  <a:graphicData uri="http://schemas.microsoft.com/office/word/2010/wordprocessingShape">
                    <wps:wsp>
                      <wps:cNvCnPr/>
                      <wps:spPr>
                        <a:xfrm>
                          <a:off x="2498025" y="3780000"/>
                          <a:ext cx="5695950"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38101</wp:posOffset>
                </wp:positionH>
                <wp:positionV relativeFrom="paragraph">
                  <wp:posOffset>17796</wp:posOffset>
                </wp:positionV>
                <wp:extent cx="5695950" cy="19050"/>
                <wp:effectExtent b="0" l="0" r="0" t="0"/>
                <wp:wrapNone/>
                <wp:docPr id="51"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5695950" cy="19050"/>
                        </a:xfrm>
                        <a:prstGeom prst="rect"/>
                        <a:ln/>
                      </pic:spPr>
                    </pic:pic>
                  </a:graphicData>
                </a:graphic>
              </wp:anchor>
            </w:drawing>
          </mc:Fallback>
        </mc:AlternateContent>
      </w:r>
    </w:p>
    <w:p w14:paraId="01045F2F" w14:textId="77777777" w:rsidR="00440DD7" w:rsidRPr="00F42F80" w:rsidRDefault="00E74908">
      <w:pPr>
        <w:tabs>
          <w:tab w:val="left" w:pos="675"/>
          <w:tab w:val="center" w:pos="4394"/>
        </w:tabs>
        <w:jc w:val="center"/>
        <w:rPr>
          <w:rFonts w:ascii="Lustria" w:eastAsia="Lustria" w:hAnsi="Lustria" w:cs="Lustria"/>
        </w:rPr>
      </w:pPr>
      <w:r w:rsidRPr="00F42F80">
        <w:rPr>
          <w:rFonts w:ascii="Lustria" w:eastAsia="Lustria" w:hAnsi="Lustria" w:cs="Lustria"/>
          <w:color w:val="231F20"/>
        </w:rPr>
        <w:t>Dinamika</w:t>
      </w:r>
      <w:r w:rsidRPr="00F42F80">
        <w:rPr>
          <w:rFonts w:ascii="Lustria" w:eastAsia="Lustria" w:hAnsi="Lustria" w:cs="Lustria"/>
          <w:color w:val="000000"/>
        </w:rPr>
        <w:t> </w:t>
      </w:r>
      <w:r w:rsidRPr="00F42F80">
        <w:rPr>
          <w:rFonts w:ascii="Lustria" w:eastAsia="Lustria" w:hAnsi="Lustria" w:cs="Lustria"/>
          <w:color w:val="231F20"/>
        </w:rPr>
        <w:t xml:space="preserve">Pendidikan 13 (2) (2018) </w:t>
      </w:r>
      <w:r w:rsidRPr="00F42F80">
        <w:rPr>
          <w:rFonts w:ascii="Lustria" w:eastAsia="Lustria" w:hAnsi="Lustria" w:cs="Lustria"/>
          <w:color w:val="231F20"/>
          <w:highlight w:val="yellow"/>
        </w:rPr>
        <w:t>….</w:t>
      </w:r>
      <w:r w:rsidRPr="00F42F80">
        <w:rPr>
          <w:rFonts w:ascii="Lustria" w:hAnsi="Lustria"/>
          <w:noProof/>
        </w:rPr>
        <mc:AlternateContent>
          <mc:Choice Requires="wpg">
            <w:drawing>
              <wp:anchor distT="0" distB="0" distL="114300" distR="114300" simplePos="0" relativeHeight="251661312" behindDoc="0" locked="0" layoutInCell="1" hidden="0" allowOverlap="1" wp14:anchorId="5F169331" wp14:editId="0019B5F1">
                <wp:simplePos x="0" y="0"/>
                <wp:positionH relativeFrom="column">
                  <wp:posOffset>1</wp:posOffset>
                </wp:positionH>
                <wp:positionV relativeFrom="paragraph">
                  <wp:posOffset>0</wp:posOffset>
                </wp:positionV>
                <wp:extent cx="644525" cy="644525"/>
                <wp:effectExtent l="0" t="0" r="0" b="0"/>
                <wp:wrapNone/>
                <wp:docPr id="54" name="Freeform: Shape 54"/>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42620" h="150" extrusionOk="0">
                              <a:moveTo>
                                <a:pt x="50" y="50"/>
                              </a:moveTo>
                              <a:lnTo>
                                <a:pt x="50" y="50"/>
                              </a:lnTo>
                              <a:lnTo>
                                <a:pt x="42570" y="50"/>
                              </a:lnTo>
                            </a:path>
                          </a:pathLst>
                        </a:custGeom>
                        <a:solidFill>
                          <a:srgbClr val="FFFFFF"/>
                        </a:solid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54"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644525" cy="644525"/>
                        </a:xfrm>
                        <a:prstGeom prst="rect"/>
                        <a:ln/>
                      </pic:spPr>
                    </pic:pic>
                  </a:graphicData>
                </a:graphic>
              </wp:anchor>
            </w:drawing>
          </mc:Fallback>
        </mc:AlternateContent>
      </w:r>
      <w:r w:rsidRPr="00F42F80">
        <w:rPr>
          <w:rFonts w:ascii="Lustria" w:hAnsi="Lustria"/>
          <w:noProof/>
        </w:rPr>
        <mc:AlternateContent>
          <mc:Choice Requires="wpg">
            <w:drawing>
              <wp:anchor distT="0" distB="0" distL="114300" distR="114300" simplePos="0" relativeHeight="251662336" behindDoc="0" locked="0" layoutInCell="1" hidden="0" allowOverlap="1" wp14:anchorId="75658AAE" wp14:editId="538634E4">
                <wp:simplePos x="0" y="0"/>
                <wp:positionH relativeFrom="column">
                  <wp:posOffset>1</wp:posOffset>
                </wp:positionH>
                <wp:positionV relativeFrom="paragraph">
                  <wp:posOffset>0</wp:posOffset>
                </wp:positionV>
                <wp:extent cx="644525" cy="644525"/>
                <wp:effectExtent l="0" t="0" r="0" b="0"/>
                <wp:wrapNone/>
                <wp:docPr id="53" name="Freeform: Shape 53"/>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42720" h="400" extrusionOk="0">
                              <a:moveTo>
                                <a:pt x="100" y="100"/>
                              </a:moveTo>
                              <a:lnTo>
                                <a:pt x="100" y="100"/>
                              </a:lnTo>
                              <a:lnTo>
                                <a:pt x="42620" y="100"/>
                              </a:lnTo>
                            </a:path>
                          </a:pathLst>
                        </a:custGeom>
                        <a:solidFill>
                          <a:srgbClr val="FFFFFF"/>
                        </a:solid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53"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644525" cy="644525"/>
                        </a:xfrm>
                        <a:prstGeom prst="rect"/>
                        <a:ln/>
                      </pic:spPr>
                    </pic:pic>
                  </a:graphicData>
                </a:graphic>
              </wp:anchor>
            </w:drawing>
          </mc:Fallback>
        </mc:AlternateContent>
      </w:r>
      <w:r w:rsidRPr="00F42F80">
        <w:rPr>
          <w:rFonts w:ascii="Lustria" w:hAnsi="Lustria"/>
          <w:noProof/>
        </w:rPr>
        <mc:AlternateContent>
          <mc:Choice Requires="wpg">
            <w:drawing>
              <wp:anchor distT="0" distB="0" distL="114300" distR="114300" simplePos="0" relativeHeight="251663360" behindDoc="0" locked="0" layoutInCell="1" hidden="0" allowOverlap="1" wp14:anchorId="5EA7E3DF" wp14:editId="69DDC211">
                <wp:simplePos x="0" y="0"/>
                <wp:positionH relativeFrom="column">
                  <wp:posOffset>1</wp:posOffset>
                </wp:positionH>
                <wp:positionV relativeFrom="paragraph">
                  <wp:posOffset>0</wp:posOffset>
                </wp:positionV>
                <wp:extent cx="644525" cy="644525"/>
                <wp:effectExtent l="0" t="0" r="0" b="0"/>
                <wp:wrapNone/>
                <wp:docPr id="49" name="Freeform: Shape 49"/>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42620" h="150" extrusionOk="0">
                              <a:moveTo>
                                <a:pt x="50" y="50"/>
                              </a:moveTo>
                              <a:lnTo>
                                <a:pt x="50" y="50"/>
                              </a:lnTo>
                              <a:lnTo>
                                <a:pt x="42570" y="50"/>
                              </a:lnTo>
                            </a:path>
                          </a:pathLst>
                        </a:custGeom>
                        <a:solidFill>
                          <a:srgbClr val="FFFFFF"/>
                        </a:solid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49"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44525" cy="644525"/>
                        </a:xfrm>
                        <a:prstGeom prst="rect"/>
                        <a:ln/>
                      </pic:spPr>
                    </pic:pic>
                  </a:graphicData>
                </a:graphic>
              </wp:anchor>
            </w:drawing>
          </mc:Fallback>
        </mc:AlternateContent>
      </w:r>
      <w:r w:rsidRPr="00F42F80">
        <w:rPr>
          <w:rFonts w:ascii="Lustria" w:hAnsi="Lustria"/>
          <w:noProof/>
        </w:rPr>
        <mc:AlternateContent>
          <mc:Choice Requires="wpg">
            <w:drawing>
              <wp:anchor distT="0" distB="0" distL="114300" distR="114300" simplePos="0" relativeHeight="251664384" behindDoc="0" locked="0" layoutInCell="1" hidden="0" allowOverlap="1" wp14:anchorId="7B6B0121" wp14:editId="531751F6">
                <wp:simplePos x="0" y="0"/>
                <wp:positionH relativeFrom="column">
                  <wp:posOffset>1</wp:posOffset>
                </wp:positionH>
                <wp:positionV relativeFrom="paragraph">
                  <wp:posOffset>0</wp:posOffset>
                </wp:positionV>
                <wp:extent cx="644525" cy="644525"/>
                <wp:effectExtent l="0" t="0" r="0" b="0"/>
                <wp:wrapNone/>
                <wp:docPr id="46" name="Freeform: Shape 46"/>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31621" h="150" extrusionOk="0">
                              <a:moveTo>
                                <a:pt x="50" y="50"/>
                              </a:moveTo>
                              <a:lnTo>
                                <a:pt x="50" y="50"/>
                              </a:lnTo>
                              <a:lnTo>
                                <a:pt x="31571" y="50"/>
                              </a:lnTo>
                            </a:path>
                          </a:pathLst>
                        </a:custGeom>
                        <a:solidFill>
                          <a:srgbClr val="FFFFFF"/>
                        </a:solid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46"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644525" cy="644525"/>
                        </a:xfrm>
                        <a:prstGeom prst="rect"/>
                        <a:ln/>
                      </pic:spPr>
                    </pic:pic>
                  </a:graphicData>
                </a:graphic>
              </wp:anchor>
            </w:drawing>
          </mc:Fallback>
        </mc:AlternateContent>
      </w:r>
      <w:r w:rsidRPr="00F42F80">
        <w:rPr>
          <w:rFonts w:ascii="Lustria" w:hAnsi="Lustria"/>
          <w:noProof/>
        </w:rPr>
        <mc:AlternateContent>
          <mc:Choice Requires="wpg">
            <w:drawing>
              <wp:anchor distT="0" distB="0" distL="114300" distR="114300" simplePos="0" relativeHeight="251665408" behindDoc="0" locked="0" layoutInCell="1" hidden="0" allowOverlap="1" wp14:anchorId="40B037B0" wp14:editId="4355354D">
                <wp:simplePos x="0" y="0"/>
                <wp:positionH relativeFrom="column">
                  <wp:posOffset>1</wp:posOffset>
                </wp:positionH>
                <wp:positionV relativeFrom="paragraph">
                  <wp:posOffset>0</wp:posOffset>
                </wp:positionV>
                <wp:extent cx="644525" cy="644525"/>
                <wp:effectExtent l="0" t="0" r="0" b="0"/>
                <wp:wrapNone/>
                <wp:docPr id="47" name="Freeform: Shape 47"/>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31621" h="150" extrusionOk="0">
                              <a:moveTo>
                                <a:pt x="50" y="50"/>
                              </a:moveTo>
                              <a:lnTo>
                                <a:pt x="50" y="50"/>
                              </a:lnTo>
                              <a:lnTo>
                                <a:pt x="31571" y="50"/>
                              </a:lnTo>
                            </a:path>
                          </a:pathLst>
                        </a:custGeom>
                        <a:solidFill>
                          <a:srgbClr val="FFFFFF"/>
                        </a:solid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47"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644525" cy="644525"/>
                        </a:xfrm>
                        <a:prstGeom prst="rect"/>
                        <a:ln/>
                      </pic:spPr>
                    </pic:pic>
                  </a:graphicData>
                </a:graphic>
              </wp:anchor>
            </w:drawing>
          </mc:Fallback>
        </mc:AlternateContent>
      </w:r>
      <w:r w:rsidRPr="00F42F80">
        <w:rPr>
          <w:rFonts w:ascii="Lustria" w:hAnsi="Lustria"/>
          <w:noProof/>
        </w:rPr>
        <mc:AlternateContent>
          <mc:Choice Requires="wpg">
            <w:drawing>
              <wp:anchor distT="0" distB="0" distL="114300" distR="114300" simplePos="0" relativeHeight="251666432" behindDoc="0" locked="0" layoutInCell="1" hidden="0" allowOverlap="1" wp14:anchorId="36EAA70F" wp14:editId="6317CD5A">
                <wp:simplePos x="0" y="0"/>
                <wp:positionH relativeFrom="column">
                  <wp:posOffset>1</wp:posOffset>
                </wp:positionH>
                <wp:positionV relativeFrom="paragraph">
                  <wp:posOffset>0</wp:posOffset>
                </wp:positionV>
                <wp:extent cx="644525" cy="644525"/>
                <wp:effectExtent l="0" t="0" r="0" b="0"/>
                <wp:wrapNone/>
                <wp:docPr id="45" name="Freeform: Shape 45"/>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10092" h="150" extrusionOk="0">
                              <a:moveTo>
                                <a:pt x="50" y="50"/>
                              </a:moveTo>
                              <a:lnTo>
                                <a:pt x="50" y="50"/>
                              </a:lnTo>
                              <a:lnTo>
                                <a:pt x="10042" y="50"/>
                              </a:lnTo>
                            </a:path>
                          </a:pathLst>
                        </a:custGeom>
                        <a:solidFill>
                          <a:srgbClr val="FFFFFF"/>
                        </a:solid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45"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644525" cy="644525"/>
                        </a:xfrm>
                        <a:prstGeom prst="rect"/>
                        <a:ln/>
                      </pic:spPr>
                    </pic:pic>
                  </a:graphicData>
                </a:graphic>
              </wp:anchor>
            </w:drawing>
          </mc:Fallback>
        </mc:AlternateContent>
      </w:r>
      <w:r w:rsidRPr="00F42F80">
        <w:rPr>
          <w:rFonts w:ascii="Lustria" w:hAnsi="Lustria"/>
          <w:noProof/>
        </w:rPr>
        <mc:AlternateContent>
          <mc:Choice Requires="wpg">
            <w:drawing>
              <wp:anchor distT="0" distB="0" distL="114300" distR="114300" simplePos="0" relativeHeight="251667456" behindDoc="0" locked="0" layoutInCell="1" hidden="0" allowOverlap="1" wp14:anchorId="232DECE9" wp14:editId="33E659BF">
                <wp:simplePos x="0" y="0"/>
                <wp:positionH relativeFrom="column">
                  <wp:posOffset>1</wp:posOffset>
                </wp:positionH>
                <wp:positionV relativeFrom="paragraph">
                  <wp:posOffset>0</wp:posOffset>
                </wp:positionV>
                <wp:extent cx="644525" cy="644525"/>
                <wp:effectExtent l="0" t="0" r="0" b="0"/>
                <wp:wrapNone/>
                <wp:docPr id="50" name="Freeform: Shape 50"/>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10092" h="150" extrusionOk="0">
                              <a:moveTo>
                                <a:pt x="50" y="50"/>
                              </a:moveTo>
                              <a:lnTo>
                                <a:pt x="50" y="50"/>
                              </a:lnTo>
                              <a:lnTo>
                                <a:pt x="10042" y="50"/>
                              </a:lnTo>
                            </a:path>
                          </a:pathLst>
                        </a:custGeom>
                        <a:solidFill>
                          <a:srgbClr val="FFFFFF"/>
                        </a:solid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50"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644525" cy="644525"/>
                        </a:xfrm>
                        <a:prstGeom prst="rect"/>
                        <a:ln/>
                      </pic:spPr>
                    </pic:pic>
                  </a:graphicData>
                </a:graphic>
              </wp:anchor>
            </w:drawing>
          </mc:Fallback>
        </mc:AlternateContent>
      </w:r>
      <w:r w:rsidRPr="00F42F80">
        <w:rPr>
          <w:rFonts w:ascii="Lustria" w:hAnsi="Lustria"/>
          <w:noProof/>
        </w:rPr>
        <mc:AlternateContent>
          <mc:Choice Requires="wpg">
            <w:drawing>
              <wp:anchor distT="0" distB="0" distL="114300" distR="114300" simplePos="0" relativeHeight="251668480" behindDoc="0" locked="0" layoutInCell="1" hidden="0" allowOverlap="1" wp14:anchorId="270DC995" wp14:editId="56FB20C2">
                <wp:simplePos x="0" y="0"/>
                <wp:positionH relativeFrom="column">
                  <wp:posOffset>1</wp:posOffset>
                </wp:positionH>
                <wp:positionV relativeFrom="paragraph">
                  <wp:posOffset>0</wp:posOffset>
                </wp:positionV>
                <wp:extent cx="644525" cy="644525"/>
                <wp:effectExtent l="0" t="0" r="0" b="0"/>
                <wp:wrapNone/>
                <wp:docPr id="48" name="Freeform: Shape 48"/>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10092" h="150" extrusionOk="0">
                              <a:moveTo>
                                <a:pt x="50" y="50"/>
                              </a:moveTo>
                              <a:lnTo>
                                <a:pt x="50" y="50"/>
                              </a:lnTo>
                              <a:lnTo>
                                <a:pt x="10042" y="50"/>
                              </a:lnTo>
                            </a:path>
                          </a:pathLst>
                        </a:custGeom>
                        <a:solidFill>
                          <a:srgbClr val="FFFFFF"/>
                        </a:solid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48"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644525" cy="644525"/>
                        </a:xfrm>
                        <a:prstGeom prst="rect"/>
                        <a:ln/>
                      </pic:spPr>
                    </pic:pic>
                  </a:graphicData>
                </a:graphic>
              </wp:anchor>
            </w:drawing>
          </mc:Fallback>
        </mc:AlternateContent>
      </w:r>
      <w:r w:rsidRPr="00F42F80">
        <w:rPr>
          <w:rFonts w:ascii="Lustria" w:hAnsi="Lustria"/>
          <w:noProof/>
        </w:rPr>
        <mc:AlternateContent>
          <mc:Choice Requires="wpg">
            <w:drawing>
              <wp:anchor distT="0" distB="0" distL="114300" distR="114300" simplePos="0" relativeHeight="251669504" behindDoc="0" locked="0" layoutInCell="1" hidden="0" allowOverlap="1" wp14:anchorId="7B24A530" wp14:editId="47E22629">
                <wp:simplePos x="0" y="0"/>
                <wp:positionH relativeFrom="column">
                  <wp:posOffset>1</wp:posOffset>
                </wp:positionH>
                <wp:positionV relativeFrom="paragraph">
                  <wp:posOffset>0</wp:posOffset>
                </wp:positionV>
                <wp:extent cx="644525" cy="644525"/>
                <wp:effectExtent l="0" t="0" r="0" b="0"/>
                <wp:wrapNone/>
                <wp:docPr id="44" name="Freeform: Shape 44"/>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42620" h="150" extrusionOk="0">
                              <a:moveTo>
                                <a:pt x="50" y="50"/>
                              </a:moveTo>
                              <a:lnTo>
                                <a:pt x="50" y="50"/>
                              </a:lnTo>
                              <a:lnTo>
                                <a:pt x="42570" y="50"/>
                              </a:lnTo>
                            </a:path>
                          </a:pathLst>
                        </a:custGeom>
                        <a:solidFill>
                          <a:srgbClr val="FFFFFF"/>
                        </a:solid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44"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644525" cy="644525"/>
                        </a:xfrm>
                        <a:prstGeom prst="rect"/>
                        <a:ln/>
                      </pic:spPr>
                    </pic:pic>
                  </a:graphicData>
                </a:graphic>
              </wp:anchor>
            </w:drawing>
          </mc:Fallback>
        </mc:AlternateContent>
      </w:r>
    </w:p>
    <w:p w14:paraId="1FC448F8" w14:textId="77777777" w:rsidR="00440DD7" w:rsidRPr="00F42F80" w:rsidRDefault="00E74908">
      <w:pPr>
        <w:jc w:val="center"/>
        <w:rPr>
          <w:rFonts w:ascii="Lustria" w:eastAsia="Lustria" w:hAnsi="Lustria" w:cs="Lustria"/>
        </w:rPr>
      </w:pPr>
      <w:bookmarkStart w:id="1" w:name="_heading=h.gjdgxs" w:colFirst="0" w:colLast="0"/>
      <w:bookmarkEnd w:id="1"/>
      <w:r w:rsidRPr="00F42F80">
        <w:rPr>
          <w:rFonts w:ascii="Lustria" w:eastAsia="Lustria" w:hAnsi="Lustria" w:cs="Lustria"/>
          <w:color w:val="231F20"/>
          <w:sz w:val="48"/>
          <w:szCs w:val="48"/>
        </w:rPr>
        <w:t>Dinamika</w:t>
      </w:r>
      <w:r w:rsidRPr="00F42F80">
        <w:rPr>
          <w:rFonts w:ascii="Lustria" w:eastAsia="Lustria" w:hAnsi="Lustria" w:cs="Lustria"/>
          <w:color w:val="000000"/>
          <w:sz w:val="48"/>
          <w:szCs w:val="48"/>
        </w:rPr>
        <w:t> </w:t>
      </w:r>
      <w:r w:rsidRPr="00F42F80">
        <w:rPr>
          <w:rFonts w:ascii="Lustria" w:eastAsia="Lustria" w:hAnsi="Lustria" w:cs="Lustria"/>
          <w:color w:val="231F20"/>
          <w:sz w:val="48"/>
          <w:szCs w:val="48"/>
        </w:rPr>
        <w:t>Pendidikan</w:t>
      </w:r>
    </w:p>
    <w:p w14:paraId="48302318" w14:textId="77777777" w:rsidR="00440DD7" w:rsidRPr="00F42F80" w:rsidRDefault="00E74908">
      <w:pPr>
        <w:jc w:val="center"/>
        <w:rPr>
          <w:rFonts w:ascii="Lustria" w:eastAsia="Lustria" w:hAnsi="Lustria" w:cs="Lustria"/>
          <w:b/>
          <w:sz w:val="24"/>
          <w:szCs w:val="24"/>
        </w:rPr>
      </w:pPr>
      <w:r w:rsidRPr="00F42F80">
        <w:rPr>
          <w:rFonts w:ascii="Lustria" w:eastAsia="Lustria" w:hAnsi="Lustria" w:cs="Lustria"/>
          <w:color w:val="231F20"/>
        </w:rPr>
        <w:t>http://journal.unnes.ac.id/nju/index.php/dp</w:t>
      </w:r>
    </w:p>
    <w:p w14:paraId="79BF1C41" w14:textId="77777777" w:rsidR="00440DD7" w:rsidRPr="00F42F80" w:rsidRDefault="00440DD7">
      <w:pPr>
        <w:jc w:val="center"/>
        <w:rPr>
          <w:rFonts w:ascii="Lustria" w:hAnsi="Lustria"/>
          <w:b/>
          <w:sz w:val="24"/>
          <w:szCs w:val="24"/>
        </w:rPr>
      </w:pPr>
    </w:p>
    <w:p w14:paraId="33ABEB8A" w14:textId="77777777" w:rsidR="00440DD7" w:rsidRPr="00F42F80" w:rsidRDefault="00E74908">
      <w:pPr>
        <w:jc w:val="both"/>
        <w:rPr>
          <w:rFonts w:ascii="Lustria" w:eastAsia="Lustria" w:hAnsi="Lustria" w:cs="Lustria"/>
          <w:b/>
          <w:sz w:val="24"/>
          <w:szCs w:val="24"/>
        </w:rPr>
      </w:pPr>
      <w:r w:rsidRPr="00F42F80">
        <w:rPr>
          <w:rFonts w:ascii="Lustria" w:hAnsi="Lustria"/>
          <w:noProof/>
        </w:rPr>
        <mc:AlternateContent>
          <mc:Choice Requires="wpg">
            <w:drawing>
              <wp:anchor distT="4294967295" distB="4294967295" distL="114300" distR="114300" simplePos="0" relativeHeight="251670528" behindDoc="0" locked="0" layoutInCell="1" hidden="0" allowOverlap="1" wp14:anchorId="49DED952" wp14:editId="0544043F">
                <wp:simplePos x="0" y="0"/>
                <wp:positionH relativeFrom="column">
                  <wp:posOffset>38101</wp:posOffset>
                </wp:positionH>
                <wp:positionV relativeFrom="paragraph">
                  <wp:posOffset>17796</wp:posOffset>
                </wp:positionV>
                <wp:extent cx="5695950" cy="28575"/>
                <wp:effectExtent l="0" t="0" r="0" b="0"/>
                <wp:wrapNone/>
                <wp:docPr id="52" name="Straight Arrow Connector 52"/>
                <wp:cNvGraphicFramePr/>
                <a:graphic xmlns:a="http://schemas.openxmlformats.org/drawingml/2006/main">
                  <a:graphicData uri="http://schemas.microsoft.com/office/word/2010/wordprocessingShape">
                    <wps:wsp>
                      <wps:cNvCnPr/>
                      <wps:spPr>
                        <a:xfrm>
                          <a:off x="2498025" y="3780000"/>
                          <a:ext cx="5695950" cy="0"/>
                        </a:xfrm>
                        <a:prstGeom prst="straightConnector1">
                          <a:avLst/>
                        </a:prstGeom>
                        <a:noFill/>
                        <a:ln w="2857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38101</wp:posOffset>
                </wp:positionH>
                <wp:positionV relativeFrom="paragraph">
                  <wp:posOffset>17796</wp:posOffset>
                </wp:positionV>
                <wp:extent cx="5695950" cy="28575"/>
                <wp:effectExtent b="0" l="0" r="0" t="0"/>
                <wp:wrapNone/>
                <wp:docPr id="52"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5695950" cy="28575"/>
                        </a:xfrm>
                        <a:prstGeom prst="rect"/>
                        <a:ln/>
                      </pic:spPr>
                    </pic:pic>
                  </a:graphicData>
                </a:graphic>
              </wp:anchor>
            </w:drawing>
          </mc:Fallback>
        </mc:AlternateContent>
      </w:r>
    </w:p>
    <w:p w14:paraId="6577E5C5" w14:textId="33507520" w:rsidR="00440DD7" w:rsidRPr="00F42F80" w:rsidRDefault="0067115B">
      <w:pPr>
        <w:pStyle w:val="Title"/>
        <w:rPr>
          <w:rFonts w:ascii="Lustria" w:hAnsi="Lustria"/>
          <w:i/>
          <w:color w:val="00B0F0"/>
        </w:rPr>
      </w:pPr>
      <w:bookmarkStart w:id="2" w:name="_Hlk46494745"/>
      <w:r w:rsidRPr="00F42F80">
        <w:rPr>
          <w:rFonts w:ascii="Lustria" w:hAnsi="Lustria"/>
          <w:bCs w:val="0"/>
          <w:szCs w:val="28"/>
        </w:rPr>
        <w:t>How Can Community of Learning Affect Attitude Toward Computer-Based Statistics Among Accounting Students?</w:t>
      </w:r>
      <w:bookmarkEnd w:id="2"/>
    </w:p>
    <w:p w14:paraId="43B6B233" w14:textId="77777777" w:rsidR="00440DD7" w:rsidRPr="00F42F80" w:rsidRDefault="00440DD7">
      <w:pPr>
        <w:jc w:val="both"/>
        <w:rPr>
          <w:rFonts w:ascii="Lustria" w:hAnsi="Lustria"/>
          <w:b/>
        </w:rPr>
      </w:pPr>
    </w:p>
    <w:p w14:paraId="52DF1D20" w14:textId="5813DEEC" w:rsidR="00440DD7" w:rsidRPr="00F42F80" w:rsidRDefault="0067115B">
      <w:pPr>
        <w:pBdr>
          <w:top w:val="nil"/>
          <w:left w:val="nil"/>
          <w:bottom w:val="nil"/>
          <w:right w:val="nil"/>
          <w:between w:val="nil"/>
        </w:pBdr>
        <w:rPr>
          <w:rFonts w:ascii="Lustria" w:eastAsia="Lustria" w:hAnsi="Lustria" w:cs="Lustria"/>
          <w:b/>
          <w:i/>
          <w:color w:val="00B0F0"/>
          <w:sz w:val="22"/>
          <w:szCs w:val="22"/>
        </w:rPr>
      </w:pPr>
      <w:r w:rsidRPr="00F42F80">
        <w:rPr>
          <w:rFonts w:ascii="Lustria" w:eastAsia="Lustria" w:hAnsi="Lustria" w:cs="Lustria"/>
          <w:b/>
          <w:color w:val="000000"/>
          <w:sz w:val="22"/>
          <w:szCs w:val="22"/>
        </w:rPr>
        <w:t>Gaffar Hafiz Sagala</w:t>
      </w:r>
      <w:r w:rsidR="00E74908" w:rsidRPr="00F42F80">
        <w:rPr>
          <w:rFonts w:ascii="Lustria" w:eastAsia="Lustria" w:hAnsi="Lustria" w:cs="Lustria"/>
          <w:b/>
          <w:color w:val="000000"/>
          <w:sz w:val="22"/>
          <w:szCs w:val="22"/>
        </w:rPr>
        <w:t xml:space="preserve">, </w:t>
      </w:r>
      <w:r w:rsidRPr="00F42F80">
        <w:rPr>
          <w:rFonts w:ascii="Lustria" w:eastAsia="Lustria" w:hAnsi="Lustria" w:cs="Lustria"/>
          <w:b/>
          <w:color w:val="000000"/>
          <w:sz w:val="22"/>
          <w:szCs w:val="22"/>
        </w:rPr>
        <w:t>Ramdhansyah</w:t>
      </w:r>
      <w:r w:rsidR="00F42F80" w:rsidRPr="00F42F80">
        <w:rPr>
          <w:rFonts w:ascii="Segoe UI Symbol" w:eastAsia="Noto Sans Symbols" w:hAnsi="Segoe UI Symbol" w:cs="Segoe UI Symbol"/>
          <w:b/>
          <w:color w:val="231F20"/>
          <w:sz w:val="22"/>
          <w:szCs w:val="22"/>
          <w:vertAlign w:val="superscript"/>
        </w:rPr>
        <w:t>🖂</w:t>
      </w:r>
      <w:r w:rsidR="00E74908" w:rsidRPr="00F42F80">
        <w:rPr>
          <w:rFonts w:ascii="Lustria" w:eastAsia="Lustria" w:hAnsi="Lustria" w:cs="Lustria"/>
          <w:b/>
          <w:color w:val="000000"/>
          <w:sz w:val="22"/>
          <w:szCs w:val="22"/>
        </w:rPr>
        <w:t>,</w:t>
      </w:r>
      <w:r w:rsidRPr="00F42F80">
        <w:rPr>
          <w:rFonts w:ascii="Lustria" w:eastAsia="Lustria" w:hAnsi="Lustria" w:cs="Lustria"/>
          <w:b/>
          <w:color w:val="000000"/>
          <w:sz w:val="22"/>
          <w:szCs w:val="22"/>
        </w:rPr>
        <w:t xml:space="preserve"> Ulfa Nurhayani, Tuti Sriwedari</w:t>
      </w:r>
    </w:p>
    <w:p w14:paraId="546D4338" w14:textId="77777777" w:rsidR="00440DD7" w:rsidRPr="00F42F80" w:rsidRDefault="00440DD7">
      <w:pPr>
        <w:jc w:val="both"/>
        <w:rPr>
          <w:rFonts w:ascii="Lustria" w:eastAsia="Lustria" w:hAnsi="Lustria" w:cs="Lustria"/>
          <w:sz w:val="22"/>
          <w:szCs w:val="22"/>
        </w:rPr>
      </w:pPr>
    </w:p>
    <w:p w14:paraId="7EB89913" w14:textId="77777777" w:rsidR="00440DD7" w:rsidRPr="00F42F80" w:rsidRDefault="00E74908">
      <w:pPr>
        <w:pBdr>
          <w:top w:val="nil"/>
          <w:left w:val="nil"/>
          <w:bottom w:val="nil"/>
          <w:right w:val="nil"/>
          <w:between w:val="nil"/>
        </w:pBdr>
        <w:rPr>
          <w:rFonts w:ascii="Lustria" w:eastAsia="Lustria" w:hAnsi="Lustria" w:cs="Lustria"/>
          <w:b/>
          <w:color w:val="000000"/>
          <w:sz w:val="22"/>
          <w:szCs w:val="22"/>
        </w:rPr>
      </w:pPr>
      <w:r w:rsidRPr="00F42F80">
        <w:rPr>
          <w:rFonts w:ascii="Lustria" w:eastAsia="Lustria" w:hAnsi="Lustria" w:cs="Lustria"/>
          <w:b/>
          <w:color w:val="000000"/>
          <w:sz w:val="22"/>
          <w:szCs w:val="22"/>
          <w:highlight w:val="yellow"/>
        </w:rPr>
        <w:t>DOI: ………………………</w:t>
      </w:r>
      <w:r w:rsidRPr="00F42F80">
        <w:rPr>
          <w:rFonts w:ascii="Lustria" w:eastAsia="Lustria" w:hAnsi="Lustria" w:cs="Lustria"/>
          <w:b/>
          <w:color w:val="000000"/>
          <w:sz w:val="22"/>
          <w:szCs w:val="22"/>
        </w:rPr>
        <w:t>.</w:t>
      </w:r>
    </w:p>
    <w:p w14:paraId="0AD57706" w14:textId="77777777" w:rsidR="00440DD7" w:rsidRPr="00F42F80" w:rsidRDefault="00440DD7">
      <w:pPr>
        <w:jc w:val="both"/>
        <w:rPr>
          <w:rFonts w:ascii="Lustria" w:eastAsia="Lustria" w:hAnsi="Lustria" w:cs="Lustria"/>
          <w:sz w:val="22"/>
          <w:szCs w:val="22"/>
        </w:rPr>
      </w:pPr>
    </w:p>
    <w:p w14:paraId="3A43E43E" w14:textId="11F2BA07" w:rsidR="00440DD7" w:rsidRPr="00F42F80" w:rsidRDefault="00E74908">
      <w:pPr>
        <w:pBdr>
          <w:top w:val="nil"/>
          <w:left w:val="nil"/>
          <w:bottom w:val="nil"/>
          <w:right w:val="nil"/>
          <w:between w:val="nil"/>
        </w:pBdr>
        <w:rPr>
          <w:rFonts w:ascii="Lustria" w:eastAsia="Lustria" w:hAnsi="Lustria" w:cs="Lustria"/>
          <w:color w:val="000000"/>
          <w:sz w:val="22"/>
          <w:szCs w:val="22"/>
        </w:rPr>
      </w:pPr>
      <w:r w:rsidRPr="00F42F80">
        <w:rPr>
          <w:rFonts w:ascii="Lustria" w:eastAsia="Lustria" w:hAnsi="Lustria" w:cs="Lustria"/>
          <w:color w:val="000000"/>
          <w:sz w:val="22"/>
          <w:szCs w:val="22"/>
        </w:rPr>
        <w:t>Faculty</w:t>
      </w:r>
      <w:r w:rsidR="0067115B" w:rsidRPr="00F42F80">
        <w:rPr>
          <w:rFonts w:ascii="Lustria" w:eastAsia="Lustria" w:hAnsi="Lustria" w:cs="Lustria"/>
          <w:color w:val="000000"/>
          <w:sz w:val="22"/>
          <w:szCs w:val="22"/>
        </w:rPr>
        <w:t xml:space="preserve"> of Economics</w:t>
      </w:r>
      <w:r w:rsidRPr="00F42F80">
        <w:rPr>
          <w:rFonts w:ascii="Lustria" w:eastAsia="Lustria" w:hAnsi="Lustria" w:cs="Lustria"/>
          <w:color w:val="000000"/>
          <w:sz w:val="22"/>
          <w:szCs w:val="22"/>
        </w:rPr>
        <w:t xml:space="preserve">, Universitas </w:t>
      </w:r>
      <w:r w:rsidR="0067115B" w:rsidRPr="00F42F80">
        <w:rPr>
          <w:rFonts w:ascii="Lustria" w:eastAsia="Lustria" w:hAnsi="Lustria" w:cs="Lustria"/>
          <w:color w:val="000000"/>
          <w:sz w:val="22"/>
          <w:szCs w:val="22"/>
        </w:rPr>
        <w:t>Negeri Medan, Medan</w:t>
      </w:r>
      <w:r w:rsidRPr="00F42F80">
        <w:rPr>
          <w:rFonts w:ascii="Lustria" w:eastAsia="Lustria" w:hAnsi="Lustria" w:cs="Lustria"/>
          <w:color w:val="000000"/>
          <w:sz w:val="22"/>
          <w:szCs w:val="22"/>
        </w:rPr>
        <w:t xml:space="preserve">, </w:t>
      </w:r>
      <w:r w:rsidR="0067115B" w:rsidRPr="00F42F80">
        <w:rPr>
          <w:rFonts w:ascii="Lustria" w:eastAsia="Lustria" w:hAnsi="Lustria" w:cs="Lustria"/>
          <w:color w:val="000000"/>
          <w:sz w:val="22"/>
          <w:szCs w:val="22"/>
        </w:rPr>
        <w:t>Indonesia</w:t>
      </w:r>
      <w:r w:rsidRPr="00F42F80">
        <w:rPr>
          <w:rFonts w:ascii="Lustria" w:eastAsia="Lustria" w:hAnsi="Lustria" w:cs="Lustria"/>
          <w:color w:val="000000"/>
          <w:sz w:val="22"/>
          <w:szCs w:val="22"/>
        </w:rPr>
        <w:t xml:space="preserve"> </w:t>
      </w:r>
    </w:p>
    <w:p w14:paraId="5997E7CD" w14:textId="77777777" w:rsidR="00440DD7" w:rsidRPr="00F42F80" w:rsidRDefault="00440DD7">
      <w:pPr>
        <w:jc w:val="both"/>
        <w:rPr>
          <w:rFonts w:ascii="Lustria" w:hAnsi="Lustria"/>
        </w:rPr>
      </w:pPr>
    </w:p>
    <w:tbl>
      <w:tblPr>
        <w:tblStyle w:val="a"/>
        <w:tblW w:w="8897"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376"/>
        <w:gridCol w:w="284"/>
        <w:gridCol w:w="6237"/>
      </w:tblGrid>
      <w:tr w:rsidR="00440DD7" w:rsidRPr="00F42F80" w14:paraId="23999114" w14:textId="77777777">
        <w:tc>
          <w:tcPr>
            <w:tcW w:w="2376" w:type="dxa"/>
            <w:shd w:val="clear" w:color="auto" w:fill="auto"/>
          </w:tcPr>
          <w:p w14:paraId="33A4960A" w14:textId="77777777" w:rsidR="00440DD7" w:rsidRPr="00F42F80" w:rsidRDefault="00E74908">
            <w:pPr>
              <w:spacing w:before="120"/>
              <w:jc w:val="both"/>
              <w:rPr>
                <w:rFonts w:ascii="Lustria" w:eastAsia="Lustria" w:hAnsi="Lustria" w:cs="Lustria"/>
                <w:b/>
                <w:sz w:val="24"/>
                <w:szCs w:val="24"/>
              </w:rPr>
            </w:pPr>
            <w:r w:rsidRPr="00F42F80">
              <w:rPr>
                <w:rFonts w:ascii="Lustria" w:eastAsia="Lustria" w:hAnsi="Lustria" w:cs="Lustria"/>
                <w:b/>
                <w:sz w:val="24"/>
                <w:szCs w:val="24"/>
              </w:rPr>
              <w:t xml:space="preserve">History Article </w:t>
            </w:r>
          </w:p>
        </w:tc>
        <w:tc>
          <w:tcPr>
            <w:tcW w:w="284" w:type="dxa"/>
            <w:shd w:val="clear" w:color="auto" w:fill="auto"/>
          </w:tcPr>
          <w:p w14:paraId="4C1CCD0E" w14:textId="77777777" w:rsidR="00440DD7" w:rsidRPr="00F42F80" w:rsidRDefault="00440DD7">
            <w:pPr>
              <w:spacing w:before="120"/>
              <w:jc w:val="both"/>
              <w:rPr>
                <w:rFonts w:ascii="Lustria" w:eastAsia="Lustria" w:hAnsi="Lustria" w:cs="Lustria"/>
                <w:sz w:val="24"/>
                <w:szCs w:val="24"/>
              </w:rPr>
            </w:pPr>
          </w:p>
        </w:tc>
        <w:tc>
          <w:tcPr>
            <w:tcW w:w="6237" w:type="dxa"/>
            <w:shd w:val="clear" w:color="auto" w:fill="auto"/>
          </w:tcPr>
          <w:p w14:paraId="07F3809C" w14:textId="77777777" w:rsidR="00440DD7" w:rsidRPr="00F42F80" w:rsidRDefault="00E74908">
            <w:pPr>
              <w:spacing w:before="120"/>
              <w:jc w:val="both"/>
              <w:rPr>
                <w:rFonts w:ascii="Lustria" w:eastAsia="Lustria" w:hAnsi="Lustria" w:cs="Lustria"/>
                <w:color w:val="000000"/>
                <w:sz w:val="24"/>
                <w:szCs w:val="24"/>
              </w:rPr>
            </w:pPr>
            <w:r w:rsidRPr="00F42F80">
              <w:rPr>
                <w:rFonts w:ascii="Lustria" w:eastAsia="Lustria" w:hAnsi="Lustria" w:cs="Lustria"/>
                <w:b/>
                <w:color w:val="000000"/>
                <w:sz w:val="24"/>
                <w:szCs w:val="24"/>
              </w:rPr>
              <w:t xml:space="preserve">Abstract </w:t>
            </w:r>
          </w:p>
        </w:tc>
      </w:tr>
      <w:tr w:rsidR="00440DD7" w:rsidRPr="00F42F80" w14:paraId="18677D37" w14:textId="77777777">
        <w:trPr>
          <w:trHeight w:val="1268"/>
        </w:trPr>
        <w:tc>
          <w:tcPr>
            <w:tcW w:w="2376" w:type="dxa"/>
            <w:shd w:val="clear" w:color="auto" w:fill="auto"/>
          </w:tcPr>
          <w:p w14:paraId="555F6CC7" w14:textId="77777777" w:rsidR="00440DD7" w:rsidRPr="00F42F80" w:rsidRDefault="00E74908">
            <w:pPr>
              <w:spacing w:before="120" w:after="120"/>
              <w:jc w:val="both"/>
              <w:rPr>
                <w:rFonts w:ascii="Lustria" w:eastAsia="Lustria" w:hAnsi="Lustria" w:cs="Lustria"/>
                <w:b/>
                <w:i/>
                <w:color w:val="FF0000"/>
                <w:sz w:val="22"/>
                <w:szCs w:val="22"/>
              </w:rPr>
            </w:pPr>
            <w:r w:rsidRPr="00F42F80">
              <w:rPr>
                <w:rFonts w:ascii="Lustria" w:eastAsia="Lustria" w:hAnsi="Lustria" w:cs="Lustria"/>
                <w:b/>
                <w:i/>
                <w:sz w:val="22"/>
                <w:szCs w:val="22"/>
              </w:rPr>
              <w:t xml:space="preserve">Article </w:t>
            </w:r>
            <w:r w:rsidRPr="00F42F80">
              <w:rPr>
                <w:rFonts w:ascii="Lustria" w:eastAsia="Lustria" w:hAnsi="Lustria" w:cs="Lustria"/>
                <w:b/>
                <w:i/>
                <w:color w:val="000000"/>
                <w:sz w:val="22"/>
                <w:szCs w:val="22"/>
              </w:rPr>
              <w:t>history:</w:t>
            </w:r>
          </w:p>
          <w:p w14:paraId="48DCF731" w14:textId="77777777" w:rsidR="00440DD7" w:rsidRPr="00F42F80" w:rsidRDefault="00E74908">
            <w:pPr>
              <w:pBdr>
                <w:top w:val="nil"/>
                <w:left w:val="nil"/>
                <w:bottom w:val="nil"/>
                <w:right w:val="nil"/>
                <w:between w:val="nil"/>
              </w:pBdr>
              <w:rPr>
                <w:rFonts w:ascii="Lustria" w:eastAsia="Lustria" w:hAnsi="Lustria" w:cs="Lustria"/>
                <w:color w:val="FF0000"/>
                <w:sz w:val="16"/>
                <w:szCs w:val="16"/>
              </w:rPr>
            </w:pPr>
            <w:r w:rsidRPr="00F42F80">
              <w:rPr>
                <w:rFonts w:ascii="Lustria" w:eastAsia="Lustria" w:hAnsi="Lustria" w:cs="Lustria"/>
                <w:color w:val="000000"/>
                <w:sz w:val="16"/>
                <w:szCs w:val="16"/>
              </w:rPr>
              <w:t>Received</w:t>
            </w:r>
            <w:r w:rsidRPr="00F42F80">
              <w:rPr>
                <w:rFonts w:ascii="Lustria" w:eastAsia="Lustria" w:hAnsi="Lustria" w:cs="Lustria"/>
                <w:color w:val="FF0000"/>
                <w:sz w:val="16"/>
                <w:szCs w:val="16"/>
              </w:rPr>
              <w:t xml:space="preserve"> </w:t>
            </w:r>
            <w:r w:rsidRPr="00F42F80">
              <w:rPr>
                <w:rFonts w:ascii="Lustria" w:eastAsia="Lustria" w:hAnsi="Lustria" w:cs="Lustria"/>
                <w:color w:val="000000"/>
                <w:sz w:val="16"/>
                <w:szCs w:val="16"/>
              </w:rPr>
              <w:t>June 3, 2018</w:t>
            </w:r>
          </w:p>
          <w:p w14:paraId="6003F807" w14:textId="77777777" w:rsidR="00440DD7" w:rsidRPr="00F42F80" w:rsidRDefault="00E74908">
            <w:pPr>
              <w:pBdr>
                <w:top w:val="nil"/>
                <w:left w:val="nil"/>
                <w:bottom w:val="nil"/>
                <w:right w:val="nil"/>
                <w:between w:val="nil"/>
              </w:pBdr>
              <w:rPr>
                <w:rFonts w:ascii="Lustria" w:eastAsia="Lustria" w:hAnsi="Lustria" w:cs="Lustria"/>
                <w:color w:val="FF0000"/>
                <w:sz w:val="16"/>
                <w:szCs w:val="16"/>
              </w:rPr>
            </w:pPr>
            <w:r w:rsidRPr="00F42F80">
              <w:rPr>
                <w:rFonts w:ascii="Lustria" w:eastAsia="Lustria" w:hAnsi="Lustria" w:cs="Lustria"/>
                <w:color w:val="000000"/>
                <w:sz w:val="16"/>
                <w:szCs w:val="16"/>
              </w:rPr>
              <w:t>Approed October 20 , 2018</w:t>
            </w:r>
          </w:p>
          <w:p w14:paraId="134F0D98" w14:textId="77777777" w:rsidR="00440DD7" w:rsidRPr="00F42F80" w:rsidRDefault="00E74908">
            <w:pPr>
              <w:pBdr>
                <w:top w:val="nil"/>
                <w:left w:val="nil"/>
                <w:bottom w:val="nil"/>
                <w:right w:val="nil"/>
                <w:between w:val="nil"/>
              </w:pBdr>
              <w:rPr>
                <w:rFonts w:ascii="Lustria" w:eastAsia="Lustria" w:hAnsi="Lustria" w:cs="Lustria"/>
                <w:color w:val="000000"/>
                <w:sz w:val="16"/>
                <w:szCs w:val="16"/>
              </w:rPr>
            </w:pPr>
            <w:r w:rsidRPr="00F42F80">
              <w:rPr>
                <w:rFonts w:ascii="Lustria" w:eastAsia="Lustria" w:hAnsi="Lustria" w:cs="Lustria"/>
                <w:color w:val="000000"/>
                <w:sz w:val="16"/>
                <w:szCs w:val="16"/>
              </w:rPr>
              <w:t>Published 30 Desember 2018</w:t>
            </w:r>
          </w:p>
          <w:p w14:paraId="5AC94D05" w14:textId="77777777" w:rsidR="00440DD7" w:rsidRPr="00F42F80" w:rsidRDefault="00E74908">
            <w:pPr>
              <w:pBdr>
                <w:top w:val="nil"/>
                <w:left w:val="nil"/>
                <w:bottom w:val="nil"/>
                <w:right w:val="nil"/>
                <w:between w:val="nil"/>
              </w:pBdr>
              <w:rPr>
                <w:rFonts w:ascii="Lustria" w:eastAsia="Lustria" w:hAnsi="Lustria" w:cs="Lustria"/>
                <w:i/>
                <w:color w:val="00B0F0"/>
                <w:sz w:val="16"/>
                <w:szCs w:val="16"/>
              </w:rPr>
            </w:pPr>
            <w:r w:rsidRPr="00F42F80">
              <w:rPr>
                <w:rFonts w:ascii="Lustria" w:eastAsia="Lustria" w:hAnsi="Lustria" w:cs="Lustria"/>
                <w:i/>
                <w:color w:val="00B0F0"/>
                <w:sz w:val="16"/>
                <w:szCs w:val="16"/>
              </w:rPr>
              <w:t>(Shortcut: Alt+Ctrl +A)</w:t>
            </w:r>
          </w:p>
          <w:p w14:paraId="779C999F" w14:textId="77777777" w:rsidR="00440DD7" w:rsidRPr="00F42F80" w:rsidRDefault="00440DD7">
            <w:pPr>
              <w:jc w:val="both"/>
              <w:rPr>
                <w:rFonts w:ascii="Lustria" w:eastAsia="Lustria" w:hAnsi="Lustria" w:cs="Lustria"/>
                <w:sz w:val="22"/>
                <w:szCs w:val="22"/>
              </w:rPr>
            </w:pPr>
          </w:p>
        </w:tc>
        <w:tc>
          <w:tcPr>
            <w:tcW w:w="284" w:type="dxa"/>
            <w:vMerge w:val="restart"/>
            <w:shd w:val="clear" w:color="auto" w:fill="auto"/>
          </w:tcPr>
          <w:p w14:paraId="4DBE5CAD" w14:textId="77777777" w:rsidR="00440DD7" w:rsidRPr="00F42F80" w:rsidRDefault="00440DD7">
            <w:pPr>
              <w:spacing w:before="120"/>
              <w:jc w:val="both"/>
              <w:rPr>
                <w:rFonts w:ascii="Lustria" w:eastAsia="Lustria" w:hAnsi="Lustria" w:cs="Lustria"/>
                <w:sz w:val="22"/>
                <w:szCs w:val="22"/>
              </w:rPr>
            </w:pPr>
          </w:p>
        </w:tc>
        <w:tc>
          <w:tcPr>
            <w:tcW w:w="6237" w:type="dxa"/>
            <w:vMerge w:val="restart"/>
            <w:shd w:val="clear" w:color="auto" w:fill="auto"/>
          </w:tcPr>
          <w:p w14:paraId="72035B9B" w14:textId="2B7C7820" w:rsidR="00440DD7" w:rsidRPr="00F42F80" w:rsidRDefault="0067115B">
            <w:pPr>
              <w:pBdr>
                <w:top w:val="nil"/>
                <w:left w:val="nil"/>
                <w:bottom w:val="nil"/>
                <w:right w:val="nil"/>
                <w:between w:val="nil"/>
              </w:pBdr>
              <w:jc w:val="both"/>
              <w:rPr>
                <w:rFonts w:ascii="Lustria" w:eastAsia="Lustria" w:hAnsi="Lustria" w:cs="Lustria"/>
                <w:b/>
                <w:color w:val="000000"/>
                <w:sz w:val="18"/>
                <w:szCs w:val="18"/>
              </w:rPr>
            </w:pPr>
            <w:bookmarkStart w:id="3" w:name="_Hlk46497640"/>
            <w:r w:rsidRPr="00F42F80">
              <w:rPr>
                <w:rFonts w:ascii="Lustria" w:hAnsi="Lustria"/>
                <w:color w:val="000000" w:themeColor="text1"/>
              </w:rPr>
              <w:t>This study aims to examine the three dimensions that should exist in a learning community, namely Student Cohesiveness, Integration, and Task Orientation, related to their influence on attitude toward computer-based statistics. Attitude toward computer-based statistics itself is measured by observing perceived usefulness (PU), perceived ease of use (PEU), perceived enjoyment (PE). From the purpose of this research, this study seeks to justify the value of information systems in overcoming statistical problems faced by accounting students. The use of information systems can reduce the pressure in dealing with statistics so that there is an opportunity to increase the competitive advantage of accounting students in the business world. The respondents of this study were undergraduate accounting students who were involved in the learning community at the faculty. With purposive sampling, this study succeeded in collecting 105 responses obtained from private and state universities. Data were collected using a 5-scale Likert questionnaire. The collected data is then analyzed using Structural Equational Mode</w:t>
            </w:r>
            <w:r w:rsidR="00332E2E" w:rsidRPr="00F42F80">
              <w:rPr>
                <w:rFonts w:ascii="Lustria" w:hAnsi="Lustria"/>
                <w:color w:val="000000" w:themeColor="text1"/>
              </w:rPr>
              <w:t>l</w:t>
            </w:r>
            <w:r w:rsidRPr="00F42F80">
              <w:rPr>
                <w:rFonts w:ascii="Lustria" w:hAnsi="Lustria"/>
                <w:color w:val="000000" w:themeColor="text1"/>
              </w:rPr>
              <w:t>ling (SEM) with the help of the Smart PLS 3.0. The results indicate that task orientation is the key indicator of the learning community, which affects attitude toward computer-based statistics. Meanwhile, the second-order factors show that all three predictors were essential in explaining that attitude toward computer-based statistics, and it shows a significant impact on Reuse Intention. This study recommends the exploitation of IT in statistical learning in business schools. Besides, this study also suggests the implementation of informal learning in groups to build learning dynamics that are more independent but still controllable so that the learning topic is integrated with certain subjects. Future studies can explore experimentally the learning community design that matches the characteristics of students on a particular campus, especially in the face of the digital era.</w:t>
            </w:r>
            <w:bookmarkEnd w:id="3"/>
          </w:p>
          <w:p w14:paraId="6FC94BA2" w14:textId="77777777" w:rsidR="00440DD7" w:rsidRPr="00F42F80" w:rsidRDefault="00E74908">
            <w:pPr>
              <w:spacing w:before="120" w:after="120"/>
              <w:jc w:val="both"/>
              <w:rPr>
                <w:rFonts w:ascii="Lustria" w:eastAsia="Lustria" w:hAnsi="Lustria" w:cs="Lustria"/>
                <w:b/>
                <w:color w:val="000000"/>
                <w:sz w:val="24"/>
                <w:szCs w:val="24"/>
              </w:rPr>
            </w:pPr>
            <w:r w:rsidRPr="00F42F80">
              <w:rPr>
                <w:rFonts w:ascii="Lustria" w:eastAsia="Lustria" w:hAnsi="Lustria" w:cs="Lustria"/>
                <w:b/>
                <w:color w:val="000000"/>
                <w:sz w:val="24"/>
                <w:szCs w:val="24"/>
              </w:rPr>
              <w:t>How to Cite</w:t>
            </w:r>
          </w:p>
        </w:tc>
      </w:tr>
      <w:tr w:rsidR="00440DD7" w:rsidRPr="00F42F80" w14:paraId="04F6304C" w14:textId="77777777">
        <w:trPr>
          <w:trHeight w:val="1231"/>
        </w:trPr>
        <w:tc>
          <w:tcPr>
            <w:tcW w:w="2376" w:type="dxa"/>
            <w:vMerge w:val="restart"/>
            <w:shd w:val="clear" w:color="auto" w:fill="auto"/>
          </w:tcPr>
          <w:p w14:paraId="553B6818" w14:textId="77777777" w:rsidR="00440DD7" w:rsidRPr="00F42F80" w:rsidRDefault="00E74908">
            <w:pPr>
              <w:spacing w:before="120" w:after="120"/>
              <w:jc w:val="both"/>
              <w:rPr>
                <w:rFonts w:ascii="Lustria" w:eastAsia="Lustria" w:hAnsi="Lustria" w:cs="Lustria"/>
                <w:b/>
                <w:i/>
                <w:sz w:val="24"/>
                <w:szCs w:val="24"/>
              </w:rPr>
            </w:pPr>
            <w:r w:rsidRPr="00F42F80">
              <w:rPr>
                <w:rFonts w:ascii="Lustria" w:eastAsia="Lustria" w:hAnsi="Lustria" w:cs="Lustria"/>
                <w:b/>
                <w:i/>
                <w:sz w:val="24"/>
                <w:szCs w:val="24"/>
              </w:rPr>
              <w:t>Keywords:</w:t>
            </w:r>
          </w:p>
          <w:p w14:paraId="631534A3" w14:textId="13F7FB9D" w:rsidR="00440DD7" w:rsidRPr="00F42F80" w:rsidRDefault="0067115B">
            <w:pPr>
              <w:pBdr>
                <w:top w:val="nil"/>
                <w:left w:val="nil"/>
                <w:bottom w:val="nil"/>
                <w:right w:val="nil"/>
                <w:between w:val="nil"/>
              </w:pBdr>
              <w:rPr>
                <w:rFonts w:ascii="Lustria" w:eastAsia="Lustria" w:hAnsi="Lustria" w:cs="Lustria"/>
                <w:i/>
                <w:color w:val="00B0F0"/>
                <w:sz w:val="16"/>
                <w:szCs w:val="16"/>
              </w:rPr>
            </w:pPr>
            <w:r w:rsidRPr="00F42F80">
              <w:rPr>
                <w:rFonts w:ascii="Lustria" w:eastAsia="Lustria" w:hAnsi="Lustria" w:cs="Lustria"/>
                <w:color w:val="000000"/>
                <w:sz w:val="16"/>
                <w:szCs w:val="16"/>
              </w:rPr>
              <w:t xml:space="preserve">Information Technology, Statistics, Digital Natives, </w:t>
            </w:r>
            <w:r w:rsidR="00332E2E" w:rsidRPr="00F42F80">
              <w:rPr>
                <w:rFonts w:ascii="Lustria" w:eastAsia="Lustria" w:hAnsi="Lustria" w:cs="Lustria"/>
                <w:color w:val="000000"/>
                <w:sz w:val="16"/>
                <w:szCs w:val="16"/>
              </w:rPr>
              <w:t xml:space="preserve">Higher </w:t>
            </w:r>
            <w:r w:rsidRPr="00F42F80">
              <w:rPr>
                <w:rFonts w:ascii="Lustria" w:eastAsia="Lustria" w:hAnsi="Lustria" w:cs="Lustria"/>
                <w:color w:val="000000"/>
                <w:sz w:val="16"/>
                <w:szCs w:val="16"/>
              </w:rPr>
              <w:t>Ed</w:t>
            </w:r>
            <w:r w:rsidR="00332E2E" w:rsidRPr="00F42F80">
              <w:rPr>
                <w:rFonts w:ascii="Lustria" w:eastAsia="Lustria" w:hAnsi="Lustria" w:cs="Lustria"/>
                <w:color w:val="000000"/>
                <w:sz w:val="16"/>
                <w:szCs w:val="16"/>
              </w:rPr>
              <w:t>u</w:t>
            </w:r>
            <w:r w:rsidRPr="00F42F80">
              <w:rPr>
                <w:rFonts w:ascii="Lustria" w:eastAsia="Lustria" w:hAnsi="Lustria" w:cs="Lustria"/>
                <w:color w:val="000000"/>
                <w:sz w:val="16"/>
                <w:szCs w:val="16"/>
              </w:rPr>
              <w:t>cation</w:t>
            </w:r>
            <w:r w:rsidR="00332E2E" w:rsidRPr="00F42F80">
              <w:rPr>
                <w:rFonts w:ascii="Lustria" w:eastAsia="Lustria" w:hAnsi="Lustria" w:cs="Lustria"/>
                <w:color w:val="000000"/>
                <w:sz w:val="16"/>
                <w:szCs w:val="16"/>
              </w:rPr>
              <w:t>, Business School</w:t>
            </w:r>
          </w:p>
          <w:p w14:paraId="3F913BD7" w14:textId="77777777" w:rsidR="00440DD7" w:rsidRPr="00F42F80" w:rsidRDefault="00440DD7">
            <w:pPr>
              <w:jc w:val="both"/>
              <w:rPr>
                <w:rFonts w:ascii="Lustria" w:eastAsia="Lustria" w:hAnsi="Lustria" w:cs="Lustria"/>
                <w:b/>
                <w:i/>
                <w:sz w:val="22"/>
                <w:szCs w:val="22"/>
              </w:rPr>
            </w:pPr>
          </w:p>
        </w:tc>
        <w:tc>
          <w:tcPr>
            <w:tcW w:w="284" w:type="dxa"/>
            <w:vMerge/>
            <w:shd w:val="clear" w:color="auto" w:fill="auto"/>
          </w:tcPr>
          <w:p w14:paraId="41B16CCA" w14:textId="77777777" w:rsidR="00440DD7" w:rsidRPr="00F42F80" w:rsidRDefault="00440DD7">
            <w:pPr>
              <w:widowControl w:val="0"/>
              <w:pBdr>
                <w:top w:val="nil"/>
                <w:left w:val="nil"/>
                <w:bottom w:val="nil"/>
                <w:right w:val="nil"/>
                <w:between w:val="nil"/>
              </w:pBdr>
              <w:spacing w:line="276" w:lineRule="auto"/>
              <w:rPr>
                <w:rFonts w:ascii="Lustria" w:eastAsia="Lustria" w:hAnsi="Lustria" w:cs="Lustria"/>
                <w:b/>
                <w:i/>
                <w:sz w:val="22"/>
                <w:szCs w:val="22"/>
              </w:rPr>
            </w:pPr>
          </w:p>
        </w:tc>
        <w:tc>
          <w:tcPr>
            <w:tcW w:w="6237" w:type="dxa"/>
            <w:vMerge/>
            <w:shd w:val="clear" w:color="auto" w:fill="auto"/>
          </w:tcPr>
          <w:p w14:paraId="4EA75860" w14:textId="77777777" w:rsidR="00440DD7" w:rsidRPr="00F42F80" w:rsidRDefault="00440DD7">
            <w:pPr>
              <w:widowControl w:val="0"/>
              <w:pBdr>
                <w:top w:val="nil"/>
                <w:left w:val="nil"/>
                <w:bottom w:val="nil"/>
                <w:right w:val="nil"/>
                <w:between w:val="nil"/>
              </w:pBdr>
              <w:spacing w:line="276" w:lineRule="auto"/>
              <w:rPr>
                <w:rFonts w:ascii="Lustria" w:eastAsia="Lustria" w:hAnsi="Lustria" w:cs="Lustria"/>
                <w:b/>
                <w:i/>
                <w:sz w:val="22"/>
                <w:szCs w:val="22"/>
              </w:rPr>
            </w:pPr>
          </w:p>
        </w:tc>
      </w:tr>
      <w:tr w:rsidR="00440DD7" w:rsidRPr="00F42F80" w14:paraId="2AD81DE6" w14:textId="77777777">
        <w:trPr>
          <w:trHeight w:val="70"/>
        </w:trPr>
        <w:tc>
          <w:tcPr>
            <w:tcW w:w="2376" w:type="dxa"/>
            <w:vMerge/>
            <w:shd w:val="clear" w:color="auto" w:fill="auto"/>
          </w:tcPr>
          <w:p w14:paraId="73A789C8" w14:textId="77777777" w:rsidR="00440DD7" w:rsidRPr="00F42F80" w:rsidRDefault="00440DD7">
            <w:pPr>
              <w:widowControl w:val="0"/>
              <w:pBdr>
                <w:top w:val="nil"/>
                <w:left w:val="nil"/>
                <w:bottom w:val="nil"/>
                <w:right w:val="nil"/>
                <w:between w:val="nil"/>
              </w:pBdr>
              <w:spacing w:line="276" w:lineRule="auto"/>
              <w:rPr>
                <w:rFonts w:ascii="Lustria" w:eastAsia="Lustria" w:hAnsi="Lustria" w:cs="Lustria"/>
                <w:b/>
                <w:i/>
                <w:sz w:val="22"/>
                <w:szCs w:val="22"/>
              </w:rPr>
            </w:pPr>
          </w:p>
        </w:tc>
        <w:tc>
          <w:tcPr>
            <w:tcW w:w="284" w:type="dxa"/>
            <w:vMerge/>
            <w:shd w:val="clear" w:color="auto" w:fill="auto"/>
          </w:tcPr>
          <w:p w14:paraId="7D5DA401" w14:textId="77777777" w:rsidR="00440DD7" w:rsidRPr="00F42F80" w:rsidRDefault="00440DD7">
            <w:pPr>
              <w:widowControl w:val="0"/>
              <w:pBdr>
                <w:top w:val="nil"/>
                <w:left w:val="nil"/>
                <w:bottom w:val="nil"/>
                <w:right w:val="nil"/>
                <w:between w:val="nil"/>
              </w:pBdr>
              <w:spacing w:line="276" w:lineRule="auto"/>
              <w:rPr>
                <w:rFonts w:ascii="Lustria" w:eastAsia="Lustria" w:hAnsi="Lustria" w:cs="Lustria"/>
                <w:b/>
                <w:i/>
                <w:sz w:val="22"/>
                <w:szCs w:val="22"/>
              </w:rPr>
            </w:pPr>
          </w:p>
        </w:tc>
        <w:tc>
          <w:tcPr>
            <w:tcW w:w="6237" w:type="dxa"/>
            <w:shd w:val="clear" w:color="auto" w:fill="auto"/>
          </w:tcPr>
          <w:p w14:paraId="0C69BF5D" w14:textId="77777777" w:rsidR="00440DD7" w:rsidRPr="00F42F80" w:rsidRDefault="00E74908">
            <w:pPr>
              <w:pBdr>
                <w:top w:val="nil"/>
                <w:left w:val="nil"/>
                <w:bottom w:val="nil"/>
                <w:right w:val="nil"/>
                <w:between w:val="nil"/>
              </w:pBdr>
              <w:jc w:val="both"/>
              <w:rPr>
                <w:rFonts w:ascii="Lustria" w:eastAsia="Lustria" w:hAnsi="Lustria" w:cs="Lustria"/>
                <w:color w:val="000000"/>
                <w:sz w:val="18"/>
                <w:szCs w:val="18"/>
              </w:rPr>
            </w:pPr>
            <w:r w:rsidRPr="00F42F80">
              <w:rPr>
                <w:rFonts w:ascii="Lustria" w:eastAsia="Lustria" w:hAnsi="Lustria" w:cs="Lustria"/>
                <w:color w:val="000000"/>
                <w:sz w:val="18"/>
                <w:szCs w:val="18"/>
              </w:rPr>
              <w:t xml:space="preserve">Last Name, First Name. &amp; Last Name, First Name. (Year). Title. Dinamika Pendidikan., </w:t>
            </w:r>
            <w:r w:rsidRPr="00F42F80">
              <w:rPr>
                <w:rFonts w:ascii="Lustria" w:eastAsia="Lustria" w:hAnsi="Lustria" w:cs="Lustria"/>
                <w:color w:val="000000"/>
                <w:sz w:val="18"/>
                <w:szCs w:val="18"/>
                <w:highlight w:val="yellow"/>
              </w:rPr>
              <w:t>13 (1) 2018, 1-10</w:t>
            </w:r>
          </w:p>
          <w:p w14:paraId="4FDF1625" w14:textId="77777777" w:rsidR="00440DD7" w:rsidRPr="00F42F80" w:rsidRDefault="00E74908">
            <w:pPr>
              <w:pBdr>
                <w:top w:val="nil"/>
                <w:left w:val="nil"/>
                <w:bottom w:val="nil"/>
                <w:right w:val="nil"/>
                <w:between w:val="nil"/>
              </w:pBdr>
              <w:jc w:val="both"/>
              <w:rPr>
                <w:rFonts w:ascii="Lustria" w:eastAsia="Lustria" w:hAnsi="Lustria" w:cs="Lustria"/>
                <w:color w:val="000000"/>
                <w:sz w:val="18"/>
                <w:szCs w:val="18"/>
              </w:rPr>
            </w:pPr>
            <w:r w:rsidRPr="00F42F80">
              <w:rPr>
                <w:rFonts w:ascii="Lustria" w:eastAsia="Lustria" w:hAnsi="Lustria" w:cs="Lustria"/>
                <w:i/>
                <w:color w:val="00B0F0"/>
                <w:sz w:val="18"/>
                <w:szCs w:val="18"/>
              </w:rPr>
              <w:t>(Shortcut: Alt+Ctrl+O)</w:t>
            </w:r>
          </w:p>
          <w:p w14:paraId="3C616E98" w14:textId="77777777" w:rsidR="00440DD7" w:rsidRPr="00F42F80" w:rsidRDefault="00E74908">
            <w:pPr>
              <w:jc w:val="right"/>
              <w:rPr>
                <w:rFonts w:ascii="Lustria" w:eastAsia="Lustria" w:hAnsi="Lustria" w:cs="Lustria"/>
                <w:color w:val="231F20"/>
              </w:rPr>
            </w:pPr>
            <w:r w:rsidRPr="00F42F80">
              <w:rPr>
                <w:rFonts w:ascii="Lustria" w:eastAsia="Lustria" w:hAnsi="Lustria" w:cs="Lustria"/>
                <w:color w:val="231F20"/>
              </w:rPr>
              <w:t>© 2018 Universitas Negeri Semarang</w:t>
            </w:r>
          </w:p>
          <w:p w14:paraId="00DC9F4E" w14:textId="77777777" w:rsidR="00440DD7" w:rsidRPr="00F42F80" w:rsidRDefault="00440DD7">
            <w:pPr>
              <w:jc w:val="both"/>
              <w:rPr>
                <w:rFonts w:ascii="Lustria" w:eastAsia="Lustria" w:hAnsi="Lustria" w:cs="Lustria"/>
                <w:sz w:val="22"/>
                <w:szCs w:val="22"/>
              </w:rPr>
            </w:pPr>
          </w:p>
        </w:tc>
      </w:tr>
      <w:tr w:rsidR="00440DD7" w:rsidRPr="00F42F80" w14:paraId="4B5CDD13" w14:textId="77777777">
        <w:tc>
          <w:tcPr>
            <w:tcW w:w="8897" w:type="dxa"/>
            <w:gridSpan w:val="3"/>
            <w:shd w:val="clear" w:color="auto" w:fill="auto"/>
          </w:tcPr>
          <w:p w14:paraId="3FFFBAA0" w14:textId="77777777" w:rsidR="00440DD7" w:rsidRPr="00F42F80" w:rsidRDefault="00E74908">
            <w:pPr>
              <w:tabs>
                <w:tab w:val="left" w:pos="6300"/>
              </w:tabs>
              <w:jc w:val="both"/>
              <w:rPr>
                <w:rFonts w:ascii="Lustria" w:eastAsia="Lustria" w:hAnsi="Lustria" w:cs="Lustria"/>
                <w:color w:val="231F20"/>
              </w:rPr>
            </w:pPr>
            <w:r w:rsidRPr="00F42F80">
              <w:rPr>
                <w:rFonts w:ascii="Segoe UI Symbol" w:eastAsia="Noto Sans Symbols" w:hAnsi="Segoe UI Symbol" w:cs="Segoe UI Symbol"/>
                <w:color w:val="231F20"/>
              </w:rPr>
              <w:t>🖂</w:t>
            </w:r>
            <w:r w:rsidRPr="00F42F80">
              <w:rPr>
                <w:rFonts w:ascii="Lustria" w:eastAsia="Noto Sans Symbols" w:hAnsi="Lustria" w:cs="Noto Sans Symbols"/>
                <w:color w:val="231F20"/>
              </w:rPr>
              <w:t xml:space="preserve"> </w:t>
            </w:r>
            <w:r w:rsidRPr="00F42F80">
              <w:rPr>
                <w:rFonts w:ascii="Lustria" w:eastAsia="Lustria" w:hAnsi="Lustria" w:cs="Lustria"/>
                <w:sz w:val="22"/>
                <w:szCs w:val="22"/>
              </w:rPr>
              <w:t xml:space="preserve">Corresponding Author:                                                                            </w:t>
            </w:r>
            <w:r w:rsidRPr="00F42F80">
              <w:rPr>
                <w:rFonts w:ascii="Lustria" w:eastAsia="Lustria" w:hAnsi="Lustria" w:cs="Lustria"/>
                <w:color w:val="231F20"/>
              </w:rPr>
              <w:t>p-ISSN 1907-3720</w:t>
            </w:r>
          </w:p>
          <w:p w14:paraId="50A768B3" w14:textId="4451179E" w:rsidR="00440DD7" w:rsidRPr="00F42F80" w:rsidRDefault="00E74908">
            <w:pPr>
              <w:pBdr>
                <w:top w:val="nil"/>
                <w:left w:val="nil"/>
                <w:bottom w:val="nil"/>
                <w:right w:val="nil"/>
                <w:between w:val="nil"/>
              </w:pBdr>
              <w:jc w:val="both"/>
              <w:rPr>
                <w:rFonts w:ascii="Lustria" w:eastAsia="Lustria" w:hAnsi="Lustria" w:cs="Lustria"/>
                <w:color w:val="000000"/>
                <w:sz w:val="18"/>
                <w:szCs w:val="18"/>
              </w:rPr>
            </w:pPr>
            <w:r w:rsidRPr="00F42F80">
              <w:rPr>
                <w:rFonts w:ascii="Lustria" w:eastAsia="Lustria" w:hAnsi="Lustria" w:cs="Lustria"/>
                <w:color w:val="000000"/>
                <w:sz w:val="18"/>
                <w:szCs w:val="18"/>
              </w:rPr>
              <w:lastRenderedPageBreak/>
              <w:t xml:space="preserve">Jl. </w:t>
            </w:r>
            <w:r w:rsidR="00332E2E" w:rsidRPr="00F42F80">
              <w:rPr>
                <w:rFonts w:ascii="Lustria" w:eastAsia="Lustria" w:hAnsi="Lustria" w:cs="Lustria"/>
                <w:color w:val="000000"/>
                <w:sz w:val="18"/>
                <w:szCs w:val="18"/>
              </w:rPr>
              <w:t>Willem Iskandar Pasar V Medan Estate</w:t>
            </w:r>
            <w:r w:rsidRPr="00F42F80">
              <w:rPr>
                <w:rFonts w:ascii="Lustria" w:eastAsia="Lustria" w:hAnsi="Lustria" w:cs="Lustria"/>
                <w:color w:val="000000"/>
                <w:sz w:val="18"/>
                <w:szCs w:val="18"/>
              </w:rPr>
              <w:t xml:space="preserve">                                                            </w:t>
            </w:r>
            <w:r w:rsidRPr="00F42F80">
              <w:rPr>
                <w:rFonts w:ascii="Lustria" w:eastAsia="Lustria" w:hAnsi="Lustria" w:cs="Lustria"/>
                <w:color w:val="231F20"/>
              </w:rPr>
              <w:t>e-ISSN 2502-5074</w:t>
            </w:r>
          </w:p>
          <w:p w14:paraId="416871A5" w14:textId="16A41156" w:rsidR="00440DD7" w:rsidRPr="00F42F80" w:rsidRDefault="00332E2E">
            <w:pPr>
              <w:pBdr>
                <w:top w:val="nil"/>
                <w:left w:val="nil"/>
                <w:bottom w:val="nil"/>
                <w:right w:val="nil"/>
                <w:between w:val="nil"/>
              </w:pBdr>
              <w:jc w:val="both"/>
              <w:rPr>
                <w:rFonts w:ascii="Lustria" w:eastAsia="Lustria" w:hAnsi="Lustria" w:cs="Lustria"/>
                <w:color w:val="000000"/>
                <w:sz w:val="18"/>
                <w:szCs w:val="18"/>
              </w:rPr>
            </w:pPr>
            <w:r w:rsidRPr="00F42F80">
              <w:rPr>
                <w:rFonts w:ascii="Lustria" w:eastAsia="Lustria" w:hAnsi="Lustria" w:cs="Lustria"/>
                <w:color w:val="000000"/>
                <w:sz w:val="18"/>
                <w:szCs w:val="18"/>
              </w:rPr>
              <w:t xml:space="preserve">North Sumatra, </w:t>
            </w:r>
            <w:r w:rsidR="00E74908" w:rsidRPr="00F42F80">
              <w:rPr>
                <w:rFonts w:ascii="Lustria" w:eastAsia="Lustria" w:hAnsi="Lustria" w:cs="Lustria"/>
                <w:color w:val="000000"/>
                <w:sz w:val="18"/>
                <w:szCs w:val="18"/>
              </w:rPr>
              <w:t xml:space="preserve">Indonesia, </w:t>
            </w:r>
            <w:r w:rsidRPr="00F42F80">
              <w:rPr>
                <w:rFonts w:ascii="Lustria" w:eastAsia="Lustria" w:hAnsi="Lustria" w:cs="Lustria"/>
                <w:color w:val="000000"/>
                <w:sz w:val="18"/>
                <w:szCs w:val="18"/>
              </w:rPr>
              <w:t>20221</w:t>
            </w:r>
          </w:p>
          <w:p w14:paraId="5EDC9FE1" w14:textId="3DF93021" w:rsidR="00440DD7" w:rsidRPr="00F42F80" w:rsidRDefault="00E74908">
            <w:pPr>
              <w:pBdr>
                <w:top w:val="nil"/>
                <w:left w:val="nil"/>
                <w:bottom w:val="nil"/>
                <w:right w:val="nil"/>
                <w:between w:val="nil"/>
              </w:pBdr>
              <w:jc w:val="both"/>
              <w:rPr>
                <w:rFonts w:ascii="Lustria" w:eastAsia="Lustria" w:hAnsi="Lustria" w:cs="Lustria"/>
                <w:color w:val="000000"/>
                <w:sz w:val="18"/>
                <w:szCs w:val="18"/>
              </w:rPr>
            </w:pPr>
            <w:r w:rsidRPr="00F42F80">
              <w:rPr>
                <w:rFonts w:ascii="Lustria" w:eastAsia="Lustria" w:hAnsi="Lustria" w:cs="Lustria"/>
                <w:color w:val="000000"/>
                <w:sz w:val="18"/>
                <w:szCs w:val="18"/>
              </w:rPr>
              <w:t xml:space="preserve">Email: </w:t>
            </w:r>
            <w:r w:rsidR="00F42F80">
              <w:rPr>
                <w:rFonts w:ascii="Lustria" w:eastAsia="Lustria" w:hAnsi="Lustria" w:cs="Lustria"/>
                <w:color w:val="000000"/>
                <w:sz w:val="18"/>
                <w:szCs w:val="18"/>
              </w:rPr>
              <w:t>ramdhan</w:t>
            </w:r>
            <w:r w:rsidR="00332E2E" w:rsidRPr="00F42F80">
              <w:rPr>
                <w:rFonts w:ascii="Lustria" w:eastAsia="Lustria" w:hAnsi="Lustria" w:cs="Lustria"/>
                <w:color w:val="000000"/>
                <w:sz w:val="18"/>
                <w:szCs w:val="18"/>
              </w:rPr>
              <w:t>@unimed.ac.id</w:t>
            </w:r>
          </w:p>
          <w:p w14:paraId="50EE6BE1" w14:textId="198D4AC3" w:rsidR="00440DD7" w:rsidRPr="00F42F80" w:rsidRDefault="00E74908">
            <w:pPr>
              <w:pBdr>
                <w:top w:val="nil"/>
                <w:left w:val="nil"/>
                <w:bottom w:val="nil"/>
                <w:right w:val="nil"/>
                <w:between w:val="nil"/>
              </w:pBdr>
              <w:jc w:val="both"/>
              <w:rPr>
                <w:rFonts w:ascii="Lustria" w:eastAsia="Lustria" w:hAnsi="Lustria" w:cs="Lustria"/>
                <w:color w:val="000000"/>
                <w:sz w:val="18"/>
                <w:szCs w:val="18"/>
              </w:rPr>
            </w:pPr>
            <w:r w:rsidRPr="00F42F80">
              <w:rPr>
                <w:rFonts w:ascii="Lustria" w:eastAsia="Lustria" w:hAnsi="Lustria" w:cs="Lustria"/>
                <w:color w:val="000000"/>
                <w:sz w:val="18"/>
                <w:szCs w:val="18"/>
              </w:rPr>
              <w:t xml:space="preserve">                       </w:t>
            </w:r>
          </w:p>
          <w:p w14:paraId="65AD7B37" w14:textId="77777777" w:rsidR="00440DD7" w:rsidRPr="00F42F80" w:rsidRDefault="00E74908">
            <w:pPr>
              <w:jc w:val="both"/>
              <w:rPr>
                <w:rFonts w:ascii="Lustria" w:eastAsia="Lustria" w:hAnsi="Lustria" w:cs="Lustria"/>
                <w:sz w:val="22"/>
                <w:szCs w:val="22"/>
              </w:rPr>
            </w:pPr>
            <w:r w:rsidRPr="00F42F80">
              <w:rPr>
                <w:rFonts w:ascii="Lustria" w:eastAsia="Lustria" w:hAnsi="Lustria" w:cs="Lustria"/>
                <w:sz w:val="22"/>
                <w:szCs w:val="22"/>
              </w:rPr>
              <w:t xml:space="preserve">                                                                                                                                             </w:t>
            </w:r>
          </w:p>
        </w:tc>
      </w:tr>
    </w:tbl>
    <w:p w14:paraId="4499F18D" w14:textId="77777777" w:rsidR="00440DD7" w:rsidRPr="00F42F80" w:rsidRDefault="00440DD7" w:rsidP="00332E2E">
      <w:pPr>
        <w:tabs>
          <w:tab w:val="left" w:pos="426"/>
        </w:tabs>
        <w:jc w:val="both"/>
        <w:rPr>
          <w:rFonts w:ascii="Lustria" w:eastAsia="Lustria" w:hAnsi="Lustria" w:cs="Lustria"/>
          <w:b/>
          <w:sz w:val="22"/>
          <w:szCs w:val="22"/>
        </w:rPr>
        <w:sectPr w:rsidR="00440DD7" w:rsidRPr="00F42F80">
          <w:headerReference w:type="even" r:id="rId22"/>
          <w:headerReference w:type="default" r:id="rId23"/>
          <w:footerReference w:type="even" r:id="rId24"/>
          <w:footerReference w:type="default" r:id="rId25"/>
          <w:headerReference w:type="first" r:id="rId26"/>
          <w:footerReference w:type="first" r:id="rId27"/>
          <w:pgSz w:w="11907" w:h="16840"/>
          <w:pgMar w:top="1418" w:right="1418" w:bottom="1418" w:left="1701" w:header="1134" w:footer="1134" w:gutter="0"/>
          <w:pgNumType w:start="1"/>
          <w:cols w:space="720"/>
          <w:titlePg/>
        </w:sectPr>
      </w:pPr>
    </w:p>
    <w:p w14:paraId="10202AA6" w14:textId="77777777" w:rsidR="00440DD7" w:rsidRPr="00F42F80" w:rsidRDefault="00440DD7">
      <w:pPr>
        <w:pBdr>
          <w:top w:val="nil"/>
          <w:left w:val="nil"/>
          <w:bottom w:val="nil"/>
          <w:right w:val="nil"/>
          <w:between w:val="nil"/>
        </w:pBdr>
        <w:tabs>
          <w:tab w:val="left" w:pos="426"/>
        </w:tabs>
        <w:spacing w:before="240" w:after="240"/>
        <w:rPr>
          <w:rFonts w:ascii="Lustria" w:eastAsia="Lustria" w:hAnsi="Lustria" w:cs="Lustria"/>
          <w:b/>
          <w:smallCaps/>
          <w:color w:val="000000"/>
          <w:sz w:val="24"/>
          <w:szCs w:val="24"/>
        </w:rPr>
      </w:pPr>
    </w:p>
    <w:p w14:paraId="3D10EAE9" w14:textId="77777777" w:rsidR="00440DD7" w:rsidRPr="00F42F80" w:rsidRDefault="00440DD7">
      <w:pPr>
        <w:pBdr>
          <w:top w:val="nil"/>
          <w:left w:val="nil"/>
          <w:bottom w:val="nil"/>
          <w:right w:val="nil"/>
          <w:between w:val="nil"/>
        </w:pBdr>
        <w:tabs>
          <w:tab w:val="left" w:pos="426"/>
        </w:tabs>
        <w:spacing w:before="240" w:after="240"/>
        <w:rPr>
          <w:rFonts w:ascii="Lustria" w:eastAsia="Lustria" w:hAnsi="Lustria" w:cs="Lustria"/>
          <w:b/>
          <w:smallCaps/>
          <w:color w:val="000000"/>
          <w:sz w:val="24"/>
          <w:szCs w:val="24"/>
        </w:rPr>
        <w:sectPr w:rsidR="00440DD7" w:rsidRPr="00F42F80">
          <w:footerReference w:type="default" r:id="rId28"/>
          <w:type w:val="continuous"/>
          <w:pgSz w:w="11907" w:h="16840"/>
          <w:pgMar w:top="1418" w:right="1418" w:bottom="1418" w:left="1701" w:header="1134" w:footer="1134" w:gutter="0"/>
          <w:pgNumType w:start="1"/>
          <w:cols w:num="2" w:space="720" w:equalWidth="0">
            <w:col w:w="4034" w:space="720"/>
            <w:col w:w="4034" w:space="0"/>
          </w:cols>
          <w:titlePg/>
        </w:sectPr>
      </w:pPr>
    </w:p>
    <w:p w14:paraId="4D10C6DC" w14:textId="77777777" w:rsidR="00440DD7" w:rsidRPr="00F42F80" w:rsidRDefault="00E74908">
      <w:pPr>
        <w:pBdr>
          <w:top w:val="nil"/>
          <w:left w:val="nil"/>
          <w:bottom w:val="nil"/>
          <w:right w:val="nil"/>
          <w:between w:val="nil"/>
        </w:pBdr>
        <w:tabs>
          <w:tab w:val="left" w:pos="426"/>
        </w:tabs>
        <w:spacing w:before="240"/>
        <w:rPr>
          <w:rFonts w:ascii="Lustria" w:eastAsia="Lustria" w:hAnsi="Lustria" w:cs="Lustria"/>
          <w:b/>
          <w:i/>
          <w:smallCaps/>
          <w:color w:val="000000"/>
          <w:sz w:val="24"/>
          <w:szCs w:val="24"/>
        </w:rPr>
      </w:pPr>
      <w:r w:rsidRPr="00F42F80">
        <w:rPr>
          <w:rFonts w:ascii="Lustria" w:eastAsia="Lustria" w:hAnsi="Lustria" w:cs="Lustria"/>
          <w:b/>
          <w:smallCaps/>
          <w:color w:val="000000"/>
          <w:sz w:val="24"/>
          <w:szCs w:val="24"/>
        </w:rPr>
        <w:t xml:space="preserve">INTRODUCTION </w:t>
      </w:r>
      <w:r w:rsidRPr="00F42F80">
        <w:rPr>
          <w:rFonts w:ascii="Lustria" w:eastAsia="Lustria" w:hAnsi="Lustria" w:cs="Lustria"/>
          <w:b/>
          <w:i/>
          <w:color w:val="00B0F0"/>
        </w:rPr>
        <w:t>(Shortcut: Alt+Ctrl+B)</w:t>
      </w:r>
    </w:p>
    <w:p w14:paraId="17A9B413" w14:textId="77777777" w:rsidR="00440DD7" w:rsidRPr="00F42F80" w:rsidRDefault="00440DD7">
      <w:pPr>
        <w:tabs>
          <w:tab w:val="left" w:pos="426"/>
        </w:tabs>
        <w:jc w:val="both"/>
        <w:rPr>
          <w:rFonts w:ascii="Lustria" w:eastAsia="Lustria" w:hAnsi="Lustria" w:cs="Lustria"/>
          <w:b/>
          <w:sz w:val="22"/>
          <w:szCs w:val="22"/>
        </w:rPr>
      </w:pPr>
    </w:p>
    <w:p w14:paraId="2D45B7D2" w14:textId="77777777" w:rsidR="00332E2E" w:rsidRPr="00F42F80" w:rsidRDefault="00332E2E" w:rsidP="00332E2E">
      <w:pPr>
        <w:pStyle w:val="BodyText"/>
        <w:widowControl w:val="0"/>
        <w:autoSpaceDE w:val="0"/>
        <w:autoSpaceDN w:val="0"/>
        <w:spacing w:after="0"/>
        <w:ind w:right="4" w:firstLine="567"/>
        <w:jc w:val="both"/>
        <w:rPr>
          <w:rFonts w:ascii="Lustria" w:hAnsi="Lustria"/>
          <w:sz w:val="22"/>
          <w:szCs w:val="22"/>
        </w:rPr>
      </w:pPr>
      <w:bookmarkStart w:id="4" w:name="_Hlk46501259"/>
      <w:r w:rsidRPr="00F42F80">
        <w:rPr>
          <w:rFonts w:ascii="Lustria" w:hAnsi="Lustria"/>
          <w:sz w:val="22"/>
          <w:szCs w:val="22"/>
        </w:rPr>
        <w:t>The practice of business professionals is becoming more dynamic and competitive nowadays. The situation requires business professionals to have reliable analytical power. The analysis referred to here is an analysis of the profitability of certain market conditions. The analysis method of some research, in general, is divided into qualitative and quantitative. Qualitative analysis generally refers to various factors that emerge from the business operation's nature and the expertise developed based on experience.</w:t>
      </w:r>
    </w:p>
    <w:p w14:paraId="66A9D0DF" w14:textId="77777777" w:rsidR="00332E2E" w:rsidRPr="00F42F80" w:rsidRDefault="00332E2E" w:rsidP="00332E2E">
      <w:pPr>
        <w:pStyle w:val="BodyText"/>
        <w:widowControl w:val="0"/>
        <w:autoSpaceDE w:val="0"/>
        <w:autoSpaceDN w:val="0"/>
        <w:spacing w:after="0"/>
        <w:ind w:right="4" w:firstLine="567"/>
        <w:jc w:val="both"/>
        <w:rPr>
          <w:rFonts w:ascii="Lustria" w:hAnsi="Lustria"/>
          <w:sz w:val="22"/>
          <w:szCs w:val="22"/>
        </w:rPr>
      </w:pPr>
      <w:r w:rsidRPr="00F42F80">
        <w:rPr>
          <w:rFonts w:ascii="Lustria" w:hAnsi="Lustria"/>
          <w:sz w:val="22"/>
          <w:szCs w:val="22"/>
        </w:rPr>
        <w:t xml:space="preserve">In contrast to quantitative analysis, which is more measurable, its expertise is standardized in universities in various subjects, such as economic mathematics, business statistics, cost accounting, portfolio theory and investment analysis, and financial management. In line with this argument, previous research revealed that such quantitative expertise really needs to be developed, and indeed it should be integrated into accounting curricula around the world </w:t>
      </w:r>
      <w:r w:rsidRPr="00F42F80">
        <w:rPr>
          <w:rFonts w:ascii="Lustria" w:hAnsi="Lustria"/>
          <w:sz w:val="22"/>
          <w:szCs w:val="22"/>
        </w:rPr>
        <w:fldChar w:fldCharType="begin" w:fldLock="1"/>
      </w:r>
      <w:r w:rsidRPr="00F42F80">
        <w:rPr>
          <w:rFonts w:ascii="Lustria" w:hAnsi="Lustria"/>
          <w:sz w:val="22"/>
          <w:szCs w:val="22"/>
        </w:rPr>
        <w:instrText>ADDIN CSL_CITATION {"citationItems":[{"id":"ITEM-1","itemData":{"author":[{"dropping-particle":"","family":"Warwick","given":"Jon","non-dropping-particle":"","parse-names":false,"suffix":""},{"dropping-particle":"","family":"Howard","given":"Anna","non-dropping-particle":"","parse-names":false,"suffix":""}],"container-title":"Mathitudes","id":"ITEM-1","issue":"1","issued":{"date-parts":[["2016"]]},"page":"1-15","publisher":"Florida Atlantic University","title":"Mathematical Anxiety as an Inhibitor of Skills Development in Accounting Students","type":"article-journal","volume":"1"},"uris":["http://www.mendeley.com/documents/?uuid=f8c70154-5c6c-4511-b278-cdc4b2643ec2"]},{"id":"ITEM-2","itemData":{"author":[{"dropping-particle":"","family":"Nguyen","given":"ThuyUyen H","non-dropping-particle":"","parse-names":false,"suffix":""},{"dropping-particle":"","family":"Charity","given":"Ian","non-dropping-particle":"","parse-names":false,"suffix":""},{"dropping-particle":"","family":"Robson","given":"Andrew","non-dropping-particle":"","parse-names":false,"suffix":""}],"container-title":"Studies in Higher Education","id":"ITEM-2","issue":"4","issued":{"date-parts":[["2016"]]},"page":"734-755","publisher":"Taylor &amp; Francis","title":"Students' perceptions of computer-based learning environments, their attitude towards business statistics, and their academic achievement: implications from a UK university","type":"article-journal","volume":"41"},"uris":["http://www.mendeley.com/documents/?uuid=c7ebb98c-7b7b-49b8-8159-0a28f1576373"]}],"mendeley":{"formattedCitation":"(Nguyen et al., 2016; Warwick &amp; Howard, 2016)","plainTextFormattedCitation":"(Nguyen et al., 2016; Warwick &amp; Howard, 2016)","previouslyFormattedCitation":"(Nguyen et al., 2016; Warwick &amp; Howard, 2016)"},"properties":{"noteIndex":0},"schema":"https://github.com/citation-style-language/schema/raw/master/csl-citation.json"}</w:instrText>
      </w:r>
      <w:r w:rsidRPr="00F42F80">
        <w:rPr>
          <w:rFonts w:ascii="Lustria" w:hAnsi="Lustria"/>
          <w:sz w:val="22"/>
          <w:szCs w:val="22"/>
        </w:rPr>
        <w:fldChar w:fldCharType="separate"/>
      </w:r>
      <w:r w:rsidRPr="00F42F80">
        <w:rPr>
          <w:rFonts w:ascii="Lustria" w:hAnsi="Lustria"/>
          <w:noProof/>
          <w:sz w:val="22"/>
          <w:szCs w:val="22"/>
        </w:rPr>
        <w:t>(Nguyen et al., 2016; Warwick &amp; Howard, 2016)</w:t>
      </w:r>
      <w:r w:rsidRPr="00F42F80">
        <w:rPr>
          <w:rFonts w:ascii="Lustria" w:hAnsi="Lustria"/>
          <w:sz w:val="22"/>
          <w:szCs w:val="22"/>
        </w:rPr>
        <w:fldChar w:fldCharType="end"/>
      </w:r>
      <w:r w:rsidRPr="00F42F80">
        <w:rPr>
          <w:rFonts w:ascii="Lustria" w:hAnsi="Lustria"/>
          <w:sz w:val="22"/>
          <w:szCs w:val="22"/>
        </w:rPr>
        <w:t>. The urgency is due to the quantifiability of quantitative data that makes business decisions making clear indicators.</w:t>
      </w:r>
    </w:p>
    <w:p w14:paraId="1BBEF632" w14:textId="77777777" w:rsidR="00332E2E" w:rsidRPr="00F42F80" w:rsidRDefault="00332E2E" w:rsidP="00332E2E">
      <w:pPr>
        <w:pStyle w:val="BodyText"/>
        <w:widowControl w:val="0"/>
        <w:autoSpaceDE w:val="0"/>
        <w:autoSpaceDN w:val="0"/>
        <w:spacing w:after="0"/>
        <w:ind w:right="4" w:firstLine="567"/>
        <w:jc w:val="both"/>
        <w:rPr>
          <w:rFonts w:ascii="Lustria" w:hAnsi="Lustria"/>
          <w:sz w:val="22"/>
          <w:szCs w:val="22"/>
        </w:rPr>
      </w:pPr>
      <w:r w:rsidRPr="00F42F80">
        <w:rPr>
          <w:rFonts w:ascii="Lustria" w:hAnsi="Lustria"/>
          <w:sz w:val="22"/>
          <w:szCs w:val="22"/>
        </w:rPr>
        <w:t xml:space="preserve">The need for quantitative expertise in business and accounting professionals has also been conveyed by business school accreditation associations such as the Association to Advance Collegiate Schools of Business (AACSB), the Association of MBAs (AMBA), and the Chartered Institute of Personnel and Development (CIPD) </w:t>
      </w:r>
      <w:r w:rsidRPr="00F42F80">
        <w:rPr>
          <w:rFonts w:ascii="Lustria" w:hAnsi="Lustria"/>
          <w:sz w:val="22"/>
          <w:szCs w:val="22"/>
        </w:rPr>
        <w:fldChar w:fldCharType="begin" w:fldLock="1"/>
      </w:r>
      <w:r w:rsidRPr="00F42F80">
        <w:rPr>
          <w:rFonts w:ascii="Lustria" w:hAnsi="Lustria"/>
          <w:sz w:val="22"/>
          <w:szCs w:val="22"/>
        </w:rPr>
        <w:instrText>ADDIN CSL_CITATION {"citationItems":[{"id":"ITEM-1","itemData":{"author":[{"dropping-particle":"","family":"Nguyen","given":"ThuyUyen H","non-dropping-particle":"","parse-names":false,"suffix":""},{"dropping-particle":"","family":"Charity","given":"Ian","non-dropping-particle":"","parse-names":false,"suffix":""},{"dropping-particle":"","family":"Robson","given":"Andrew","non-dropping-particle":"","parse-names":false,"suffix":""}],"container-title":"Studies in Higher Education","id":"ITEM-1","issue":"4","issued":{"date-parts":[["2016"]]},"page":"734-755","publisher":"Taylor &amp; Francis","title":"Students' perceptions of computer-based learning environments, their attitude towards business statistics, and their academic achievement: implications from a UK university","type":"article-journal","volume":"41"},"uris":["http://www.mendeley.com/documents/?uuid=c7ebb98c-7b7b-49b8-8159-0a28f1576373"]}],"mendeley":{"formattedCitation":"(Nguyen et al., 2016)","plainTextFormattedCitation":"(Nguyen et al., 2016)","previouslyFormattedCitation":"(Nguyen et al., 2016)"},"properties":{"noteIndex":0},"schema":"https://github.com/citation-style-language/schema/raw/master/csl-citation.json"}</w:instrText>
      </w:r>
      <w:r w:rsidRPr="00F42F80">
        <w:rPr>
          <w:rFonts w:ascii="Lustria" w:hAnsi="Lustria"/>
          <w:sz w:val="22"/>
          <w:szCs w:val="22"/>
        </w:rPr>
        <w:fldChar w:fldCharType="separate"/>
      </w:r>
      <w:r w:rsidRPr="00F42F80">
        <w:rPr>
          <w:rFonts w:ascii="Lustria" w:hAnsi="Lustria"/>
          <w:noProof/>
          <w:sz w:val="22"/>
          <w:szCs w:val="22"/>
        </w:rPr>
        <w:t>(Nguyen et al., 2016)</w:t>
      </w:r>
      <w:r w:rsidRPr="00F42F80">
        <w:rPr>
          <w:rFonts w:ascii="Lustria" w:hAnsi="Lustria"/>
          <w:sz w:val="22"/>
          <w:szCs w:val="22"/>
        </w:rPr>
        <w:fldChar w:fldCharType="end"/>
      </w:r>
      <w:r w:rsidRPr="00F42F80">
        <w:rPr>
          <w:rFonts w:ascii="Lustria" w:hAnsi="Lustria"/>
          <w:sz w:val="22"/>
          <w:szCs w:val="22"/>
        </w:rPr>
        <w:t xml:space="preserve">. The associations said that business masters (MBA/M.Acc) must possess </w:t>
      </w:r>
      <w:r w:rsidRPr="00F42F80">
        <w:rPr>
          <w:rFonts w:ascii="Lustria" w:hAnsi="Lustria"/>
          <w:sz w:val="22"/>
          <w:szCs w:val="22"/>
        </w:rPr>
        <w:t xml:space="preserve">quantitative data analysis expertise and interpretation to capture measurable trends, opportunities, cost behavior, and market phenomena to produce the right business decisions (See: </w:t>
      </w:r>
      <w:r w:rsidRPr="00F42F80">
        <w:rPr>
          <w:rFonts w:ascii="Lustria" w:hAnsi="Lustria"/>
          <w:sz w:val="22"/>
          <w:szCs w:val="22"/>
        </w:rPr>
        <w:fldChar w:fldCharType="begin" w:fldLock="1"/>
      </w:r>
      <w:r w:rsidRPr="00F42F80">
        <w:rPr>
          <w:rFonts w:ascii="Lustria" w:hAnsi="Lustria"/>
          <w:sz w:val="22"/>
          <w:szCs w:val="22"/>
        </w:rPr>
        <w:instrText>ADDIN CSL_CITATION {"citationItems":[{"id":"ITEM-1","itemData":{"author":[{"dropping-particle":"","family":"Nguyen","given":"ThuyUyen H","non-dropping-particle":"","parse-names":false,"suffix":""},{"dropping-particle":"","family":"Charity","given":"Ian","non-dropping-particle":"","parse-names":false,"suffix":""},{"dropping-particle":"","family":"Robson","given":"Andrew","non-dropping-particle":"","parse-names":false,"suffix":""}],"container-title":"Studies in Higher Education","id":"ITEM-1","issue":"4","issued":{"date-parts":[["2016"]]},"page":"734-755","publisher":"Taylor &amp; Francis","title":"Students' perceptions of computer-based learning environments, their attitude towards business statistics, and their academic achievement: implications from a UK university","type":"article-journal","volume":"41"},"uris":["http://www.mendeley.com/documents/?uuid=c7ebb98c-7b7b-49b8-8159-0a28f1576373"]}],"mendeley":{"formattedCitation":"(Nguyen et al., 2016)","manualFormatting":"Nguyen et al., 2016)","plainTextFormattedCitation":"(Nguyen et al., 2016)","previouslyFormattedCitation":"(Nguyen et al., 2016)"},"properties":{"noteIndex":0},"schema":"https://github.com/citation-style-language/schema/raw/master/csl-citation.json"}</w:instrText>
      </w:r>
      <w:r w:rsidRPr="00F42F80">
        <w:rPr>
          <w:rFonts w:ascii="Lustria" w:hAnsi="Lustria"/>
          <w:sz w:val="22"/>
          <w:szCs w:val="22"/>
        </w:rPr>
        <w:fldChar w:fldCharType="separate"/>
      </w:r>
      <w:r w:rsidRPr="00F42F80">
        <w:rPr>
          <w:rFonts w:ascii="Lustria" w:hAnsi="Lustria"/>
          <w:noProof/>
          <w:sz w:val="22"/>
          <w:szCs w:val="22"/>
        </w:rPr>
        <w:t>Nguyen et al., 2016)</w:t>
      </w:r>
      <w:r w:rsidRPr="00F42F80">
        <w:rPr>
          <w:rFonts w:ascii="Lustria" w:hAnsi="Lustria"/>
          <w:sz w:val="22"/>
          <w:szCs w:val="22"/>
        </w:rPr>
        <w:fldChar w:fldCharType="end"/>
      </w:r>
      <w:r w:rsidRPr="00F42F80">
        <w:rPr>
          <w:rFonts w:ascii="Lustria" w:hAnsi="Lustria"/>
          <w:sz w:val="22"/>
          <w:szCs w:val="22"/>
        </w:rPr>
        <w:t xml:space="preserve">. Unfortunately, accounting and business students often have concerns when interacting with advanced statistical calculations needed to conduct quantitative data analysis </w:t>
      </w:r>
      <w:r w:rsidRPr="00F42F80">
        <w:rPr>
          <w:rFonts w:ascii="Lustria" w:hAnsi="Lustria"/>
          <w:sz w:val="22"/>
          <w:szCs w:val="22"/>
        </w:rPr>
        <w:fldChar w:fldCharType="begin" w:fldLock="1"/>
      </w:r>
      <w:r w:rsidRPr="00F42F80">
        <w:rPr>
          <w:rFonts w:ascii="Lustria" w:hAnsi="Lustria"/>
          <w:sz w:val="22"/>
          <w:szCs w:val="22"/>
        </w:rPr>
        <w:instrText>ADDIN CSL_CITATION {"citationItems":[{"id":"ITEM-1","itemData":{"author":[{"dropping-particle":"","family":"Onwuegbuzie","given":"Anthony J","non-dropping-particle":"","parse-names":false,"suffix":""}],"container-title":"The Journal of Educational Research","id":"ITEM-1","issue":"5","issued":{"date-parts":[["2000"]]},"page":"323-330","publisher":"Taylor &amp; Francis","title":"Statistics anxiety and the role of self-perceptions","type":"article-journal","volume":"93"},"uris":["http://www.mendeley.com/documents/?uuid=9d91fd68-b7d9-460b-973c-183118273367"]},{"id":"ITEM-2","itemData":{"author":[{"dropping-particle":"","family":"Williams","given":"Malcolm","non-dropping-particle":"","parse-names":false,"suffix":""},{"dropping-particle":"","family":"Payne","given":"Geoff","non-dropping-particle":"","parse-names":false,"suffix":""},{"dropping-particle":"","family":"Hodgkinson","given":"Liz","non-dropping-particle":"","parse-names":false,"suffix":""},{"dropping-particle":"","family":"Poade","given":"Donna","non-dropping-particle":"","parse-names":false,"suffix":""}],"container-title":"Sociology","id":"ITEM-2","issue":"5","issued":{"date-parts":[["2008"]]},"page":"1003-1021","publisher":"Sage Publications Sage UK: London, England","title":"Does British sociology count? Sociology students' attitudes toward quantitative methods","type":"article-journal","volume":"42"},"uris":["http://www.mendeley.com/documents/?uuid=dfce7b67-9bb2-4e8e-a390-fdf3cd388907"]},{"id":"ITEM-3","itemData":{"author":[{"dropping-particle":"","family":"Warwick","given":"Jon","non-dropping-particle":"","parse-names":false,"suffix":""},{"dropping-particle":"","family":"Howard","given":"Anna","non-dropping-particle":"","parse-names":false,"suffix":""}],"container-title":"Mathitudes","id":"ITEM-3","issue":"1","issued":{"date-parts":[["2016"]]},"page":"1-15","publisher":"Florida Atlantic University","title":"Mathematical Anxiety as an Inhibitor of Skills Development in Accounting Students","type":"article-journal","volume":"1"},"uris":["http://www.mendeley.com/documents/?uuid=f8c70154-5c6c-4511-b278-cdc4b2643ec2"]}],"mendeley":{"formattedCitation":"(Onwuegbuzie, 2000; Warwick &amp; Howard, 2016; Williams et al., 2008)","plainTextFormattedCitation":"(Onwuegbuzie, 2000; Warwick &amp; Howard, 2016; Williams et al., 2008)","previouslyFormattedCitation":"(Onwuegbuzie, 2000; Warwick &amp; Howard, 2016; Williams et al., 2008)"},"properties":{"noteIndex":0},"schema":"https://github.com/citation-style-language/schema/raw/master/csl-citation.json"}</w:instrText>
      </w:r>
      <w:r w:rsidRPr="00F42F80">
        <w:rPr>
          <w:rFonts w:ascii="Lustria" w:hAnsi="Lustria"/>
          <w:sz w:val="22"/>
          <w:szCs w:val="22"/>
        </w:rPr>
        <w:fldChar w:fldCharType="separate"/>
      </w:r>
      <w:r w:rsidRPr="00F42F80">
        <w:rPr>
          <w:rFonts w:ascii="Lustria" w:hAnsi="Lustria"/>
          <w:noProof/>
          <w:sz w:val="22"/>
          <w:szCs w:val="22"/>
        </w:rPr>
        <w:t>(Onwuegbuzie, 2000; Warwick &amp; Howard, 2016; Williams et al., 2008)</w:t>
      </w:r>
      <w:r w:rsidRPr="00F42F80">
        <w:rPr>
          <w:rFonts w:ascii="Lustria" w:hAnsi="Lustria"/>
          <w:sz w:val="22"/>
          <w:szCs w:val="22"/>
        </w:rPr>
        <w:fldChar w:fldCharType="end"/>
      </w:r>
      <w:r w:rsidRPr="00F42F80">
        <w:rPr>
          <w:rFonts w:ascii="Lustria" w:hAnsi="Lustria"/>
          <w:sz w:val="22"/>
          <w:szCs w:val="22"/>
        </w:rPr>
        <w:t>.</w:t>
      </w:r>
    </w:p>
    <w:p w14:paraId="07F7A752" w14:textId="77777777" w:rsidR="00332E2E" w:rsidRPr="00F42F80" w:rsidRDefault="00332E2E" w:rsidP="00332E2E">
      <w:pPr>
        <w:pStyle w:val="BodyText"/>
        <w:spacing w:after="0"/>
        <w:ind w:right="4" w:firstLine="567"/>
        <w:jc w:val="both"/>
        <w:rPr>
          <w:rFonts w:ascii="Lustria" w:hAnsi="Lustria"/>
          <w:sz w:val="22"/>
          <w:szCs w:val="22"/>
        </w:rPr>
      </w:pPr>
      <w:r w:rsidRPr="00F42F80">
        <w:rPr>
          <w:rFonts w:ascii="Lustria" w:hAnsi="Lustria"/>
          <w:sz w:val="22"/>
          <w:szCs w:val="22"/>
        </w:rPr>
        <w:t xml:space="preserve">The constraints of accounting students in analyzing statistical data are not new and specific problems that only occur in Indonesia, but are common problems that arise in various parts of the world (see: </w:t>
      </w:r>
      <w:r w:rsidRPr="00F42F80">
        <w:rPr>
          <w:rFonts w:ascii="Lustria" w:hAnsi="Lustria"/>
          <w:sz w:val="22"/>
          <w:szCs w:val="22"/>
        </w:rPr>
        <w:fldChar w:fldCharType="begin" w:fldLock="1"/>
      </w:r>
      <w:r w:rsidRPr="00F42F80">
        <w:rPr>
          <w:rFonts w:ascii="Lustria" w:hAnsi="Lustria"/>
          <w:sz w:val="22"/>
          <w:szCs w:val="22"/>
        </w:rPr>
        <w:instrText>ADDIN CSL_CITATION {"citationItems":[{"id":"ITEM-1","itemData":{"author":[{"dropping-particle":"","family":"Onwuegbuzie","given":"Anthony J","non-dropping-particle":"","parse-names":false,"suffix":""}],"container-title":"The Journal of Educational Research","id":"ITEM-1","issue":"5","issued":{"date-parts":[["2000"]]},"page":"323-330","publisher":"Taylor &amp; Francis","title":"Statistics anxiety and the role of self-perceptions","type":"article-journal","volume":"93"},"uris":["http://www.mendeley.com/documents/?uuid=9d91fd68-b7d9-460b-973c-183118273367"]},{"id":"ITEM-2","itemData":{"author":[{"dropping-particle":"","family":"Williams","given":"Malcolm","non-dropping-particle":"","parse-names":false,"suffix":""},{"dropping-particle":"","family":"Payne","given":"Geoff","non-dropping-particle":"","parse-names":false,"suffix":""},{"dropping-particle":"","family":"Hodgkinson","given":"Liz","non-dropping-particle":"","parse-names":false,"suffix":""},{"dropping-particle":"","family":"Poade","given":"Donna","non-dropping-particle":"","parse-names":false,"suffix":""}],"container-title":"Sociology","id":"ITEM-2","issue":"5","issued":{"date-parts":[["2008"]]},"page":"1003-1021","publisher":"Sage Publications Sage UK: London, England","title":"Does British sociology count? Sociology students' attitudes toward quantitative methods","type":"article-journal","volume":"42"},"uris":["http://www.mendeley.com/documents/?uuid=dfce7b67-9bb2-4e8e-a390-fdf3cd388907"]},{"id":"ITEM-3","itemData":{"author":[{"dropping-particle":"","family":"Warwick","given":"Jon","non-dropping-particle":"","parse-names":false,"suffix":""},{"dropping-particle":"","family":"Howard","given":"Anna","non-dropping-particle":"","parse-names":false,"suffix":""}],"container-title":"Mathitudes","id":"ITEM-3","issue":"1","issued":{"date-parts":[["2016"]]},"page":"1-15","publisher":"Florida Atlantic University","title":"Mathematical Anxiety as an Inhibitor of Skills Development in Accounting Students","type":"article-journal","volume":"1"},"uris":["http://www.mendeley.com/documents/?uuid=f8c70154-5c6c-4511-b278-cdc4b2643ec2"]}],"mendeley":{"formattedCitation":"(Onwuegbuzie, 2000; Warwick &amp; Howard, 2016; Williams et al., 2008)","manualFormatting":"Onwuegbuzie, 2000; Warwick &amp; Howard, 2016; Williams et al., 2008)","plainTextFormattedCitation":"(Onwuegbuzie, 2000; Warwick &amp; Howard, 2016; Williams et al., 2008)","previouslyFormattedCitation":"(Onwuegbuzie, 2000; Warwick &amp; Howard, 2016; Williams et al., 2008)"},"properties":{"noteIndex":0},"schema":"https://github.com/citation-style-language/schema/raw/master/csl-citation.json"}</w:instrText>
      </w:r>
      <w:r w:rsidRPr="00F42F80">
        <w:rPr>
          <w:rFonts w:ascii="Lustria" w:hAnsi="Lustria"/>
          <w:sz w:val="22"/>
          <w:szCs w:val="22"/>
        </w:rPr>
        <w:fldChar w:fldCharType="separate"/>
      </w:r>
      <w:r w:rsidRPr="00F42F80">
        <w:rPr>
          <w:rFonts w:ascii="Lustria" w:hAnsi="Lustria"/>
          <w:noProof/>
          <w:sz w:val="22"/>
          <w:szCs w:val="22"/>
        </w:rPr>
        <w:t>Onwuegbuzie, 2000; Warwick &amp; Howard, 2016; Williams et al., 2008)</w:t>
      </w:r>
      <w:r w:rsidRPr="00F42F80">
        <w:rPr>
          <w:rFonts w:ascii="Lustria" w:hAnsi="Lustria"/>
          <w:sz w:val="22"/>
          <w:szCs w:val="22"/>
        </w:rPr>
        <w:fldChar w:fldCharType="end"/>
      </w:r>
      <w:r w:rsidRPr="00F42F80">
        <w:rPr>
          <w:rFonts w:ascii="Lustria" w:hAnsi="Lustria"/>
          <w:sz w:val="22"/>
          <w:szCs w:val="22"/>
        </w:rPr>
        <w:t xml:space="preserve">. This condition results in an expectation gap between business school accreditation associations and student competency as prospective accountants and business professionals. They will soon face competitive business and their profession as individuals. However, technological developments have provided opportunities to bridge the expectation gap. The presence of increasingly complex and comprehensive data analysis software makes it easy for students to analyze complex power with advanced techniques effectively and efficiently. It is under the essence of the development of information systems and technology systems (IST) to reduce the sacrifice and workload of its users </w:t>
      </w:r>
      <w:r w:rsidRPr="00F42F80">
        <w:rPr>
          <w:rFonts w:ascii="Lustria" w:hAnsi="Lustria"/>
          <w:sz w:val="22"/>
          <w:szCs w:val="22"/>
        </w:rPr>
        <w:fldChar w:fldCharType="begin" w:fldLock="1"/>
      </w:r>
      <w:r w:rsidRPr="00F42F80">
        <w:rPr>
          <w:rFonts w:ascii="Lustria" w:hAnsi="Lustria"/>
          <w:sz w:val="22"/>
          <w:szCs w:val="22"/>
        </w:rPr>
        <w:instrText>ADDIN CSL_CITATION {"citationItems":[{"id":"ITEM-1","itemData":{"author":[{"dropping-particle":"","family":"Sagala","given":"Gaffar Hafiz","non-dropping-particle":"","parse-names":false,"suffix":""},{"dropping-particle":"","family":"Zainal","given":"Andri","non-dropping-particle":"","parse-names":false,"suffix":""},{"dropping-particle":"","family":"Effiyanti","given":"Tri","non-dropping-particle":"","parse-names":false,"suffix":""}],"container-title":"Proceedings of MAC","id":"ITEM-1","issued":{"date-parts":[["2017"]]},"title":"Attitude Toward Computer-Based Statistics Among Pre-Service Teacher Candidates","type":"article-journal","volume":"366"},"uris":["http://www.mendeley.com/documents/?uuid=b9e20ce8-f7cd-40aa-8d0a-289640d23e3d"]}],"mendeley":{"formattedCitation":"(Sagala et al., 2017)","plainTextFormattedCitation":"(Sagala et al., 2017)","previouslyFormattedCitation":"(Sagala et al., 2017)"},"properties":{"noteIndex":0},"schema":"https://github.com/citation-style-language/schema/raw/master/csl-citation.json"}</w:instrText>
      </w:r>
      <w:r w:rsidRPr="00F42F80">
        <w:rPr>
          <w:rFonts w:ascii="Lustria" w:hAnsi="Lustria"/>
          <w:sz w:val="22"/>
          <w:szCs w:val="22"/>
        </w:rPr>
        <w:fldChar w:fldCharType="separate"/>
      </w:r>
      <w:r w:rsidRPr="00F42F80">
        <w:rPr>
          <w:rFonts w:ascii="Lustria" w:hAnsi="Lustria"/>
          <w:noProof/>
          <w:sz w:val="22"/>
          <w:szCs w:val="22"/>
        </w:rPr>
        <w:t>(Sagala et al., 2017)</w:t>
      </w:r>
      <w:r w:rsidRPr="00F42F80">
        <w:rPr>
          <w:rFonts w:ascii="Lustria" w:hAnsi="Lustria"/>
          <w:sz w:val="22"/>
          <w:szCs w:val="22"/>
        </w:rPr>
        <w:fldChar w:fldCharType="end"/>
      </w:r>
      <w:r w:rsidRPr="00F42F80">
        <w:rPr>
          <w:rFonts w:ascii="Lustria" w:hAnsi="Lustria"/>
          <w:sz w:val="22"/>
          <w:szCs w:val="22"/>
        </w:rPr>
        <w:t xml:space="preserve">. Similarly, in the use of statistical software, IST can reduce the workload when analyzing data and transform anxiety and stress when analyzing data into an easy and enjoyable process </w:t>
      </w:r>
      <w:r w:rsidRPr="00F42F80">
        <w:rPr>
          <w:rFonts w:ascii="Lustria" w:hAnsi="Lustria"/>
          <w:sz w:val="22"/>
          <w:szCs w:val="22"/>
        </w:rPr>
        <w:fldChar w:fldCharType="begin" w:fldLock="1"/>
      </w:r>
      <w:r w:rsidRPr="00F42F80">
        <w:rPr>
          <w:rFonts w:ascii="Lustria" w:hAnsi="Lustria"/>
          <w:sz w:val="22"/>
          <w:szCs w:val="22"/>
        </w:rPr>
        <w:instrText>ADDIN CSL_CITATION {"citationItems":[{"id":"ITEM-1","itemData":{"author":[{"dropping-particle":"","family":"Sagala","given":"Gaffar Hafiz","non-dropping-particle":"","parse-names":false,"suffix":""},{"dropping-particle":"","family":"Zainal","given":"Andri","non-dropping-particle":"","parse-names":false,"suffix":""},{"dropping-particle":"","family":"Effiyanti","given":"Tri","non-dropping-particle":"","parse-names":false,"suffix":""}],"container-title":"Proceedings of MAC","id":"ITEM-1","issued":{"date-parts":[["2017"]]},"title":"Attitude Toward Computer-Based Statistics Among Pre-Service Teacher Candidates","type":"article-journal","volume":"366"},"uris":["http://www.mendeley.com/documents/?uuid=b9e20ce8-f7cd-40aa-8d0a-289640d23e3d"]},{"id":"ITEM-2","itemData":{"author":[{"dropping-particle":"","family":"Hafsah","given":"Hafsah","non-dropping-particle":"","parse-names":false,"suffix":""},{"dropping-particle":"","family":"Sagala","given":"Gaffar Hafiz","non-dropping-particle":"","parse-names":false,"suffix":""},{"dropping-particle":"","family":"Ramdhansyah","given":"Ramdhansyah","non-dropping-particle":"","parse-names":false,"suffix":""}],"container-title":"Dinamika Pendidikan","id":"ITEM-2","issue":"2","issued":{"date-parts":[["2018"]]},"page":"171-184","title":"Learning Community on Computer-Based Statistics Acceptance for Accounting Students","type":"article-journal","volume":"13"},"uris":["http://www.mendeley.com/documents/?uuid=2d2c6198-4818-486d-9e10-1a72dc58f8c7"]}],"mendeley":{"formattedCitation":"(Hafsah et al., 2018; Sagala et al., 2017)","plainTextFormattedCitation":"(Hafsah et al., 2018; Sagala et al., 2017)","previouslyFormattedCitation":"(Hafsah et al., 2018; Sagala et al., 2017)"},"properties":{"noteIndex":0},"schema":"https://github.com/citation-style-language/schema/raw/master/csl-citation.json"}</w:instrText>
      </w:r>
      <w:r w:rsidRPr="00F42F80">
        <w:rPr>
          <w:rFonts w:ascii="Lustria" w:hAnsi="Lustria"/>
          <w:sz w:val="22"/>
          <w:szCs w:val="22"/>
        </w:rPr>
        <w:fldChar w:fldCharType="separate"/>
      </w:r>
      <w:r w:rsidRPr="00F42F80">
        <w:rPr>
          <w:rFonts w:ascii="Lustria" w:hAnsi="Lustria"/>
          <w:noProof/>
          <w:sz w:val="22"/>
          <w:szCs w:val="22"/>
        </w:rPr>
        <w:t>(Hafsah et al., 2018; Sagala et al., 2017)</w:t>
      </w:r>
      <w:r w:rsidRPr="00F42F80">
        <w:rPr>
          <w:rFonts w:ascii="Lustria" w:hAnsi="Lustria"/>
          <w:sz w:val="22"/>
          <w:szCs w:val="22"/>
        </w:rPr>
        <w:fldChar w:fldCharType="end"/>
      </w:r>
      <w:r w:rsidRPr="00F42F80">
        <w:rPr>
          <w:rFonts w:ascii="Lustria" w:hAnsi="Lustria"/>
          <w:sz w:val="22"/>
          <w:szCs w:val="22"/>
        </w:rPr>
        <w:t xml:space="preserve">. In real business practices, this way of working will spur performance, </w:t>
      </w:r>
      <w:r w:rsidRPr="00F42F80">
        <w:rPr>
          <w:rFonts w:ascii="Lustria" w:hAnsi="Lustria"/>
          <w:sz w:val="22"/>
          <w:szCs w:val="22"/>
        </w:rPr>
        <w:lastRenderedPageBreak/>
        <w:t>productivity, and comfort of work on the professional business side that comes from itself.</w:t>
      </w:r>
    </w:p>
    <w:p w14:paraId="42DAAF62" w14:textId="77777777" w:rsidR="00332E2E" w:rsidRPr="00F42F80" w:rsidRDefault="00332E2E" w:rsidP="00332E2E">
      <w:pPr>
        <w:pStyle w:val="BodyText"/>
        <w:widowControl w:val="0"/>
        <w:autoSpaceDE w:val="0"/>
        <w:autoSpaceDN w:val="0"/>
        <w:spacing w:after="0"/>
        <w:ind w:right="4" w:firstLine="567"/>
        <w:jc w:val="both"/>
        <w:rPr>
          <w:rFonts w:ascii="Lustria" w:hAnsi="Lustria"/>
          <w:sz w:val="22"/>
          <w:szCs w:val="22"/>
          <w:lang w:val="en-US"/>
        </w:rPr>
      </w:pPr>
      <w:r w:rsidRPr="00F42F80">
        <w:rPr>
          <w:rFonts w:ascii="Lustria" w:hAnsi="Lustria"/>
          <w:sz w:val="22"/>
          <w:szCs w:val="22"/>
          <w:lang w:val="en-US"/>
        </w:rPr>
        <w:t xml:space="preserve">Universities need to take the role in maximizing the learning output of quantitative subjects. Because universities are responsible for facilitating students in developing their intellectual abilities to meet their profession's expectations, they are ready to compete in the world of work and business </w:t>
      </w:r>
      <w:r w:rsidRPr="00F42F80">
        <w:rPr>
          <w:rFonts w:ascii="Lustria" w:hAnsi="Lustria"/>
          <w:sz w:val="22"/>
          <w:szCs w:val="22"/>
          <w:lang w:val="en-US"/>
        </w:rPr>
        <w:fldChar w:fldCharType="begin" w:fldLock="1"/>
      </w:r>
      <w:r w:rsidRPr="00F42F80">
        <w:rPr>
          <w:rFonts w:ascii="Lustria" w:hAnsi="Lustria"/>
          <w:sz w:val="22"/>
          <w:szCs w:val="22"/>
          <w:lang w:val="en-US"/>
        </w:rPr>
        <w:instrText>ADDIN CSL_CITATION {"citationItems":[{"id":"ITEM-1","itemData":{"DOI":"10.1016/j.jaccedu.2016.04.001","ISBN":"07485751","ISSN":"07485751","abstract":"Institutional quality has been, and will continue to be, an important dimension of academic accounting. How we measure it, by increasingly featuring objective output measures, has taken the construct away from demonstrated meaningfulness among its most important constituency. This paper forms several research propositions that attempt to identify the antecedents of perceived accounting program quality. Using accounting faculty judgments about accounting programs provided to a popular press request – the Public Accounting Report – the results show that an institution's educational success is more important than its research productivity. More general school characteristics, including the program's accreditation profile and the reputation of the business school in which the program is embedded, are also significant in their direct association with perceived program quality. These more remote factors also indirectly impact program reputation through their significant direct effect on educational outcomes. Implications for further research are drawn.","author":[{"dropping-particle":"","family":"Fogarty","given":"Timothy J.","non-dropping-particle":"","parse-names":false,"suffix":""},{"dropping-particle":"","family":"Zimmerman","given":"Aleksandra B.","non-dropping-particle":"","parse-names":false,"suffix":""},{"dropping-particle":"","family":"Richardson","given":"Vernon J.","non-dropping-particle":"","parse-names":false,"suffix":""}],"container-title":"Journal of Accounting Education","id":"ITEM-1","issued":{"date-parts":[["2016"]]},"page":"16-42","publisher":"Elsevier Ltd","title":"What do we mean by accounting program quality? A decomposition of accounting faculty opinions","type":"article-journal","volume":"36"},"uris":["http://www.mendeley.com/documents/?uuid=01cc4722-b323-4519-bb66-4e7d632f6109"]}],"mendeley":{"formattedCitation":"(Fogarty et al., 2016)","plainTextFormattedCitation":"(Fogarty et al., 2016)","previouslyFormattedCitation":"(Fogarty et al., 2016)"},"properties":{"noteIndex":0},"schema":"https://github.com/citation-style-language/schema/raw/master/csl-citation.json"}</w:instrText>
      </w:r>
      <w:r w:rsidRPr="00F42F80">
        <w:rPr>
          <w:rFonts w:ascii="Lustria" w:hAnsi="Lustria"/>
          <w:sz w:val="22"/>
          <w:szCs w:val="22"/>
          <w:lang w:val="en-US"/>
        </w:rPr>
        <w:fldChar w:fldCharType="separate"/>
      </w:r>
      <w:r w:rsidRPr="00F42F80">
        <w:rPr>
          <w:rFonts w:ascii="Lustria" w:hAnsi="Lustria"/>
          <w:noProof/>
          <w:sz w:val="22"/>
          <w:szCs w:val="22"/>
          <w:lang w:val="en-US"/>
        </w:rPr>
        <w:t>(Fogarty et al., 2016)</w:t>
      </w:r>
      <w:r w:rsidRPr="00F42F80">
        <w:rPr>
          <w:rFonts w:ascii="Lustria" w:hAnsi="Lustria"/>
          <w:sz w:val="22"/>
          <w:szCs w:val="22"/>
          <w:lang w:val="en-US"/>
        </w:rPr>
        <w:fldChar w:fldCharType="end"/>
      </w:r>
      <w:r w:rsidRPr="00F42F80">
        <w:rPr>
          <w:rFonts w:ascii="Lustria" w:hAnsi="Lustria"/>
          <w:sz w:val="22"/>
          <w:szCs w:val="22"/>
          <w:lang w:val="en-US"/>
        </w:rPr>
        <w:t>. Therefore, programs that manage economic, accounting, and business studies must provide students with a better and more streamlined learning experience. Learning involving quantitative analysis should have integrated ICT as a tool to facilitate data analysis. Although students still have to understand the manual logic, urgency, essence, and rule of thumb of the statistical tools. But in practice, the use of statistical software will significantly assist student performance in translating phenomena (interpretations), capturing conclusions, and making decisions.</w:t>
      </w:r>
    </w:p>
    <w:p w14:paraId="5A871E16" w14:textId="77777777" w:rsidR="00332E2E" w:rsidRPr="00F42F80" w:rsidRDefault="00332E2E" w:rsidP="00332E2E">
      <w:pPr>
        <w:pStyle w:val="BodyText"/>
        <w:widowControl w:val="0"/>
        <w:autoSpaceDE w:val="0"/>
        <w:autoSpaceDN w:val="0"/>
        <w:spacing w:after="0"/>
        <w:ind w:right="4" w:firstLine="567"/>
        <w:jc w:val="both"/>
        <w:rPr>
          <w:rFonts w:ascii="Lustria" w:hAnsi="Lustria"/>
          <w:sz w:val="22"/>
          <w:szCs w:val="22"/>
          <w:lang w:val="en-US"/>
        </w:rPr>
      </w:pPr>
      <w:r w:rsidRPr="00F42F80">
        <w:rPr>
          <w:rFonts w:ascii="Lustria" w:hAnsi="Lustria"/>
          <w:sz w:val="22"/>
          <w:szCs w:val="22"/>
          <w:lang w:val="en-US"/>
        </w:rPr>
        <w:t xml:space="preserve">On the learning side of tertiary institutions, some researchers offer a shift in learning styles in tertiary institutions towards a learning process that can develop an understanding of accounting and business concepts and principles rather than merely technical aspects </w:t>
      </w:r>
      <w:r w:rsidRPr="00F42F80">
        <w:rPr>
          <w:rFonts w:ascii="Lustria" w:hAnsi="Lustria"/>
          <w:sz w:val="22"/>
          <w:szCs w:val="22"/>
          <w:lang w:val="en-US"/>
        </w:rPr>
        <w:fldChar w:fldCharType="begin" w:fldLock="1"/>
      </w:r>
      <w:r w:rsidRPr="00F42F80">
        <w:rPr>
          <w:rFonts w:ascii="Lustria" w:hAnsi="Lustria"/>
          <w:sz w:val="22"/>
          <w:szCs w:val="22"/>
          <w:lang w:val="en-US"/>
        </w:rPr>
        <w:instrText>ADDIN CSL_CITATION {"citationItems":[{"id":"ITEM-1","itemData":{"DOI":"10.1016/j.accfor.2008.01.001","ISBN":"01559982","ISSN":"01559982","abstract":"In light of the ongoing accounting education change debate, it is surprising that few prior studies have explored student learning issues within professional accounting education. This paper investigates the learning approaches of students preparing for the qualifying examination of a professional accountancy body in Ireland. The findings reveal that strategic learning approaches dominated, as students engaged in learning activities which they considered were most likely to lead to examination success. Variations between the learning approaches based on gender are also considered and the approaches of students who were ultimately successful at the examination were compared to those who failed. © 2008 Elsevier Ltd. All rights reserved.","author":[{"dropping-particle":"","family":"Flood","given":"Barbara","non-dropping-particle":"","parse-names":false,"suffix":""},{"dropping-particle":"","family":"Wilson","given":"Richard M.S.","non-dropping-particle":"","parse-names":false,"suffix":""}],"container-title":"Accounting Forum","id":"ITEM-1","issue":"3","issued":{"date-parts":[["2008"]]},"page":"225-239","title":"An exploration of the learning approaches of prospective professional accountants in Ireland","type":"article-journal","volume":"32"},"uris":["http://www.mendeley.com/documents/?uuid=eaf5e01f-19ec-4f4a-8156-d6ff1437671c"]}],"mendeley":{"formattedCitation":"(Flood &amp; Wilson, 2008)","plainTextFormattedCitation":"(Flood &amp; Wilson, 2008)","previouslyFormattedCitation":"(Flood &amp; Wilson, 2008)"},"properties":{"noteIndex":0},"schema":"https://github.com/citation-style-language/schema/raw/master/csl-citation.json"}</w:instrText>
      </w:r>
      <w:r w:rsidRPr="00F42F80">
        <w:rPr>
          <w:rFonts w:ascii="Lustria" w:hAnsi="Lustria"/>
          <w:sz w:val="22"/>
          <w:szCs w:val="22"/>
          <w:lang w:val="en-US"/>
        </w:rPr>
        <w:fldChar w:fldCharType="separate"/>
      </w:r>
      <w:r w:rsidRPr="00F42F80">
        <w:rPr>
          <w:rFonts w:ascii="Lustria" w:hAnsi="Lustria"/>
          <w:noProof/>
          <w:sz w:val="22"/>
          <w:szCs w:val="22"/>
          <w:lang w:val="en-US"/>
        </w:rPr>
        <w:t>(Flood &amp; Wilson, 2008)</w:t>
      </w:r>
      <w:r w:rsidRPr="00F42F80">
        <w:rPr>
          <w:rFonts w:ascii="Lustria" w:hAnsi="Lustria"/>
          <w:sz w:val="22"/>
          <w:szCs w:val="22"/>
          <w:lang w:val="en-US"/>
        </w:rPr>
        <w:fldChar w:fldCharType="end"/>
      </w:r>
      <w:r w:rsidRPr="00F42F80">
        <w:rPr>
          <w:rFonts w:ascii="Lustria" w:hAnsi="Lustria"/>
          <w:sz w:val="22"/>
          <w:szCs w:val="22"/>
          <w:lang w:val="en-US"/>
        </w:rPr>
        <w:t xml:space="preserve">. This view seems to be in line with statistical learning in the fields of accounting and business. Students need broader concepts of practice and the implications of data analysis. It certainly creates new challenges because of the limited time allocation during the lecture. In previous studies, </w:t>
      </w:r>
      <w:r w:rsidRPr="00F42F80">
        <w:rPr>
          <w:rFonts w:ascii="Lustria" w:hAnsi="Lustria"/>
          <w:sz w:val="22"/>
          <w:szCs w:val="22"/>
          <w:lang w:val="en-US"/>
        </w:rPr>
        <w:fldChar w:fldCharType="begin" w:fldLock="1"/>
      </w:r>
      <w:r w:rsidRPr="00F42F80">
        <w:rPr>
          <w:rFonts w:ascii="Lustria" w:hAnsi="Lustria"/>
          <w:sz w:val="22"/>
          <w:szCs w:val="22"/>
          <w:lang w:val="en-US"/>
        </w:rPr>
        <w:instrText>ADDIN CSL_CITATION {"citationItems":[{"id":"ITEM-1","itemData":{"author":[{"dropping-particle":"","family":"Hafsah","given":"Hafsah","non-dropping-particle":"","parse-names":false,"suffix":""},{"dropping-particle":"","family":"Sagala","given":"Gaffar Hafiz","non-dropping-particle":"","parse-names":false,"suffix":""},{"dropping-particle":"","family":"Ramdhansyah","given":"Ramdhansyah","non-dropping-particle":"","parse-names":false,"suffix":""}],"container-title":"Dinamika Pendidikan","id":"ITEM-1","issue":"2","issued":{"date-parts":[["2018"]]},"page":"171-184","title":"Learning Community on Computer-Based Statistics Acceptance for Accounting Students","type":"article-journal","volume":"13"},"uris":["http://www.mendeley.com/documents/?uuid=2d2c6198-4818-486d-9e10-1a72dc58f8c7"]}],"mendeley":{"formattedCitation":"(Hafsah et al., 2018)","manualFormatting":"Hafsah et al., (2018)","plainTextFormattedCitation":"(Hafsah et al., 2018)","previouslyFormattedCitation":"(Hafsah et al., 2018)"},"properties":{"noteIndex":0},"schema":"https://github.com/citation-style-language/schema/raw/master/csl-citation.json"}</w:instrText>
      </w:r>
      <w:r w:rsidRPr="00F42F80">
        <w:rPr>
          <w:rFonts w:ascii="Lustria" w:hAnsi="Lustria"/>
          <w:sz w:val="22"/>
          <w:szCs w:val="22"/>
          <w:lang w:val="en-US"/>
        </w:rPr>
        <w:fldChar w:fldCharType="separate"/>
      </w:r>
      <w:r w:rsidRPr="00F42F80">
        <w:rPr>
          <w:rFonts w:ascii="Lustria" w:hAnsi="Lustria"/>
          <w:noProof/>
          <w:sz w:val="22"/>
          <w:szCs w:val="22"/>
          <w:lang w:val="en-US"/>
        </w:rPr>
        <w:t>Hafsah et al., (2018)</w:t>
      </w:r>
      <w:r w:rsidRPr="00F42F80">
        <w:rPr>
          <w:rFonts w:ascii="Lustria" w:hAnsi="Lustria"/>
          <w:sz w:val="22"/>
          <w:szCs w:val="22"/>
          <w:lang w:val="en-US"/>
        </w:rPr>
        <w:fldChar w:fldCharType="end"/>
      </w:r>
      <w:r w:rsidRPr="00F42F80">
        <w:rPr>
          <w:rFonts w:ascii="Lustria" w:hAnsi="Lustria"/>
          <w:sz w:val="22"/>
          <w:szCs w:val="22"/>
          <w:lang w:val="en-US"/>
        </w:rPr>
        <w:t xml:space="preserve"> offered to learn communities as informal learning that supports formal learning activities in the classroom. The learning community is becoming essential due to the limited time allocation at the school. Simultaneously, many practical aspects and implications that can be further discussed are related to the development of student competencies, for example, in the use of data analysis software in conducting quantitative studies. To support the learning process in </w:t>
      </w:r>
      <w:r w:rsidRPr="00F42F80">
        <w:rPr>
          <w:rFonts w:ascii="Lustria" w:hAnsi="Lustria"/>
          <w:sz w:val="22"/>
          <w:szCs w:val="22"/>
          <w:lang w:val="en-US"/>
        </w:rPr>
        <w:t xml:space="preserve">the classroom, students need to strengthen knowledge outside the classroom through directed discussion with their colleagues to complete assignments, projects, minisets, and so on </w:t>
      </w:r>
      <w:r w:rsidRPr="00F42F80">
        <w:rPr>
          <w:rFonts w:ascii="Lustria" w:hAnsi="Lustria"/>
          <w:sz w:val="22"/>
          <w:szCs w:val="22"/>
          <w:lang w:val="en-US"/>
        </w:rPr>
        <w:fldChar w:fldCharType="begin" w:fldLock="1"/>
      </w:r>
      <w:r w:rsidRPr="00F42F80">
        <w:rPr>
          <w:rFonts w:ascii="Lustria" w:hAnsi="Lustria"/>
          <w:sz w:val="22"/>
          <w:szCs w:val="22"/>
          <w:lang w:val="en-US"/>
        </w:rPr>
        <w:instrText>ADDIN CSL_CITATION {"citationItems":[{"id":"ITEM-1","itemData":{"author":[{"dropping-particle":"","family":"Hafsah","given":"Hafsah","non-dropping-particle":"","parse-names":false,"suffix":""},{"dropping-particle":"","family":"Sagala","given":"Gaffar Hafiz","non-dropping-particle":"","parse-names":false,"suffix":""},{"dropping-particle":"","family":"Ramdhansyah","given":"Ramdhansyah","non-dropping-particle":"","parse-names":false,"suffix":""}],"container-title":"Dinamika Pendidikan","id":"ITEM-1","issue":"2","issued":{"date-parts":[["2018"]]},"page":"171-184","title":"Learning Community on Computer-Based Statistics Acceptance for Accounting Students","type":"article-journal","volume":"13"},"uris":["http://www.mendeley.com/documents/?uuid=2d2c6198-4818-486d-9e10-1a72dc58f8c7"]}],"mendeley":{"formattedCitation":"(Hafsah et al., 2018)","plainTextFormattedCitation":"(Hafsah et al., 2018)","previouslyFormattedCitation":"(Hafsah et al., 2018)"},"properties":{"noteIndex":0},"schema":"https://github.com/citation-style-language/schema/raw/master/csl-citation.json"}</w:instrText>
      </w:r>
      <w:r w:rsidRPr="00F42F80">
        <w:rPr>
          <w:rFonts w:ascii="Lustria" w:hAnsi="Lustria"/>
          <w:sz w:val="22"/>
          <w:szCs w:val="22"/>
          <w:lang w:val="en-US"/>
        </w:rPr>
        <w:fldChar w:fldCharType="separate"/>
      </w:r>
      <w:r w:rsidRPr="00F42F80">
        <w:rPr>
          <w:rFonts w:ascii="Lustria" w:hAnsi="Lustria"/>
          <w:noProof/>
          <w:sz w:val="22"/>
          <w:szCs w:val="22"/>
          <w:lang w:val="en-US"/>
        </w:rPr>
        <w:t>(Hafsah et al., 2018)</w:t>
      </w:r>
      <w:r w:rsidRPr="00F42F80">
        <w:rPr>
          <w:rFonts w:ascii="Lustria" w:hAnsi="Lustria"/>
          <w:sz w:val="22"/>
          <w:szCs w:val="22"/>
          <w:lang w:val="en-US"/>
        </w:rPr>
        <w:fldChar w:fldCharType="end"/>
      </w:r>
      <w:r w:rsidRPr="00F42F80">
        <w:rPr>
          <w:rFonts w:ascii="Lustria" w:hAnsi="Lustria"/>
          <w:sz w:val="22"/>
          <w:szCs w:val="22"/>
          <w:lang w:val="en-US"/>
        </w:rPr>
        <w:t>.</w:t>
      </w:r>
    </w:p>
    <w:p w14:paraId="0C9A29E2" w14:textId="77777777" w:rsidR="00332E2E" w:rsidRPr="00F42F80" w:rsidRDefault="00332E2E" w:rsidP="00332E2E">
      <w:pPr>
        <w:pStyle w:val="BodyText"/>
        <w:spacing w:after="0"/>
        <w:ind w:right="4" w:firstLine="567"/>
        <w:jc w:val="both"/>
        <w:rPr>
          <w:rFonts w:ascii="Lustria" w:hAnsi="Lustria"/>
          <w:sz w:val="22"/>
          <w:szCs w:val="22"/>
          <w:lang w:val="en-US"/>
        </w:rPr>
      </w:pPr>
      <w:r w:rsidRPr="00F42F80">
        <w:rPr>
          <w:rFonts w:ascii="Lustria" w:hAnsi="Lustria"/>
          <w:sz w:val="22"/>
          <w:szCs w:val="22"/>
          <w:lang w:val="en-US"/>
        </w:rPr>
        <w:t xml:space="preserve">Universitas Negeri Medan (Unimed), through the chancellor's regulations, actually accommodated the assignment, such as routine tasks (TR), journal review (JR), mini-research (MR), project (PJ), critical book review (CBR), and idea engineering (RI). However, learning outside the classroom will be effective with a learning community that is a place for students to exchange ideas and discuss. The concept of this community has been widely developed in knowledge management </w:t>
      </w:r>
      <w:r w:rsidRPr="00F42F80">
        <w:rPr>
          <w:rFonts w:ascii="Lustria" w:hAnsi="Lustria"/>
          <w:sz w:val="22"/>
          <w:szCs w:val="22"/>
          <w:lang w:val="en-US"/>
        </w:rPr>
        <w:fldChar w:fldCharType="begin" w:fldLock="1"/>
      </w:r>
      <w:r w:rsidRPr="00F42F80">
        <w:rPr>
          <w:rFonts w:ascii="Lustria" w:hAnsi="Lustria"/>
          <w:sz w:val="22"/>
          <w:szCs w:val="22"/>
          <w:lang w:val="en-US"/>
        </w:rPr>
        <w:instrText>ADDIN CSL_CITATION {"citationItems":[{"id":"ITEM-1","itemData":{"author":[{"dropping-particle":"","family":"Dalkir","given":"Kimiz","non-dropping-particle":"","parse-names":false,"suffix":""}],"id":"ITEM-1","issued":{"date-parts":[["2013"]]},"publisher":"Routledge","title":"Knowledge management in theory and practice","type":"book"},"uris":["http://www.mendeley.com/documents/?uuid=07f7078f-0746-4cad-9539-dd37bcb8ce60"]}],"mendeley":{"formattedCitation":"(Dalkir, 2013)","plainTextFormattedCitation":"(Dalkir, 2013)","previouslyFormattedCitation":"(Dalkir, 2013)"},"properties":{"noteIndex":0},"schema":"https://github.com/citation-style-language/schema/raw/master/csl-citation.json"}</w:instrText>
      </w:r>
      <w:r w:rsidRPr="00F42F80">
        <w:rPr>
          <w:rFonts w:ascii="Lustria" w:hAnsi="Lustria"/>
          <w:sz w:val="22"/>
          <w:szCs w:val="22"/>
          <w:lang w:val="en-US"/>
        </w:rPr>
        <w:fldChar w:fldCharType="separate"/>
      </w:r>
      <w:r w:rsidRPr="00F42F80">
        <w:rPr>
          <w:rFonts w:ascii="Lustria" w:hAnsi="Lustria"/>
          <w:noProof/>
          <w:sz w:val="22"/>
          <w:szCs w:val="22"/>
          <w:lang w:val="en-US"/>
        </w:rPr>
        <w:t>(Dalkir, 2013)</w:t>
      </w:r>
      <w:r w:rsidRPr="00F42F80">
        <w:rPr>
          <w:rFonts w:ascii="Lustria" w:hAnsi="Lustria"/>
          <w:sz w:val="22"/>
          <w:szCs w:val="22"/>
          <w:lang w:val="en-US"/>
        </w:rPr>
        <w:fldChar w:fldCharType="end"/>
      </w:r>
      <w:r w:rsidRPr="00F42F80">
        <w:rPr>
          <w:rFonts w:ascii="Lustria" w:hAnsi="Lustria"/>
          <w:sz w:val="22"/>
          <w:szCs w:val="22"/>
          <w:lang w:val="en-US"/>
        </w:rPr>
        <w:t xml:space="preserve">. Research of </w:t>
      </w:r>
      <w:r w:rsidRPr="00F42F80">
        <w:rPr>
          <w:rFonts w:ascii="Lustria" w:hAnsi="Lustria"/>
          <w:sz w:val="22"/>
          <w:szCs w:val="22"/>
          <w:lang w:val="en-US"/>
        </w:rPr>
        <w:fldChar w:fldCharType="begin" w:fldLock="1"/>
      </w:r>
      <w:r w:rsidRPr="00F42F80">
        <w:rPr>
          <w:rFonts w:ascii="Lustria" w:hAnsi="Lustria"/>
          <w:sz w:val="22"/>
          <w:szCs w:val="22"/>
          <w:lang w:val="en-US"/>
        </w:rPr>
        <w:instrText>ADDIN CSL_CITATION {"citationItems":[{"id":"ITEM-1","itemData":{"author":[{"dropping-particle":"","family":"Hafsah","given":"Hafsah","non-dropping-particle":"","parse-names":false,"suffix":""},{"dropping-particle":"","family":"Sagala","given":"Gaffar Hafiz","non-dropping-particle":"","parse-names":false,"suffix":""},{"dropping-particle":"","family":"Ramdhansyah","given":"Ramdhansyah","non-dropping-particle":"","parse-names":false,"suffix":""}],"container-title":"Dinamika Pendidikan","id":"ITEM-1","issue":"2","issued":{"date-parts":[["2018"]]},"page":"171-184","title":"Learning Community on Computer-Based Statistics Acceptance for Accounting Students","type":"article-journal","volume":"13"},"uris":["http://www.mendeley.com/documents/?uuid=2d2c6198-4818-486d-9e10-1a72dc58f8c7"]}],"mendeley":{"formattedCitation":"(Hafsah et al., 2018)","manualFormatting":"Hafsah et al., (2018)","plainTextFormattedCitation":"(Hafsah et al., 2018)","previouslyFormattedCitation":"(Hafsah et al., 2018)"},"properties":{"noteIndex":0},"schema":"https://github.com/citation-style-language/schema/raw/master/csl-citation.json"}</w:instrText>
      </w:r>
      <w:r w:rsidRPr="00F42F80">
        <w:rPr>
          <w:rFonts w:ascii="Lustria" w:hAnsi="Lustria"/>
          <w:sz w:val="22"/>
          <w:szCs w:val="22"/>
          <w:lang w:val="en-US"/>
        </w:rPr>
        <w:fldChar w:fldCharType="separate"/>
      </w:r>
      <w:r w:rsidRPr="00F42F80">
        <w:rPr>
          <w:rFonts w:ascii="Lustria" w:hAnsi="Lustria"/>
          <w:noProof/>
          <w:sz w:val="22"/>
          <w:szCs w:val="22"/>
          <w:lang w:val="en-US"/>
        </w:rPr>
        <w:t>Hafsah et al., (2018)</w:t>
      </w:r>
      <w:r w:rsidRPr="00F42F80">
        <w:rPr>
          <w:rFonts w:ascii="Lustria" w:hAnsi="Lustria"/>
          <w:sz w:val="22"/>
          <w:szCs w:val="22"/>
          <w:lang w:val="en-US"/>
        </w:rPr>
        <w:fldChar w:fldCharType="end"/>
      </w:r>
      <w:r w:rsidRPr="00F42F80">
        <w:rPr>
          <w:rFonts w:ascii="Lustria" w:hAnsi="Lustria"/>
          <w:sz w:val="22"/>
          <w:szCs w:val="22"/>
          <w:lang w:val="en-US"/>
        </w:rPr>
        <w:t xml:space="preserve"> and </w:t>
      </w:r>
      <w:r w:rsidRPr="00F42F80">
        <w:rPr>
          <w:rFonts w:ascii="Lustria" w:hAnsi="Lustria"/>
          <w:sz w:val="22"/>
          <w:szCs w:val="22"/>
          <w:lang w:val="en-US"/>
        </w:rPr>
        <w:fldChar w:fldCharType="begin" w:fldLock="1"/>
      </w:r>
      <w:r w:rsidRPr="00F42F80">
        <w:rPr>
          <w:rFonts w:ascii="Lustria" w:hAnsi="Lustria"/>
          <w:sz w:val="22"/>
          <w:szCs w:val="22"/>
          <w:lang w:val="en-US"/>
        </w:rPr>
        <w:instrText>ADDIN CSL_CITATION {"citationItems":[{"id":"ITEM-1","itemData":{"DOI":"10.5220/0009492300490057","author":[{"dropping-particle":"","family":"Hasibuan","given":"A.","non-dropping-particle":"","parse-names":false,"suffix":""},{"dropping-particle":"","family":"Sagala","given":"G.","non-dropping-particle":"","parse-names":false,"suffix":""},{"dropping-particle":"","family":"Silaban","given":"S.","non-dropping-particle":"","parse-names":false,"suffix":""},{"dropping-particle":"","family":"Simanjuntak","given":"A.","non-dropping-particle":"","parse-names":false,"suffix":""},{"dropping-particle":"","family":"Rahmah","given":"A","non-dropping-particle":"","parse-names":false,"suffix":""}],"container-title":"1st Unimed International Conference on Economics Education and Social Science","id":"ITEM-1","issued":{"date-parts":[["2020"]]},"page":"49-57","publisher":"Proceedings of UNICEES-Volume 1","title":"Accounting Club and Its Impact on Academic Performance of Accounting Students","type":"paper-conference"},"uris":["http://www.mendeley.com/documents/?uuid=25f81e8f-24bd-41d3-a7ce-0e847e332be2"]}],"mendeley":{"formattedCitation":"(Hasibuan et al., 2020)","manualFormatting":"Hasibuan et al., (2020)","plainTextFormattedCitation":"(Hasibuan et al., 2020)","previouslyFormattedCitation":"(Hasibuan et al., 2020)"},"properties":{"noteIndex":0},"schema":"https://github.com/citation-style-language/schema/raw/master/csl-citation.json"}</w:instrText>
      </w:r>
      <w:r w:rsidRPr="00F42F80">
        <w:rPr>
          <w:rFonts w:ascii="Lustria" w:hAnsi="Lustria"/>
          <w:sz w:val="22"/>
          <w:szCs w:val="22"/>
          <w:lang w:val="en-US"/>
        </w:rPr>
        <w:fldChar w:fldCharType="separate"/>
      </w:r>
      <w:r w:rsidRPr="00F42F80">
        <w:rPr>
          <w:rFonts w:ascii="Lustria" w:hAnsi="Lustria"/>
          <w:noProof/>
          <w:sz w:val="22"/>
          <w:szCs w:val="22"/>
          <w:lang w:val="en-US"/>
        </w:rPr>
        <w:t>Hasibuan et al., (2020)</w:t>
      </w:r>
      <w:r w:rsidRPr="00F42F80">
        <w:rPr>
          <w:rFonts w:ascii="Lustria" w:hAnsi="Lustria"/>
          <w:sz w:val="22"/>
          <w:szCs w:val="22"/>
          <w:lang w:val="en-US"/>
        </w:rPr>
        <w:fldChar w:fldCharType="end"/>
      </w:r>
      <w:r w:rsidRPr="00F42F80">
        <w:rPr>
          <w:rFonts w:ascii="Lustria" w:hAnsi="Lustria"/>
          <w:sz w:val="22"/>
          <w:szCs w:val="22"/>
          <w:lang w:val="en-US"/>
        </w:rPr>
        <w:t xml:space="preserve"> have also revealed that the learning community has a significant impact on academic performance and student capabilities mastering computer-based statistics. It needs to be explored further regarding what the learning environment should be accommodated in these learning activities. So, the learning community can be instrumental in improving academic performance and expertise in specific fields. Therefore, this study seeks to investigate the dynamics of learning in student learning communities in the Faculty of Economics, which are associated with attitudes toward computer-based statistics and intentions to reuse them. This study attempts to answer the following questions: </w:t>
      </w:r>
    </w:p>
    <w:p w14:paraId="0EA22189" w14:textId="7B52C100" w:rsidR="00332E2E" w:rsidRPr="00F42F80" w:rsidRDefault="00332E2E" w:rsidP="00332E2E">
      <w:pPr>
        <w:pStyle w:val="NoSpacing"/>
        <w:ind w:left="567" w:hanging="567"/>
        <w:rPr>
          <w:rFonts w:ascii="Lustria" w:hAnsi="Lustria"/>
        </w:rPr>
      </w:pPr>
      <w:r w:rsidRPr="00F42F80">
        <w:rPr>
          <w:rFonts w:ascii="Lustria" w:hAnsi="Lustria"/>
          <w:lang w:val="en-US"/>
        </w:rPr>
        <w:t>RQ</w:t>
      </w:r>
      <w:r w:rsidRPr="00F42F80">
        <w:rPr>
          <w:rFonts w:ascii="Lustria" w:hAnsi="Lustria"/>
        </w:rPr>
        <w:t>1</w:t>
      </w:r>
      <w:r w:rsidRPr="00F42F80">
        <w:rPr>
          <w:rFonts w:ascii="Lustria" w:hAnsi="Lustria"/>
          <w:lang w:val="en-US"/>
        </w:rPr>
        <w:t xml:space="preserve">:  </w:t>
      </w:r>
      <w:r w:rsidRPr="00F42F80">
        <w:rPr>
          <w:rFonts w:ascii="Lustria" w:hAnsi="Lustria"/>
        </w:rPr>
        <w:t xml:space="preserve">How can community of learning affect attitude toward computer- </w:t>
      </w:r>
    </w:p>
    <w:p w14:paraId="1CFCBFD0" w14:textId="4D023A3C" w:rsidR="00332E2E" w:rsidRPr="00F42F80" w:rsidRDefault="00332E2E" w:rsidP="00332E2E">
      <w:pPr>
        <w:pStyle w:val="NoSpacing"/>
        <w:ind w:left="567"/>
        <w:rPr>
          <w:rFonts w:ascii="Lustria" w:hAnsi="Lustria"/>
        </w:rPr>
      </w:pPr>
      <w:r w:rsidRPr="00F42F80">
        <w:rPr>
          <w:rFonts w:ascii="Lustria" w:hAnsi="Lustria"/>
        </w:rPr>
        <w:t xml:space="preserve">based statistics among  </w:t>
      </w:r>
    </w:p>
    <w:p w14:paraId="2EBAF645" w14:textId="139B0C5A" w:rsidR="00332E2E" w:rsidRPr="00F42F80" w:rsidRDefault="00332E2E" w:rsidP="00332E2E">
      <w:pPr>
        <w:pStyle w:val="NoSpacing"/>
        <w:ind w:left="567"/>
        <w:rPr>
          <w:rFonts w:ascii="Lustria" w:hAnsi="Lustria"/>
        </w:rPr>
      </w:pPr>
      <w:r w:rsidRPr="00F42F80">
        <w:rPr>
          <w:rFonts w:ascii="Lustria" w:hAnsi="Lustria"/>
        </w:rPr>
        <w:t>accounting students?</w:t>
      </w:r>
    </w:p>
    <w:p w14:paraId="23EC0590" w14:textId="4440F489" w:rsidR="00332E2E" w:rsidRPr="00F42F80" w:rsidRDefault="00332E2E" w:rsidP="00332E2E">
      <w:pPr>
        <w:pStyle w:val="BodyText"/>
        <w:spacing w:after="0"/>
        <w:ind w:left="567" w:right="4" w:hanging="567"/>
        <w:jc w:val="both"/>
        <w:rPr>
          <w:rFonts w:ascii="Lustria" w:hAnsi="Lustria"/>
          <w:sz w:val="22"/>
          <w:szCs w:val="22"/>
          <w:lang w:val="en-US"/>
        </w:rPr>
      </w:pPr>
      <w:r w:rsidRPr="00F42F80">
        <w:rPr>
          <w:rFonts w:ascii="Lustria" w:hAnsi="Lustria"/>
          <w:sz w:val="22"/>
          <w:szCs w:val="22"/>
          <w:lang w:val="en-US"/>
        </w:rPr>
        <w:t>RQ2: Does the student's attitude toward computer-based statistics affect the student's reuse intention?</w:t>
      </w:r>
    </w:p>
    <w:bookmarkEnd w:id="4"/>
    <w:p w14:paraId="309E22AE" w14:textId="77777777" w:rsidR="00332E2E" w:rsidRPr="00F42F80" w:rsidRDefault="00332E2E" w:rsidP="00332E2E">
      <w:pPr>
        <w:pStyle w:val="BodyText"/>
        <w:spacing w:after="0"/>
        <w:ind w:right="4" w:firstLine="567"/>
        <w:jc w:val="both"/>
        <w:rPr>
          <w:rFonts w:ascii="Lustria" w:hAnsi="Lustria"/>
          <w:sz w:val="22"/>
          <w:szCs w:val="22"/>
          <w:lang w:val="en-US"/>
        </w:rPr>
      </w:pPr>
      <w:r w:rsidRPr="00F42F80">
        <w:rPr>
          <w:rFonts w:ascii="Lustria" w:hAnsi="Lustria"/>
          <w:sz w:val="22"/>
          <w:szCs w:val="22"/>
          <w:lang w:val="en-US"/>
        </w:rPr>
        <w:t xml:space="preserve">Several studies reveal that activities such as learning communities should be carried out with some control carried out by lecturers or facilitated by the campus even though learning runs informally </w:t>
      </w:r>
      <w:r w:rsidRPr="00F42F80">
        <w:rPr>
          <w:rFonts w:ascii="Lustria" w:hAnsi="Lustria"/>
          <w:sz w:val="22"/>
          <w:szCs w:val="22"/>
          <w:lang w:val="en-US"/>
        </w:rPr>
        <w:fldChar w:fldCharType="begin" w:fldLock="1"/>
      </w:r>
      <w:r w:rsidRPr="00F42F80">
        <w:rPr>
          <w:rFonts w:ascii="Lustria" w:hAnsi="Lustria"/>
          <w:sz w:val="22"/>
          <w:szCs w:val="22"/>
          <w:lang w:val="en-US"/>
        </w:rPr>
        <w:instrText>ADDIN CSL_CITATION {"citationItems":[{"id":"ITEM-1","itemData":{"author":[{"dropping-particle":"","family":"Hafsah","given":"Hafsah","non-dropping-particle":"","parse-names":false,"suffix":""},{"dropping-particle":"","family":"Sagala","given":"Gaffar Hafiz","non-dropping-particle":"","parse-names":false,"suffix":""},{"dropping-particle":"","family":"Ramdhansyah","given":"Ramdhansyah","non-dropping-particle":"","parse-names":false,"suffix":""}],"container-title":"Dinamika Pendidikan","id":"ITEM-1","issue":"2","issued":{"date-parts":[["2018"]]},"page":"171-184","title":"Learning Community on Computer-Based Statistics Acceptance for Accounting Students","type":"article-journal","volume":"13"},"uris":["http://www.mendeley.com/documents/?uuid=2d2c6198-4818-486d-9e10-1a72dc58f8c7"]},{"id":"ITEM-2","itemData":{"author":[{"dropping-particle":"","family":"Cavanagh","given":"Peter","non-dropping-particle":"","parse-names":false,"suffix":""},{"dropping-particle":"","family":"Evans","given":"J","non-dropping-particle":"","parse-names":false,"suffix":""},{"dropping-particle":"","family":"Fiatarone","given":"Maria","non-dropping-particle":"","parse-names":false,"suffix":""},{"dropping-particle":"","family":"Hagberg","given":"James","non-dropping-particle":"","parse-names":false,"suffix":""},{"dropping-particle":"","family":"McAuley","given":"Edward","non-dropping-particle":"","parse-names":false,"suffix":""},{"dropping-particle":"","family":"Startzell","given":"Jill","non-dropping-particle":"","parse-names":false,"suffix":""}],"container-title":"Med Sci Sports Exerc","id":"ITEM-2","issue":"6","issued":{"date-parts":[["1998"]]},"page":"1-29","title":"Exercise and physical activity for older adults","type":"article-journal","volume":"30"},"uris":["http://www.mendeley.com/documents/?uuid=581a5828-5f2d-471b-97d8-045a363bb752"]},{"id":"ITEM-3","itemData":{"author":[{"dropping-particle":"","family":"Nguyen","given":"ThuyUyen H","non-dropping-particle":"","parse-names":false,"suffix":""},{"dropping-particle":"","family":"Charity","given":"Ian","non-dropping-particle":"","parse-names":false,"suffix":""},{"dropping-particle":"","family":"Robson","given":"Andrew","non-dropping-particle":"","parse-names":false,"suffix":""}],"container-title":"Studies in Higher Education","id":"ITEM-3","issue":"4","issued":{"date-parts":[["2016"]]},"page":"734-755","publisher":"Taylor &amp; Francis","title":"Students' perceptions of computer-based learning environments, their attitude towards business statistics, and their academic achievement: implications from a UK university","type":"article-journal","volume":"41"},"uris":["http://www.mendeley.com/documents/?uuid=c7ebb98c-7b7b-49b8-8159-0a28f1576373"]},{"id":"ITEM-4","itemData":{"DOI":"10.5220/0009492300490057","author":[{"dropping-particle":"","family":"Hasibuan","given":"A.","non-dropping-particle":"","parse-names":false,"suffix":""},{"dropping-particle":"","family":"Sagala","given":"G.","non-dropping-particle":"","parse-names":false,"suffix":""},{"dropping-particle":"","family":"Silaban","given":"S.","non-dropping-particle":"","parse-names":false,"suffix":""},{"dropping-particle":"","family":"Simanjuntak","given":"A.","non-dropping-particle":"","parse-names":false,"suffix":""},{"dropping-particle":"","family":"Rahmah","given":"A","non-dropping-particle":"","parse-names":false,"suffix":""}],"container-title":"1st Unimed International Conference on Economics Education and Social Science","id":"ITEM-4","issued":{"date-parts":[["2020"]]},"page":"49-57","publisher":"Proceedings of UNICEES-Volume 1","title":"Accounting Club and Its Impact on Academic Performance of Accounting Students","type":"paper-conference"},"uris":["http://www.mendeley.com/documents/?uuid=25f81e8f-24bd-41d3-a7ce-0e847e332be2"]}],"mendeley":{"formattedCitation":"(Cavanagh et al., 1998; Hafsah et al., 2018; Hasibuan et al., 2020; Nguyen et al., 2016)","plainTextFormattedCitation":"(Cavanagh et al., 1998; Hafsah et al., 2018; Hasibuan et al., 2020; Nguyen et al., 2016)","previouslyFormattedCitation":"(Cavanagh et al., 1998; Hafsah et al., 2018; Hasibuan et al., 2020; Nguyen et al., 2016)"},"properties":{"noteIndex":0},"schema":"https://github.com/citation-style-language/schema/raw/master/csl-citation.json"}</w:instrText>
      </w:r>
      <w:r w:rsidRPr="00F42F80">
        <w:rPr>
          <w:rFonts w:ascii="Lustria" w:hAnsi="Lustria"/>
          <w:sz w:val="22"/>
          <w:szCs w:val="22"/>
          <w:lang w:val="en-US"/>
        </w:rPr>
        <w:fldChar w:fldCharType="separate"/>
      </w:r>
      <w:r w:rsidRPr="00F42F80">
        <w:rPr>
          <w:rFonts w:ascii="Lustria" w:hAnsi="Lustria"/>
          <w:noProof/>
          <w:sz w:val="22"/>
          <w:szCs w:val="22"/>
          <w:lang w:val="en-US"/>
        </w:rPr>
        <w:t>(Cavanagh et al., 1998; Hafsah et al., 2018; Hasibuan et al., 2020; Nguyen et al., 2016)</w:t>
      </w:r>
      <w:r w:rsidRPr="00F42F80">
        <w:rPr>
          <w:rFonts w:ascii="Lustria" w:hAnsi="Lustria"/>
          <w:sz w:val="22"/>
          <w:szCs w:val="22"/>
          <w:lang w:val="en-US"/>
        </w:rPr>
        <w:fldChar w:fldCharType="end"/>
      </w:r>
      <w:r w:rsidRPr="00F42F80">
        <w:rPr>
          <w:rFonts w:ascii="Lustria" w:hAnsi="Lustria"/>
          <w:sz w:val="22"/>
          <w:szCs w:val="22"/>
          <w:lang w:val="en-US"/>
        </w:rPr>
        <w:t xml:space="preserve">. Thus, in the community, students can learn textual </w:t>
      </w:r>
      <w:r w:rsidRPr="00F42F80">
        <w:rPr>
          <w:rFonts w:ascii="Lustria" w:hAnsi="Lustria"/>
          <w:sz w:val="22"/>
          <w:szCs w:val="22"/>
          <w:lang w:val="en-US"/>
        </w:rPr>
        <w:lastRenderedPageBreak/>
        <w:t xml:space="preserve">knowledge and the implications of their knowledge and dynamics and culture of learning environments that become miniatures of real work-life </w:t>
      </w:r>
      <w:r w:rsidRPr="00F42F80">
        <w:rPr>
          <w:rFonts w:ascii="Lustria" w:hAnsi="Lustria"/>
          <w:sz w:val="22"/>
          <w:szCs w:val="22"/>
          <w:lang w:val="en-US"/>
        </w:rPr>
        <w:fldChar w:fldCharType="begin" w:fldLock="1"/>
      </w:r>
      <w:r w:rsidRPr="00F42F80">
        <w:rPr>
          <w:rFonts w:ascii="Lustria" w:hAnsi="Lustria"/>
          <w:sz w:val="22"/>
          <w:szCs w:val="22"/>
          <w:lang w:val="en-US"/>
        </w:rPr>
        <w:instrText>ADDIN CSL_CITATION {"citationItems":[{"id":"ITEM-1","itemData":{"author":[{"dropping-particle":"","family":"Fullan","given":"Michael G","non-dropping-particle":"","parse-names":false,"suffix":""}],"container-title":"Educational leadership","id":"ITEM-1","issued":{"date-parts":[["1993"]]},"page":"12","publisher":"ASCD ASSOCIATION FOR SUPERVISION AND","title":"Why teachers must become change agents","type":"article-journal","volume":"50"},"uris":["http://www.mendeley.com/documents/?uuid=b41b3e10-b5c3-473d-9606-ba7ffbb1ddcb"]},{"id":"ITEM-2","itemData":{"author":[{"dropping-particle":"","family":"Sergiovanni","given":"Thomas J","non-dropping-particle":"","parse-names":false,"suffix":""}],"container-title":"International Journal of Educational Reform","id":"ITEM-2","issue":"1","issued":{"date-parts":[["1993"]]},"page":"19-26","publisher":"SAGE Publications Sage CA: Los Angeles, CA","title":"Frames of leadership","type":"article-journal","volume":"2"},"uris":["http://www.mendeley.com/documents/?uuid=09f50f8d-6607-4c56-baf7-eb0905a77d5f"]},{"id":"ITEM-3","itemData":{"author":[{"dropping-particle":"","family":"Nguyen","given":"ThuyUyen H","non-dropping-particle":"","parse-names":false,"suffix":""},{"dropping-particle":"","family":"Charity","given":"Ian","non-dropping-particle":"","parse-names":false,"suffix":""},{"dropping-particle":"","family":"Robson","given":"Andrew","non-dropping-particle":"","parse-names":false,"suffix":""}],"container-title":"Studies in Higher Education","id":"ITEM-3","issue":"4","issued":{"date-parts":[["2016"]]},"page":"734-755","publisher":"Taylor &amp; Francis","title":"Students' perceptions of computer-based learning environments, their attitude towards business statistics, and their academic achievement: implications from a UK university","type":"article-journal","volume":"41"},"uris":["http://www.mendeley.com/documents/?uuid=c7ebb98c-7b7b-49b8-8159-0a28f1576373"]}],"mendeley":{"formattedCitation":"(Fullan, 1993; Nguyen et al., 2016; Sergiovanni, 1993)","plainTextFormattedCitation":"(Fullan, 1993; Nguyen et al., 2016; Sergiovanni, 1993)","previouslyFormattedCitation":"(Fullan, 1993; Nguyen et al., 2016; Sergiovanni, 1993)"},"properties":{"noteIndex":0},"schema":"https://github.com/citation-style-language/schema/raw/master/csl-citation.json"}</w:instrText>
      </w:r>
      <w:r w:rsidRPr="00F42F80">
        <w:rPr>
          <w:rFonts w:ascii="Lustria" w:hAnsi="Lustria"/>
          <w:sz w:val="22"/>
          <w:szCs w:val="22"/>
          <w:lang w:val="en-US"/>
        </w:rPr>
        <w:fldChar w:fldCharType="separate"/>
      </w:r>
      <w:r w:rsidRPr="00F42F80">
        <w:rPr>
          <w:rFonts w:ascii="Lustria" w:hAnsi="Lustria"/>
          <w:noProof/>
          <w:sz w:val="22"/>
          <w:szCs w:val="22"/>
          <w:lang w:val="en-US"/>
        </w:rPr>
        <w:t>(Fullan, 1993; Nguyen et al., 2016; Sergiovanni, 1993)</w:t>
      </w:r>
      <w:r w:rsidRPr="00F42F80">
        <w:rPr>
          <w:rFonts w:ascii="Lustria" w:hAnsi="Lustria"/>
          <w:sz w:val="22"/>
          <w:szCs w:val="22"/>
          <w:lang w:val="en-US"/>
        </w:rPr>
        <w:fldChar w:fldCharType="end"/>
      </w:r>
      <w:r w:rsidRPr="00F42F80">
        <w:rPr>
          <w:rFonts w:ascii="Lustria" w:hAnsi="Lustria"/>
          <w:sz w:val="22"/>
          <w:szCs w:val="22"/>
          <w:lang w:val="en-US"/>
        </w:rPr>
        <w:t>.</w:t>
      </w:r>
    </w:p>
    <w:p w14:paraId="3DA53DFC" w14:textId="77777777" w:rsidR="00332E2E" w:rsidRPr="00F42F80" w:rsidRDefault="00332E2E" w:rsidP="00332E2E">
      <w:pPr>
        <w:pStyle w:val="BodyText"/>
        <w:widowControl w:val="0"/>
        <w:autoSpaceDE w:val="0"/>
        <w:autoSpaceDN w:val="0"/>
        <w:spacing w:after="0"/>
        <w:ind w:right="4" w:firstLine="567"/>
        <w:jc w:val="both"/>
        <w:rPr>
          <w:rFonts w:ascii="Lustria" w:hAnsi="Lustria"/>
          <w:sz w:val="22"/>
          <w:szCs w:val="22"/>
          <w:lang w:val="en-US"/>
        </w:rPr>
      </w:pPr>
      <w:r w:rsidRPr="00F42F80">
        <w:rPr>
          <w:rFonts w:ascii="Lustria" w:hAnsi="Lustria"/>
          <w:sz w:val="22"/>
          <w:szCs w:val="22"/>
          <w:lang w:val="en-US"/>
        </w:rPr>
        <w:t xml:space="preserve">Furthermore, the learning community dynamics will be examined for their impact on attitude toward computer-based statistics. Computer-based statistics is a data analysis tool that is operationalized by the IST platform. Attitude toward computer-based statistics refers to the Technology Acceptance Model (TAM) construct developed by </w:t>
      </w:r>
      <w:r w:rsidRPr="00F42F80">
        <w:rPr>
          <w:rFonts w:ascii="Lustria" w:hAnsi="Lustria"/>
          <w:sz w:val="22"/>
          <w:szCs w:val="22"/>
          <w:lang w:val="en-US"/>
        </w:rPr>
        <w:fldChar w:fldCharType="begin" w:fldLock="1"/>
      </w:r>
      <w:r w:rsidRPr="00F42F80">
        <w:rPr>
          <w:rFonts w:ascii="Lustria" w:hAnsi="Lustria"/>
          <w:sz w:val="22"/>
          <w:szCs w:val="22"/>
          <w:lang w:val="en-US"/>
        </w:rPr>
        <w:instrText>ADDIN CSL_CITATION {"citationItems":[{"id":"ITEM-1","itemData":{"author":[{"dropping-particle":"","family":"Davis","given":"Fred D","non-dropping-particle":"","parse-names":false,"suffix":""}],"container-title":"MIS quarterly","id":"ITEM-1","issued":{"date-parts":[["1989"]]},"page":"319-340","publisher":"JSTOR","title":"Perceived usefulness, perceived ease of use, and user acceptance of information technology","type":"article-journal"},"uris":["http://www.mendeley.com/documents/?uuid=0bed5b19-48dd-4aa5-92d9-a927f19102de"]}],"mendeley":{"formattedCitation":"(Davis, 1989)","manualFormatting":"Davis, (1989)","plainTextFormattedCitation":"(Davis, 1989)","previouslyFormattedCitation":"(Davis, 1989)"},"properties":{"noteIndex":0},"schema":"https://github.com/citation-style-language/schema/raw/master/csl-citation.json"}</w:instrText>
      </w:r>
      <w:r w:rsidRPr="00F42F80">
        <w:rPr>
          <w:rFonts w:ascii="Lustria" w:hAnsi="Lustria"/>
          <w:sz w:val="22"/>
          <w:szCs w:val="22"/>
          <w:lang w:val="en-US"/>
        </w:rPr>
        <w:fldChar w:fldCharType="separate"/>
      </w:r>
      <w:r w:rsidRPr="00F42F80">
        <w:rPr>
          <w:rFonts w:ascii="Lustria" w:hAnsi="Lustria"/>
          <w:noProof/>
          <w:sz w:val="22"/>
          <w:szCs w:val="22"/>
          <w:lang w:val="en-US"/>
        </w:rPr>
        <w:t>Davis, (1989)</w:t>
      </w:r>
      <w:r w:rsidRPr="00F42F80">
        <w:rPr>
          <w:rFonts w:ascii="Lustria" w:hAnsi="Lustria"/>
          <w:sz w:val="22"/>
          <w:szCs w:val="22"/>
          <w:lang w:val="en-US"/>
        </w:rPr>
        <w:fldChar w:fldCharType="end"/>
      </w:r>
      <w:r w:rsidRPr="00F42F80">
        <w:rPr>
          <w:rFonts w:ascii="Lustria" w:hAnsi="Lustria"/>
          <w:sz w:val="22"/>
          <w:szCs w:val="22"/>
          <w:lang w:val="en-US"/>
        </w:rPr>
        <w:t xml:space="preserve"> and </w:t>
      </w:r>
      <w:r w:rsidRPr="00F42F80">
        <w:rPr>
          <w:rFonts w:ascii="Lustria" w:hAnsi="Lustria"/>
          <w:sz w:val="22"/>
          <w:szCs w:val="22"/>
          <w:lang w:val="en-US"/>
        </w:rPr>
        <w:fldChar w:fldCharType="begin" w:fldLock="1"/>
      </w:r>
      <w:r w:rsidRPr="00F42F80">
        <w:rPr>
          <w:rFonts w:ascii="Lustria" w:hAnsi="Lustria"/>
          <w:sz w:val="22"/>
          <w:szCs w:val="22"/>
          <w:lang w:val="en-US"/>
        </w:rPr>
        <w:instrText>ADDIN CSL_CITATION {"citationItems":[{"id":"ITEM-1","itemData":{"author":[{"dropping-particle":"","family":"Davis","given":"Fred D","non-dropping-particle":"","parse-names":false,"suffix":""},{"dropping-particle":"","family":"Bagozzi","given":"Richard P","non-dropping-particle":"","parse-names":false,"suffix":""},{"dropping-particle":"","family":"Warshaw","given":"Paul R","non-dropping-particle":"","parse-names":false,"suffix":""}],"container-title":"Management science","id":"ITEM-1","issue":"8","issued":{"date-parts":[["1989"]]},"page":"982-1003","publisher":"INFORMS","title":"User acceptance of computer technology: a comparison of two theoretical models","type":"article-journal","volume":"35"},"uris":["http://www.mendeley.com/documents/?uuid=da858ac0-315a-4e5f-8291-08cf8fa3104c"]}],"mendeley":{"formattedCitation":"(Davis et al., 1989)","manualFormatting":"Davis et al., (1989)","plainTextFormattedCitation":"(Davis et al., 1989)","previouslyFormattedCitation":"(Davis et al., 1989)"},"properties":{"noteIndex":0},"schema":"https://github.com/citation-style-language/schema/raw/master/csl-citation.json"}</w:instrText>
      </w:r>
      <w:r w:rsidRPr="00F42F80">
        <w:rPr>
          <w:rFonts w:ascii="Lustria" w:hAnsi="Lustria"/>
          <w:sz w:val="22"/>
          <w:szCs w:val="22"/>
          <w:lang w:val="en-US"/>
        </w:rPr>
        <w:fldChar w:fldCharType="separate"/>
      </w:r>
      <w:r w:rsidRPr="00F42F80">
        <w:rPr>
          <w:rFonts w:ascii="Lustria" w:hAnsi="Lustria"/>
          <w:noProof/>
          <w:sz w:val="22"/>
          <w:szCs w:val="22"/>
          <w:lang w:val="en-US"/>
        </w:rPr>
        <w:t>Davis et al., (1989)</w:t>
      </w:r>
      <w:r w:rsidRPr="00F42F80">
        <w:rPr>
          <w:rFonts w:ascii="Lustria" w:hAnsi="Lustria"/>
          <w:sz w:val="22"/>
          <w:szCs w:val="22"/>
          <w:lang w:val="en-US"/>
        </w:rPr>
        <w:fldChar w:fldCharType="end"/>
      </w:r>
      <w:r w:rsidRPr="00F42F80">
        <w:rPr>
          <w:rFonts w:ascii="Lustria" w:hAnsi="Lustria"/>
          <w:sz w:val="22"/>
          <w:szCs w:val="22"/>
          <w:lang w:val="en-US"/>
        </w:rPr>
        <w:t xml:space="preserve"> and extended by </w:t>
      </w:r>
      <w:r w:rsidRPr="00F42F80">
        <w:rPr>
          <w:rFonts w:ascii="Lustria" w:hAnsi="Lustria"/>
          <w:sz w:val="22"/>
          <w:szCs w:val="22"/>
          <w:lang w:val="en-US"/>
        </w:rPr>
        <w:fldChar w:fldCharType="begin" w:fldLock="1"/>
      </w:r>
      <w:r w:rsidRPr="00F42F80">
        <w:rPr>
          <w:rFonts w:ascii="Lustria" w:hAnsi="Lustria"/>
          <w:sz w:val="22"/>
          <w:szCs w:val="22"/>
          <w:lang w:val="en-US"/>
        </w:rPr>
        <w:instrText>ADDIN CSL_CITATION {"citationItems":[{"id":"ITEM-1","itemData":{"author":[{"dropping-particle":"","family":"Venkatesh","given":"Viswanath","non-dropping-particle":"","parse-names":false,"suffix":""},{"dropping-particle":"","family":"Davis","given":"Fred D","non-dropping-particle":"","parse-names":false,"suffix":""}],"container-title":"Management science","id":"ITEM-1","issue":"2","issued":{"date-parts":[["2000"]]},"page":"186-204","publisher":"INFORMS","title":"A theoretical extension of the technology acceptance model: Four longitudinal field studies","type":"article-journal","volume":"46"},"uris":["http://www.mendeley.com/documents/?uuid=d98e68ca-a70b-4fca-9b6e-86bf47b50d5e"]}],"mendeley":{"formattedCitation":"(Venkatesh &amp; Davis, 2000)","manualFormatting":"Venkatesh &amp; Davis, (2000)","plainTextFormattedCitation":"(Venkatesh &amp; Davis, 2000)","previouslyFormattedCitation":"(Venkatesh &amp; Davis, 2000)"},"properties":{"noteIndex":0},"schema":"https://github.com/citation-style-language/schema/raw/master/csl-citation.json"}</w:instrText>
      </w:r>
      <w:r w:rsidRPr="00F42F80">
        <w:rPr>
          <w:rFonts w:ascii="Lustria" w:hAnsi="Lustria"/>
          <w:sz w:val="22"/>
          <w:szCs w:val="22"/>
          <w:lang w:val="en-US"/>
        </w:rPr>
        <w:fldChar w:fldCharType="separate"/>
      </w:r>
      <w:r w:rsidRPr="00F42F80">
        <w:rPr>
          <w:rFonts w:ascii="Lustria" w:hAnsi="Lustria"/>
          <w:noProof/>
          <w:sz w:val="22"/>
          <w:szCs w:val="22"/>
          <w:lang w:val="en-US"/>
        </w:rPr>
        <w:t>Venkatesh &amp; Davis, (2000)</w:t>
      </w:r>
      <w:r w:rsidRPr="00F42F80">
        <w:rPr>
          <w:rFonts w:ascii="Lustria" w:hAnsi="Lustria"/>
          <w:sz w:val="22"/>
          <w:szCs w:val="22"/>
          <w:lang w:val="en-US"/>
        </w:rPr>
        <w:fldChar w:fldCharType="end"/>
      </w:r>
      <w:r w:rsidRPr="00F42F80">
        <w:rPr>
          <w:rFonts w:ascii="Lustria" w:hAnsi="Lustria"/>
          <w:sz w:val="22"/>
          <w:szCs w:val="22"/>
          <w:lang w:val="en-US"/>
        </w:rPr>
        <w:t xml:space="preserve">. The model measures the user's attitude in accepting and using an IST; in this case, the statistics software </w:t>
      </w:r>
      <w:r w:rsidRPr="00F42F80">
        <w:rPr>
          <w:rFonts w:ascii="Lustria" w:hAnsi="Lustria"/>
          <w:sz w:val="22"/>
          <w:szCs w:val="22"/>
          <w:lang w:val="en-US"/>
        </w:rPr>
        <w:fldChar w:fldCharType="begin" w:fldLock="1"/>
      </w:r>
      <w:r w:rsidRPr="00F42F80">
        <w:rPr>
          <w:rFonts w:ascii="Lustria" w:hAnsi="Lustria"/>
          <w:sz w:val="22"/>
          <w:szCs w:val="22"/>
          <w:lang w:val="en-US"/>
        </w:rPr>
        <w:instrText>ADDIN CSL_CITATION {"citationItems":[{"id":"ITEM-1","itemData":{"author":[{"dropping-particle":"","family":"Davis","given":"Fred D","non-dropping-particle":"","parse-names":false,"suffix":""}],"container-title":"MIS quarterly","id":"ITEM-1","issued":{"date-parts":[["1989"]]},"page":"319-340","publisher":"JSTOR","title":"Perceived usefulness, perceived ease of use, and user acceptance of information technology","type":"article-journal"},"uris":["http://www.mendeley.com/documents/?uuid=0bed5b19-48dd-4aa5-92d9-a927f19102de"]},{"id":"ITEM-2","itemData":{"author":[{"dropping-particle":"","family":"Davis","given":"Fred D","non-dropping-particle":"","parse-names":false,"suffix":""},{"dropping-particle":"","family":"Bagozzi","given":"Richard P","non-dropping-particle":"","parse-names":false,"suffix":""},{"dropping-particle":"","family":"Warshaw","given":"Paul R","non-dropping-particle":"","parse-names":false,"suffix":""}],"container-title":"Management science","id":"ITEM-2","issue":"8","issued":{"date-parts":[["1989"]]},"page":"982-1003","publisher":"INFORMS","title":"User acceptance of computer technology: a comparison of two theoretical models","type":"article-journal","volume":"35"},"uris":["http://www.mendeley.com/documents/?uuid=da858ac0-315a-4e5f-8291-08cf8fa3104c"]}],"mendeley":{"formattedCitation":"(Davis, 1989; Davis et al., 1989)","plainTextFormattedCitation":"(Davis, 1989; Davis et al., 1989)","previouslyFormattedCitation":"(Davis, 1989; Davis et al., 1989)"},"properties":{"noteIndex":0},"schema":"https://github.com/citation-style-language/schema/raw/master/csl-citation.json"}</w:instrText>
      </w:r>
      <w:r w:rsidRPr="00F42F80">
        <w:rPr>
          <w:rFonts w:ascii="Lustria" w:hAnsi="Lustria"/>
          <w:sz w:val="22"/>
          <w:szCs w:val="22"/>
          <w:lang w:val="en-US"/>
        </w:rPr>
        <w:fldChar w:fldCharType="separate"/>
      </w:r>
      <w:r w:rsidRPr="00F42F80">
        <w:rPr>
          <w:rFonts w:ascii="Lustria" w:hAnsi="Lustria"/>
          <w:noProof/>
          <w:sz w:val="22"/>
          <w:szCs w:val="22"/>
          <w:lang w:val="en-US"/>
        </w:rPr>
        <w:t>(Davis, 1989; Davis et al., 1989)</w:t>
      </w:r>
      <w:r w:rsidRPr="00F42F80">
        <w:rPr>
          <w:rFonts w:ascii="Lustria" w:hAnsi="Lustria"/>
          <w:sz w:val="22"/>
          <w:szCs w:val="22"/>
          <w:lang w:val="en-US"/>
        </w:rPr>
        <w:fldChar w:fldCharType="end"/>
      </w:r>
      <w:r w:rsidRPr="00F42F80">
        <w:rPr>
          <w:rFonts w:ascii="Lustria" w:hAnsi="Lustria"/>
          <w:sz w:val="22"/>
          <w:szCs w:val="22"/>
          <w:lang w:val="en-US"/>
        </w:rPr>
        <w:t xml:space="preserve">. These dimensions are 1) perceived ease of use, which related to the less effort to operate new applications, for example, the easiness of student to operating statistical software; 2) perceived usefulness, which related to the sensation of the usefulness of applications used to help complete productive tasks, for example, statistical software that helps statistical data analysis tasks; and 3) perceived enjoyment, which related to the design of user interface that can produce convenience in using an IST, such as statistical applications that can be enjoyed and makes data analysis work fun </w:t>
      </w:r>
      <w:r w:rsidRPr="00F42F80">
        <w:rPr>
          <w:rFonts w:ascii="Lustria" w:hAnsi="Lustria"/>
          <w:sz w:val="22"/>
          <w:szCs w:val="22"/>
          <w:lang w:val="en-US"/>
        </w:rPr>
        <w:fldChar w:fldCharType="begin" w:fldLock="1"/>
      </w:r>
      <w:r w:rsidRPr="00F42F80">
        <w:rPr>
          <w:rFonts w:ascii="Lustria" w:hAnsi="Lustria"/>
          <w:sz w:val="22"/>
          <w:szCs w:val="22"/>
          <w:lang w:val="en-US"/>
        </w:rPr>
        <w:instrText>ADDIN CSL_CITATION {"citationItems":[{"id":"ITEM-1","itemData":{"author":[{"dropping-particle":"","family":"Davis","given":"Fred D","non-dropping-particle":"","parse-names":false,"suffix":""}],"container-title":"MIS quarterly","id":"ITEM-1","issued":{"date-parts":[["1989"]]},"page":"319-340","publisher":"JSTOR","title":"Perceived usefulness, perceived ease of use, and user acceptance of information technology","type":"article-journal"},"uris":["http://www.mendeley.com/documents/?uuid=0bed5b19-48dd-4aa5-92d9-a927f19102de"]},{"id":"ITEM-2","itemData":{"author":[{"dropping-particle":"","family":"Davis","given":"Fred D","non-dropping-particle":"","parse-names":false,"suffix":""},{"dropping-particle":"","family":"Bagozzi","given":"Richard P","non-dropping-particle":"","parse-names":false,"suffix":""},{"dropping-particle":"","family":"Warshaw","given":"Paul R","non-dropping-particle":"","parse-names":false,"suffix":""}],"container-title":"Management science","id":"ITEM-2","issue":"8","issued":{"date-parts":[["1989"]]},"page":"982-1003","publisher":"INFORMS","title":"User acceptance of computer technology: a comparison of two theoretical models","type":"article-journal","volume":"35"},"uris":["http://www.mendeley.com/documents/?uuid=da858ac0-315a-4e5f-8291-08cf8fa3104c"]},{"id":"ITEM-3","itemData":{"author":[{"dropping-particle":"","family":"Venkatesh","given":"Viswanath","non-dropping-particle":"","parse-names":false,"suffix":""},{"dropping-particle":"","family":"Davis","given":"Fred D","non-dropping-particle":"","parse-names":false,"suffix":""}],"container-title":"Management science","id":"ITEM-3","issue":"2","issued":{"date-parts":[["2000"]]},"page":"186-204","publisher":"INFORMS","title":"A theoretical extension of the technology acceptance model: Four longitudinal field studies","type":"article-journal","volume":"46"},"uris":["http://www.mendeley.com/documents/?uuid=d98e68ca-a70b-4fca-9b6e-86bf47b50d5e"]}],"mendeley":{"formattedCitation":"(Davis, 1989; Davis et al., 1989; Venkatesh &amp; Davis, 2000)","plainTextFormattedCitation":"(Davis, 1989; Davis et al., 1989; Venkatesh &amp; Davis, 2000)","previouslyFormattedCitation":"(Davis, 1989; Davis et al., 1989; Venkatesh &amp; Davis, 2000)"},"properties":{"noteIndex":0},"schema":"https://github.com/citation-style-language/schema/raw/master/csl-citation.json"}</w:instrText>
      </w:r>
      <w:r w:rsidRPr="00F42F80">
        <w:rPr>
          <w:rFonts w:ascii="Lustria" w:hAnsi="Lustria"/>
          <w:sz w:val="22"/>
          <w:szCs w:val="22"/>
          <w:lang w:val="en-US"/>
        </w:rPr>
        <w:fldChar w:fldCharType="separate"/>
      </w:r>
      <w:r w:rsidRPr="00F42F80">
        <w:rPr>
          <w:rFonts w:ascii="Lustria" w:hAnsi="Lustria"/>
          <w:noProof/>
          <w:sz w:val="22"/>
          <w:szCs w:val="22"/>
          <w:lang w:val="en-US"/>
        </w:rPr>
        <w:t>(Davis, 1989; Davis et al., 1989; Venkatesh &amp; Davis, 2000)</w:t>
      </w:r>
      <w:r w:rsidRPr="00F42F80">
        <w:rPr>
          <w:rFonts w:ascii="Lustria" w:hAnsi="Lustria"/>
          <w:sz w:val="22"/>
          <w:szCs w:val="22"/>
          <w:lang w:val="en-US"/>
        </w:rPr>
        <w:fldChar w:fldCharType="end"/>
      </w:r>
      <w:r w:rsidRPr="00F42F80">
        <w:rPr>
          <w:rFonts w:ascii="Lustria" w:hAnsi="Lustria"/>
          <w:sz w:val="22"/>
          <w:szCs w:val="22"/>
          <w:lang w:val="en-US"/>
        </w:rPr>
        <w:t xml:space="preserve">. Davis (1989) and Davis et al. (1989) developed TAM based on the Theory of Reason Action (TRA) </w:t>
      </w:r>
      <w:r w:rsidRPr="00F42F80">
        <w:rPr>
          <w:rFonts w:ascii="Lustria" w:hAnsi="Lustria"/>
          <w:sz w:val="22"/>
          <w:szCs w:val="22"/>
          <w:lang w:val="en-US"/>
        </w:rPr>
        <w:fldChar w:fldCharType="begin" w:fldLock="1"/>
      </w:r>
      <w:r w:rsidRPr="00F42F80">
        <w:rPr>
          <w:rFonts w:ascii="Lustria" w:hAnsi="Lustria"/>
          <w:sz w:val="22"/>
          <w:szCs w:val="22"/>
          <w:lang w:val="en-US"/>
        </w:rPr>
        <w:instrText>ADDIN CSL_CITATION {"citationItems":[{"id":"ITEM-1","itemData":{"author":[{"dropping-particle":"","family":"Fishbein","given":"Martin","non-dropping-particle":"","parse-names":false,"suffix":""},{"dropping-particle":"","family":"Ajzen","given":"Icek","non-dropping-particle":"","parse-names":false,"suffix":""}],"container-title":"Progress in applied social psychology","id":"ITEM-1","issue":"1","issued":{"date-parts":[["1981"]]},"page":"253-313","publisher":"Wiley London","title":"Attitudes and voting behavior: An application of the theory of reasoned action","type":"article-journal","volume":"1"},"uris":["http://www.mendeley.com/documents/?uuid=e931d53e-e687-47a7-904e-e573a7c93ee7"]},{"id":"ITEM-2","itemData":{"author":[{"dropping-particle":"","family":"Fishbein","given":"Martin","non-dropping-particle":"","parse-names":false,"suffix":""},{"dropping-particle":"","family":"Ajzen","given":"Icek","non-dropping-particle":"","parse-names":false,"suffix":""}],"id":"ITEM-2","issued":{"date-parts":[["1977"]]},"title":"Belief, attitude, intention, and behavior: An introduction to theory and research","type":"article-journal"},"uris":["http://www.mendeley.com/documents/?uuid=0a5c5d55-11ab-4728-bd67-6d58b793360d"]}],"mendeley":{"formattedCitation":"(Fishbein &amp; Ajzen, 1977, 1981)","plainTextFormattedCitation":"(Fishbein &amp; Ajzen, 1977, 1981)","previouslyFormattedCitation":"(Fishbein &amp; Ajzen, 1977, 1981)"},"properties":{"noteIndex":0},"schema":"https://github.com/citation-style-language/schema/raw/master/csl-citation.json"}</w:instrText>
      </w:r>
      <w:r w:rsidRPr="00F42F80">
        <w:rPr>
          <w:rFonts w:ascii="Lustria" w:hAnsi="Lustria"/>
          <w:sz w:val="22"/>
          <w:szCs w:val="22"/>
          <w:lang w:val="en-US"/>
        </w:rPr>
        <w:fldChar w:fldCharType="separate"/>
      </w:r>
      <w:r w:rsidRPr="00F42F80">
        <w:rPr>
          <w:rFonts w:ascii="Lustria" w:hAnsi="Lustria"/>
          <w:noProof/>
          <w:sz w:val="22"/>
          <w:szCs w:val="22"/>
          <w:lang w:val="en-US"/>
        </w:rPr>
        <w:t>(Fishbein &amp; Ajzen, 1977, 1981)</w:t>
      </w:r>
      <w:r w:rsidRPr="00F42F80">
        <w:rPr>
          <w:rFonts w:ascii="Lustria" w:hAnsi="Lustria"/>
          <w:sz w:val="22"/>
          <w:szCs w:val="22"/>
          <w:lang w:val="en-US"/>
        </w:rPr>
        <w:fldChar w:fldCharType="end"/>
      </w:r>
      <w:r w:rsidRPr="00F42F80">
        <w:rPr>
          <w:rFonts w:ascii="Lustria" w:hAnsi="Lustria"/>
          <w:sz w:val="22"/>
          <w:szCs w:val="22"/>
          <w:lang w:val="en-US"/>
        </w:rPr>
        <w:t xml:space="preserve"> and the Theory of Planned Behavior (TPB) </w:t>
      </w:r>
      <w:r w:rsidRPr="00F42F80">
        <w:rPr>
          <w:rFonts w:ascii="Lustria" w:hAnsi="Lustria"/>
          <w:sz w:val="22"/>
          <w:szCs w:val="22"/>
          <w:lang w:val="en-US"/>
        </w:rPr>
        <w:fldChar w:fldCharType="begin" w:fldLock="1"/>
      </w:r>
      <w:r w:rsidRPr="00F42F80">
        <w:rPr>
          <w:rFonts w:ascii="Lustria" w:hAnsi="Lustria"/>
          <w:sz w:val="22"/>
          <w:szCs w:val="22"/>
          <w:lang w:val="en-US"/>
        </w:rPr>
        <w:instrText>ADDIN CSL_CITATION {"citationItems":[{"id":"ITEM-1","itemData":{"author":[{"dropping-particle":"","family":"Ajzen","given":"Icek","non-dropping-particle":"","parse-names":false,"suffix":""},{"dropping-particle":"","family":"others","given":"","non-dropping-particle":"","parse-names":false,"suffix":""}],"container-title":"Organizational behavior and human decision processes","id":"ITEM-1","issue":"2","issued":{"date-parts":[["1991"]]},"page":"179-211","publisher":"San Diego","title":"The theory of planned behavior","type":"article-journal","volume":"50"},"uris":["http://www.mendeley.com/documents/?uuid=05a00fff-14e4-4bb4-a1ee-851bd62f8d4a"]},{"id":"ITEM-2","itemData":{"abstract":"Research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reliability.","author":[{"dropping-particle":"","family":"Ajzen","given":"Icek","non-dropping-particle":"","parse-names":false,"suffix":""}],"container-title":"Organizational Behavior and Human Decision Processes","id":"ITEM-2","issue":"2","issued":{"date-parts":[["1991"]]},"page":"179-211","title":"The Theory of Planned Behavior Organizational Behavior and Human Decision Processes","type":"article-journal","volume":"50"},"uris":["http://www.mendeley.com/documents/?uuid=7ddf983e-9560-4bc9-a09d-e9648f42fc05"]}],"mendeley":{"formattedCitation":"(Ajzen, 1991; Ajzen &amp; others, 1991)","plainTextFormattedCitation":"(Ajzen, 1991; Ajzen &amp; others, 1991)","previouslyFormattedCitation":"(Ajzen, 1991; Ajzen &amp; others, 1991)"},"properties":{"noteIndex":0},"schema":"https://github.com/citation-style-language/schema/raw/master/csl-citation.json"}</w:instrText>
      </w:r>
      <w:r w:rsidRPr="00F42F80">
        <w:rPr>
          <w:rFonts w:ascii="Lustria" w:hAnsi="Lustria"/>
          <w:sz w:val="22"/>
          <w:szCs w:val="22"/>
          <w:lang w:val="en-US"/>
        </w:rPr>
        <w:fldChar w:fldCharType="separate"/>
      </w:r>
      <w:r w:rsidRPr="00F42F80">
        <w:rPr>
          <w:rFonts w:ascii="Lustria" w:hAnsi="Lustria"/>
          <w:noProof/>
          <w:sz w:val="22"/>
          <w:szCs w:val="22"/>
          <w:lang w:val="en-US"/>
        </w:rPr>
        <w:t>(Ajzen, 1991; Ajzen &amp; others, 1991)</w:t>
      </w:r>
      <w:r w:rsidRPr="00F42F80">
        <w:rPr>
          <w:rFonts w:ascii="Lustria" w:hAnsi="Lustria"/>
          <w:sz w:val="22"/>
          <w:szCs w:val="22"/>
          <w:lang w:val="en-US"/>
        </w:rPr>
        <w:fldChar w:fldCharType="end"/>
      </w:r>
      <w:r w:rsidRPr="00F42F80">
        <w:rPr>
          <w:rFonts w:ascii="Lustria" w:hAnsi="Lustria"/>
          <w:sz w:val="22"/>
          <w:szCs w:val="22"/>
          <w:lang w:val="en-US"/>
        </w:rPr>
        <w:t>, which explains that individual actions are born from rational and planned reasons.</w:t>
      </w:r>
    </w:p>
    <w:p w14:paraId="646E01AF" w14:textId="0747BF0C" w:rsidR="00440DD7" w:rsidRPr="00F42F80" w:rsidRDefault="00332E2E" w:rsidP="00332E2E">
      <w:pPr>
        <w:pBdr>
          <w:top w:val="nil"/>
          <w:left w:val="nil"/>
          <w:bottom w:val="nil"/>
          <w:right w:val="nil"/>
          <w:between w:val="nil"/>
        </w:pBdr>
        <w:ind w:firstLine="567"/>
        <w:jc w:val="both"/>
        <w:rPr>
          <w:rFonts w:ascii="Lustria" w:eastAsia="Lustria" w:hAnsi="Lustria" w:cs="Lustria"/>
          <w:i/>
          <w:color w:val="000000"/>
          <w:sz w:val="22"/>
          <w:szCs w:val="22"/>
        </w:rPr>
      </w:pPr>
      <w:r w:rsidRPr="00F42F80">
        <w:rPr>
          <w:rFonts w:ascii="Lustria" w:hAnsi="Lustria"/>
          <w:sz w:val="22"/>
          <w:szCs w:val="22"/>
          <w:lang w:val="en-US"/>
        </w:rPr>
        <w:t xml:space="preserve">In connection with IST's use to analyze data, previous research has revealed that adopting IST in certain jobs can reduce workloads </w:t>
      </w:r>
      <w:r w:rsidRPr="00F42F80">
        <w:rPr>
          <w:rFonts w:ascii="Lustria" w:hAnsi="Lustria"/>
          <w:sz w:val="22"/>
          <w:szCs w:val="22"/>
          <w:lang w:val="en-US"/>
        </w:rPr>
        <w:fldChar w:fldCharType="begin" w:fldLock="1"/>
      </w:r>
      <w:r w:rsidRPr="00F42F80">
        <w:rPr>
          <w:rFonts w:ascii="Lustria" w:hAnsi="Lustria"/>
          <w:sz w:val="22"/>
          <w:szCs w:val="22"/>
          <w:lang w:val="en-US"/>
        </w:rPr>
        <w:instrText>ADDIN CSL_CITATION {"citationItems":[{"id":"ITEM-1","itemData":{"author":[{"dropping-particle":"","family":"Effiyanti","given":"Tri","non-dropping-particle":"","parse-names":false,"suffix":""},{"dropping-particle":"","family":"Sagala","given":"Gaffar Hafiz","non-dropping-particle":"","parse-names":false,"suffix":""}],"container-title":"International Journal of Education Economics and Development","id":"ITEM-1","issue":"2","issued":{"date-parts":[["2018"]]},"page":"134-148","publisher":"Inderscience Publishers (IEL)","title":"Technostress among teachers: a confirmation of its stressors and antecedent","type":"article-journal","volume":"9"},"uris":["http://www.mendeley.com/documents/?uuid=e6c0f063-a99c-4b70-9f43-affef40c1555"]}],"mendeley":{"formattedCitation":"(Effiyanti &amp; Sagala, 2018)","plainTextFormattedCitation":"(Effiyanti &amp; Sagala, 2018)","previouslyFormattedCitation":"(Effiyanti &amp; Sagala, 2018)"},"properties":{"noteIndex":0},"schema":"https://github.com/citation-style-language/schema/raw/master/csl-citation.json"}</w:instrText>
      </w:r>
      <w:r w:rsidRPr="00F42F80">
        <w:rPr>
          <w:rFonts w:ascii="Lustria" w:hAnsi="Lustria"/>
          <w:sz w:val="22"/>
          <w:szCs w:val="22"/>
          <w:lang w:val="en-US"/>
        </w:rPr>
        <w:fldChar w:fldCharType="separate"/>
      </w:r>
      <w:r w:rsidRPr="00F42F80">
        <w:rPr>
          <w:rFonts w:ascii="Lustria" w:hAnsi="Lustria"/>
          <w:noProof/>
          <w:sz w:val="22"/>
          <w:szCs w:val="22"/>
          <w:lang w:val="en-US"/>
        </w:rPr>
        <w:t>(Effiyanti &amp; Sagala, 2018)</w:t>
      </w:r>
      <w:r w:rsidRPr="00F42F80">
        <w:rPr>
          <w:rFonts w:ascii="Lustria" w:hAnsi="Lustria"/>
          <w:sz w:val="22"/>
          <w:szCs w:val="22"/>
          <w:lang w:val="en-US"/>
        </w:rPr>
        <w:fldChar w:fldCharType="end"/>
      </w:r>
      <w:r w:rsidRPr="00F42F80">
        <w:rPr>
          <w:rFonts w:ascii="Lustria" w:hAnsi="Lustria"/>
          <w:sz w:val="22"/>
          <w:szCs w:val="22"/>
          <w:lang w:val="en-US"/>
        </w:rPr>
        <w:t xml:space="preserve">. The pressure from workloads possible to transformed into comfort by utilizing IST </w:t>
      </w:r>
      <w:r w:rsidRPr="00F42F80">
        <w:rPr>
          <w:rFonts w:ascii="Lustria" w:hAnsi="Lustria"/>
          <w:sz w:val="22"/>
          <w:szCs w:val="22"/>
          <w:lang w:val="en-US"/>
        </w:rPr>
        <w:fldChar w:fldCharType="begin" w:fldLock="1"/>
      </w:r>
      <w:r w:rsidRPr="00F42F80">
        <w:rPr>
          <w:rFonts w:ascii="Lustria" w:hAnsi="Lustria"/>
          <w:sz w:val="22"/>
          <w:szCs w:val="22"/>
          <w:lang w:val="en-US"/>
        </w:rPr>
        <w:instrText>ADDIN CSL_CITATION {"citationItems":[{"id":"ITEM-1","itemData":{"author":[{"dropping-particle":"","family":"Sagala","given":"Gaffar Hafiz","non-dropping-particle":"","parse-names":false,"suffix":""},{"dropping-particle":"","family":"Zainal","given":"Andri","non-dropping-particle":"","parse-names":false,"suffix":""},{"dropping-particle":"","family":"Effiyanti","given":"Tri","non-dropping-particle":"","parse-names":false,"suffix":""}],"container-title":"Proceedings of MAC","id":"ITEM-1","issued":{"date-parts":[["2017"]]},"title":"Attitude Toward Computer-Based Statistics Among Pre-Service Teacher Candidates","type":"article-journal","volume":"366"},"uris":["http://www.mendeley.com/documents/?uuid=b9e20ce8-f7cd-40aa-8d0a-289640d23e3d"]}],"mendeley":{"formattedCitation":"(Sagala et al., 2017)","plainTextFormattedCitation":"(Sagala et al., 2017)","previouslyFormattedCitation":"(Sagala et al., 2017)"},"properties":{"noteIndex":0},"schema":"https://github.com/citation-style-language/schema/raw/master/csl-citation.json"}</w:instrText>
      </w:r>
      <w:r w:rsidRPr="00F42F80">
        <w:rPr>
          <w:rFonts w:ascii="Lustria" w:hAnsi="Lustria"/>
          <w:sz w:val="22"/>
          <w:szCs w:val="22"/>
          <w:lang w:val="en-US"/>
        </w:rPr>
        <w:fldChar w:fldCharType="separate"/>
      </w:r>
      <w:r w:rsidRPr="00F42F80">
        <w:rPr>
          <w:rFonts w:ascii="Lustria" w:hAnsi="Lustria"/>
          <w:noProof/>
          <w:sz w:val="22"/>
          <w:szCs w:val="22"/>
          <w:lang w:val="en-US"/>
        </w:rPr>
        <w:t>(Sagala et al., 2017)</w:t>
      </w:r>
      <w:r w:rsidRPr="00F42F80">
        <w:rPr>
          <w:rFonts w:ascii="Lustria" w:hAnsi="Lustria"/>
          <w:sz w:val="22"/>
          <w:szCs w:val="22"/>
          <w:lang w:val="en-US"/>
        </w:rPr>
        <w:fldChar w:fldCharType="end"/>
      </w:r>
      <w:r w:rsidRPr="00F42F80">
        <w:rPr>
          <w:rFonts w:ascii="Lustria" w:hAnsi="Lustria"/>
          <w:sz w:val="22"/>
          <w:szCs w:val="22"/>
          <w:lang w:val="en-US"/>
        </w:rPr>
        <w:t xml:space="preserve">. Other studies also reveal that user attitudes towards IST can affect job satisfaction and impact sustainability using </w:t>
      </w:r>
      <w:r w:rsidRPr="00F42F80">
        <w:rPr>
          <w:rFonts w:ascii="Lustria" w:hAnsi="Lustria"/>
          <w:sz w:val="22"/>
          <w:szCs w:val="22"/>
          <w:lang w:val="en-US"/>
        </w:rPr>
        <w:t xml:space="preserve">IST </w:t>
      </w:r>
      <w:r w:rsidRPr="00F42F80">
        <w:rPr>
          <w:rFonts w:ascii="Lustria" w:hAnsi="Lustria"/>
          <w:sz w:val="22"/>
          <w:szCs w:val="22"/>
          <w:lang w:val="en-US"/>
        </w:rPr>
        <w:fldChar w:fldCharType="begin" w:fldLock="1"/>
      </w:r>
      <w:r w:rsidRPr="00F42F80">
        <w:rPr>
          <w:rFonts w:ascii="Lustria" w:hAnsi="Lustria"/>
          <w:sz w:val="22"/>
          <w:szCs w:val="22"/>
          <w:lang w:val="en-US"/>
        </w:rPr>
        <w:instrText>ADDIN CSL_CITATION {"citationItems":[{"id":"ITEM-1","itemData":{"author":[{"dropping-particle":"","family":"Wu","given":"Jiming","non-dropping-particle":"","parse-names":false,"suffix":""},{"dropping-particle":"","family":"Lu","given":"Xinjian","non-dropping-particle":"","parse-names":false,"suffix":""}],"container-title":"Journal of the Association for Information Systems","id":"ITEM-1","issue":"3","issued":{"date-parts":[["2013"]]},"page":"1","title":"Effects of extrinsic and intrinsic motivators on using utilitarian, hedonic, and dual-purposed information systems: A meta-analysis","type":"article-journal","volume":"14"},"uris":["http://www.mendeley.com/documents/?uuid=a8fe5d11-b049-46f7-b2a7-f2747bf5f2ba"]},{"id":"ITEM-2","itemData":{"author":[{"dropping-particle":"","family":"Sagala","given":"Gaffar Hafiz","non-dropping-particle":"","parse-names":false,"suffix":""},{"dropping-particle":"","family":"Sumiyana","given":"","non-dropping-particle":"","parse-names":false,"suffix":""}],"container-title":"International Journal of Business Information Systems","id":"ITEM-2","issue":"4","issued":{"date-parts":[["2020"]]},"page":"505-530","publisher":"Inderscience Publishers (IEL)","title":"The intersection of hedonic and utilitarian values on integrated-social media retailers","type":"article-journal","volume":"33"},"uris":["http://www.mendeley.com/documents/?uuid=236815aa-2b79-4638-bedc-9e91f9ebe485"]},{"id":"ITEM-3","itemData":{"author":[{"dropping-particle":"","family":"Sagala","given":"Gaffar Hafiz","non-dropping-particle":"","parse-names":false,"suffix":""},{"dropping-particle":"","family":"Zainal","given":"Andri","non-dropping-particle":"","parse-names":false,"suffix":""},{"dropping-particle":"","family":"Effiyanti","given":"Tri","non-dropping-particle":"","parse-names":false,"suffix":""}],"container-title":"Proceedings of MAC","id":"ITEM-3","issued":{"date-parts":[["2017"]]},"title":"Attitude Toward Computer-Based Statistics Among Pre-Service Teacher Candidates","type":"article-journal","volume":"366"},"uris":["http://www.mendeley.com/documents/?uuid=b9e20ce8-f7cd-40aa-8d0a-289640d23e3d"]},{"id":"ITEM-4","itemData":{"DOI":"10.1016/j.jaccedu.2016.01.001","ISSN":"07485751","abstract":"This paper presents an instructional resource for an integrated financial statement analysis project. The project requires a quantitative analysis of a company's financial statements and a written research report. The project is designed to develop students' critical thinking and analytical capabilities through the application of course concepts to a real company, while also providing opportunities to develop professional competencies. Following Anson's Instructional Design Model (2007), the integrated project includes supporting activities, which are designed to aid students in achieving the project's learning goals. The supporting activities include in-class instruction on financial ratios, a computer lab session on Excel, draft papers, peer reviews of writing, and paper revisions. The integrated project also serves as an example of an assignment that is consistent with two recent education frameworks, the Integrated Competency-Based Framework (Lawson et al., 2014) and the AICPA Core Competency Framework (2015), which both advocate for increased integration of professional competencies within the accounting curriculum. Our instructional resource provides project instructions, supporting activities, as well as implementation guidance and a grading rubric. The paper discusses adaptations to tailor the project to various courses and audiences. The resources in this article are useful for instructors implementing a financial statement analysis project into accounting, finance, financial statement analysis and investment courses targeted at either the undergraduate or graduate levels.","author":[{"dropping-particle":"","family":"Grimm","given":"Stephanie Dehning","non-dropping-particle":"","parse-names":false,"suffix":""},{"dropping-particle":"","family":"Blazovich","given":"Janell L.","non-dropping-particle":"","parse-names":false,"suffix":""}],"container-title":"Journal of Accounting Education","id":"ITEM-4","issued":{"date-parts":[["2016"]]},"page":"69-101","publisher":"Elsevier Ltd","title":"Developing student competencies: An integrated approach to a financial statement analysis project","type":"article-journal","volume":"35"},"uris":["http://www.mendeley.com/documents/?uuid=43848713-f596-44b3-9f3f-f31a14f263ba"]},{"id":"ITEM-5","itemData":{"author":[{"dropping-particle":"","family":"Wang","given":"Zhihuan","non-dropping-particle":"","parse-names":false,"suffix":""},{"dropping-particle":"","family":"Scheepers","given":"Helana","non-dropping-particle":"","parse-names":false,"suffix":""}],"container-title":"Communications of the Association for Information Systems","id":"ITEM-5","issue":"1","issued":{"date-parts":[["2012"]]},"page":"17","title":"Understanding the intrinsic motivations of user acceptance of hedonic information systems: towards a unified research model","type":"article-journal","volume":"30"},"uris":["http://www.mendeley.com/documents/?uuid=97dd2786-2ced-4a1c-bbc8-93c70b1ad3ad"]}],"mendeley":{"formattedCitation":"(Grimm &amp; Blazovich, 2016; Sagala et al., 2017; Sagala &amp; Sumiyana, 2020; Wang &amp; Scheepers, 2012; Wu &amp; Lu, 2013)","plainTextFormattedCitation":"(Grimm &amp; Blazovich, 2016; Sagala et al., 2017; Sagala &amp; Sumiyana, 2020; Wang &amp; Scheepers, 2012; Wu &amp; Lu, 2013)","previouslyFormattedCitation":"(Grimm &amp; Blazovich, 2016; Sagala et al., 2017; Sagala &amp; Sumiyana, 2020; Wang &amp; Scheepers, 2012; Wu &amp; Lu, 2013)"},"properties":{"noteIndex":0},"schema":"https://github.com/citation-style-language/schema/raw/master/csl-citation.json"}</w:instrText>
      </w:r>
      <w:r w:rsidRPr="00F42F80">
        <w:rPr>
          <w:rFonts w:ascii="Lustria" w:hAnsi="Lustria"/>
          <w:sz w:val="22"/>
          <w:szCs w:val="22"/>
          <w:lang w:val="en-US"/>
        </w:rPr>
        <w:fldChar w:fldCharType="separate"/>
      </w:r>
      <w:r w:rsidRPr="00F42F80">
        <w:rPr>
          <w:rFonts w:ascii="Lustria" w:hAnsi="Lustria"/>
          <w:noProof/>
          <w:sz w:val="22"/>
          <w:szCs w:val="22"/>
          <w:lang w:val="en-US"/>
        </w:rPr>
        <w:t>(Grimm &amp; Blazovich, 2016; Sagala et al., 2017; Sagala &amp; Sumiyana, 2020; Wang &amp; Scheepers, 2012; Wu &amp; Lu, 2013)</w:t>
      </w:r>
      <w:r w:rsidRPr="00F42F80">
        <w:rPr>
          <w:rFonts w:ascii="Lustria" w:hAnsi="Lustria"/>
          <w:sz w:val="22"/>
          <w:szCs w:val="22"/>
          <w:lang w:val="en-US"/>
        </w:rPr>
        <w:fldChar w:fldCharType="end"/>
      </w:r>
      <w:r w:rsidRPr="00F42F80">
        <w:rPr>
          <w:rFonts w:ascii="Lustria" w:hAnsi="Lustria"/>
          <w:sz w:val="22"/>
          <w:szCs w:val="22"/>
          <w:lang w:val="en-US"/>
        </w:rPr>
        <w:t>. In this research, the learning community is thought to influence attitude toward computer-based statistics, which will make students take the initiative to adopt data analysis software to help complete their assignments. Furthermore, the acceptance of the statistical software will encourage him to use the application again when he is faced with similar tasks in his professional career in the future. Thus, when faced with quantitative data analysis tasks in their job or business, they will easily face it by maximizing the use of statistical data analysis software. This will certainly increase the competitive advantage for individuals professionally.</w:t>
      </w:r>
    </w:p>
    <w:p w14:paraId="6B438D09" w14:textId="77777777" w:rsidR="00440DD7" w:rsidRPr="00F42F80" w:rsidRDefault="00E74908">
      <w:pPr>
        <w:pBdr>
          <w:top w:val="nil"/>
          <w:left w:val="nil"/>
          <w:bottom w:val="nil"/>
          <w:right w:val="nil"/>
          <w:between w:val="nil"/>
        </w:pBdr>
        <w:tabs>
          <w:tab w:val="left" w:pos="426"/>
        </w:tabs>
        <w:spacing w:before="240"/>
        <w:rPr>
          <w:rFonts w:ascii="Lustria" w:eastAsia="Lustria" w:hAnsi="Lustria" w:cs="Lustria"/>
          <w:b/>
          <w:smallCaps/>
          <w:color w:val="000000"/>
          <w:sz w:val="24"/>
          <w:szCs w:val="24"/>
        </w:rPr>
      </w:pPr>
      <w:r w:rsidRPr="00F42F80">
        <w:rPr>
          <w:rFonts w:ascii="Lustria" w:eastAsia="Lustria" w:hAnsi="Lustria" w:cs="Lustria"/>
          <w:b/>
          <w:smallCaps/>
          <w:color w:val="000000"/>
          <w:sz w:val="24"/>
          <w:szCs w:val="24"/>
        </w:rPr>
        <w:t>METHODS</w:t>
      </w:r>
      <w:r w:rsidRPr="00F42F80">
        <w:rPr>
          <w:rFonts w:ascii="Lustria" w:eastAsia="Lustria" w:hAnsi="Lustria" w:cs="Lustria"/>
          <w:b/>
          <w:i/>
          <w:color w:val="00B0F0"/>
        </w:rPr>
        <w:t>(Shortcut: Alt+Ctrl+B)</w:t>
      </w:r>
    </w:p>
    <w:p w14:paraId="198672C8" w14:textId="77777777" w:rsidR="00440DD7" w:rsidRPr="00F42F80" w:rsidRDefault="00440DD7">
      <w:pPr>
        <w:pBdr>
          <w:top w:val="nil"/>
          <w:left w:val="nil"/>
          <w:bottom w:val="nil"/>
          <w:right w:val="nil"/>
          <w:between w:val="nil"/>
        </w:pBdr>
        <w:spacing w:line="276" w:lineRule="auto"/>
        <w:jc w:val="both"/>
        <w:rPr>
          <w:rFonts w:ascii="Lustria" w:eastAsia="Lustria" w:hAnsi="Lustria" w:cs="Lustria"/>
          <w:b/>
          <w:color w:val="000000"/>
          <w:sz w:val="22"/>
          <w:szCs w:val="22"/>
        </w:rPr>
      </w:pPr>
    </w:p>
    <w:p w14:paraId="3C2EB6A6" w14:textId="77777777" w:rsidR="00332E2E" w:rsidRPr="00F42F80" w:rsidRDefault="00332E2E" w:rsidP="00332E2E">
      <w:pPr>
        <w:pStyle w:val="BodyText"/>
        <w:widowControl w:val="0"/>
        <w:autoSpaceDE w:val="0"/>
        <w:autoSpaceDN w:val="0"/>
        <w:spacing w:after="0"/>
        <w:ind w:right="4" w:firstLine="567"/>
        <w:jc w:val="both"/>
        <w:rPr>
          <w:rFonts w:ascii="Lustria" w:eastAsiaTheme="minorHAnsi" w:hAnsi="Lustria"/>
          <w:sz w:val="22"/>
          <w:szCs w:val="22"/>
          <w:lang w:val="en-US" w:eastAsia="en-US"/>
        </w:rPr>
      </w:pPr>
      <w:r w:rsidRPr="00F42F80">
        <w:rPr>
          <w:rFonts w:ascii="Lustria" w:eastAsiaTheme="minorHAnsi" w:hAnsi="Lustria"/>
          <w:sz w:val="22"/>
          <w:szCs w:val="22"/>
          <w:lang w:val="en-US" w:eastAsia="en-US"/>
        </w:rPr>
        <w:t>This study's subjects were all students at the Faculty of Economics, Medan State University, who were members of the learning community within the Unimed Faculty of Economics. Samples were taken by simple random sampling technique. The sampling technique was chosen to avoid response bias due to differences in respondents' characteristics, both gender, majors, and semester levels. The unit of analysis in this research is the individual so that the representation of the results will refer to individual perceptions.</w:t>
      </w:r>
    </w:p>
    <w:p w14:paraId="6721DA3D" w14:textId="77777777" w:rsidR="00332E2E" w:rsidRPr="00F42F80" w:rsidRDefault="00332E2E" w:rsidP="00475D06">
      <w:pPr>
        <w:pStyle w:val="BodyText"/>
        <w:widowControl w:val="0"/>
        <w:autoSpaceDE w:val="0"/>
        <w:autoSpaceDN w:val="0"/>
        <w:spacing w:after="0"/>
        <w:ind w:right="4" w:firstLine="567"/>
        <w:jc w:val="both"/>
        <w:rPr>
          <w:rFonts w:ascii="Lustria" w:eastAsiaTheme="minorHAnsi" w:hAnsi="Lustria"/>
          <w:sz w:val="22"/>
          <w:szCs w:val="22"/>
          <w:lang w:val="en-US" w:eastAsia="en-US"/>
        </w:rPr>
      </w:pPr>
      <w:r w:rsidRPr="00F42F80">
        <w:rPr>
          <w:rFonts w:ascii="Lustria" w:eastAsiaTheme="minorHAnsi" w:hAnsi="Lustria"/>
          <w:sz w:val="22"/>
          <w:szCs w:val="22"/>
          <w:lang w:val="en-US" w:eastAsia="en-US"/>
        </w:rPr>
        <w:t xml:space="preserve">Data for all variables in this study were collected using a questionnaire with survey methods. The survey is a measurement process used to gather information in a well-structured interview, with or without the interviewer </w:t>
      </w:r>
      <w:r w:rsidRPr="00F42F80">
        <w:rPr>
          <w:rFonts w:ascii="Lustria" w:eastAsiaTheme="minorHAnsi" w:hAnsi="Lustria"/>
          <w:sz w:val="22"/>
          <w:szCs w:val="22"/>
          <w:lang w:val="en-US" w:eastAsia="en-US"/>
        </w:rPr>
        <w:fldChar w:fldCharType="begin" w:fldLock="1"/>
      </w:r>
      <w:r w:rsidRPr="00F42F80">
        <w:rPr>
          <w:rFonts w:ascii="Lustria" w:eastAsiaTheme="minorHAnsi" w:hAnsi="Lustria"/>
          <w:sz w:val="22"/>
          <w:szCs w:val="22"/>
          <w:lang w:val="en-US" w:eastAsia="en-US"/>
        </w:rPr>
        <w:instrText>ADDIN CSL_CITATION {"citationItems":[{"id":"ITEM-1","itemData":{"author":[{"dropping-particle":"","family":"Cooper","given":"D.R.","non-dropping-particle":"","parse-names":false,"suffix":""},{"dropping-particle":"","family":"Schindler","given":"P.S.","non-dropping-particle":"","parse-names":false,"suffix":""},{"dropping-particle":"","family":"Sun","given":"J.","non-dropping-particle":"","parse-names":false,"suffix":""}],"id":"ITEM-1","issued":{"date-parts":[["2006"]]},"publisher":"McGraw-Hill","publisher-place":"New York","title":"Business Research Method","type":"book"},"uris":["http://www.mendeley.com/documents/?uuid=37810f2d-0d2f-44ae-be01-a678c51e1879"]}],"mendeley":{"formattedCitation":"(Cooper et al., 2006)","plainTextFormattedCitation":"(Cooper et al., 2006)","previouslyFormattedCitation":"(Cooper et al., 2006)"},"properties":{"noteIndex":0},"schema":"https://github.com/citation-style-language/schema/raw/master/csl-citation.json"}</w:instrText>
      </w:r>
      <w:r w:rsidRPr="00F42F80">
        <w:rPr>
          <w:rFonts w:ascii="Lustria" w:eastAsiaTheme="minorHAnsi" w:hAnsi="Lustria"/>
          <w:sz w:val="22"/>
          <w:szCs w:val="22"/>
          <w:lang w:val="en-US" w:eastAsia="en-US"/>
        </w:rPr>
        <w:fldChar w:fldCharType="separate"/>
      </w:r>
      <w:r w:rsidRPr="00F42F80">
        <w:rPr>
          <w:rFonts w:ascii="Lustria" w:eastAsiaTheme="minorHAnsi" w:hAnsi="Lustria"/>
          <w:noProof/>
          <w:sz w:val="22"/>
          <w:szCs w:val="22"/>
          <w:lang w:val="en-US" w:eastAsia="en-US"/>
        </w:rPr>
        <w:t>(Cooper et al., 2006)</w:t>
      </w:r>
      <w:r w:rsidRPr="00F42F80">
        <w:rPr>
          <w:rFonts w:ascii="Lustria" w:eastAsiaTheme="minorHAnsi" w:hAnsi="Lustria"/>
          <w:sz w:val="22"/>
          <w:szCs w:val="22"/>
          <w:lang w:val="en-US" w:eastAsia="en-US"/>
        </w:rPr>
        <w:fldChar w:fldCharType="end"/>
      </w:r>
      <w:r w:rsidRPr="00F42F80">
        <w:rPr>
          <w:rFonts w:ascii="Lustria" w:eastAsiaTheme="minorHAnsi" w:hAnsi="Lustria"/>
          <w:sz w:val="22"/>
          <w:szCs w:val="22"/>
          <w:lang w:val="en-US" w:eastAsia="en-US"/>
        </w:rPr>
        <w:t xml:space="preserve">. We used an electronic questionnaire and distributed it with snowball techniques. The technique was chosen to ensure random sampling and guarantee the independence of respondents to avoid response bias. Respondents were voluntarily deciding whether or not to become respondents. The instrument in this study was designed with a 5-Likert scale. The instrument was adapted from the research of </w:t>
      </w:r>
      <w:r w:rsidRPr="00F42F80">
        <w:rPr>
          <w:rFonts w:ascii="Lustria" w:eastAsiaTheme="minorHAnsi" w:hAnsi="Lustria"/>
          <w:sz w:val="22"/>
          <w:szCs w:val="22"/>
          <w:lang w:val="en-US" w:eastAsia="en-US"/>
        </w:rPr>
        <w:lastRenderedPageBreak/>
        <w:fldChar w:fldCharType="begin" w:fldLock="1"/>
      </w:r>
      <w:r w:rsidRPr="00F42F80">
        <w:rPr>
          <w:rFonts w:ascii="Lustria" w:eastAsiaTheme="minorHAnsi" w:hAnsi="Lustria"/>
          <w:sz w:val="22"/>
          <w:szCs w:val="22"/>
          <w:lang w:val="en-US" w:eastAsia="en-US"/>
        </w:rPr>
        <w:instrText>ADDIN CSL_CITATION {"citationItems":[{"id":"ITEM-1","itemData":{"author":[{"dropping-particle":"","family":"Wang","given":"Zhihuan","non-dropping-particle":"","parse-names":false,"suffix":""},{"dropping-particle":"","family":"Scheepers","given":"Helana","non-dropping-particle":"","parse-names":false,"suffix":""}],"container-title":"Communications of the Association for Information Systems","id":"ITEM-1","issue":"1","issued":{"date-parts":[["2012"]]},"page":"17","title":"Understanding the intrinsic motivations of user acceptance of hedonic information systems: towards a unified research model","type":"article-journal","volume":"30"},"uris":["http://www.mendeley.com/documents/?uuid=97dd2786-2ced-4a1c-bbc8-93c70b1ad3ad"]}],"mendeley":{"formattedCitation":"(Wang &amp; Scheepers, 2012)","manualFormatting":"Wang &amp; Scheepers (2012)","plainTextFormattedCitation":"(Wang &amp; Scheepers, 2012)","previouslyFormattedCitation":"(Wang &amp; Scheepers, 2012)"},"properties":{"noteIndex":0},"schema":"https://github.com/citation-style-language/schema/raw/master/csl-citation.json"}</w:instrText>
      </w:r>
      <w:r w:rsidRPr="00F42F80">
        <w:rPr>
          <w:rFonts w:ascii="Lustria" w:eastAsiaTheme="minorHAnsi" w:hAnsi="Lustria"/>
          <w:sz w:val="22"/>
          <w:szCs w:val="22"/>
          <w:lang w:val="en-US" w:eastAsia="en-US"/>
        </w:rPr>
        <w:fldChar w:fldCharType="separate"/>
      </w:r>
      <w:r w:rsidRPr="00F42F80">
        <w:rPr>
          <w:rFonts w:ascii="Lustria" w:eastAsiaTheme="minorHAnsi" w:hAnsi="Lustria"/>
          <w:noProof/>
          <w:sz w:val="22"/>
          <w:szCs w:val="22"/>
          <w:lang w:val="en-US" w:eastAsia="en-US"/>
        </w:rPr>
        <w:t>Wang &amp; Scheepers (2012)</w:t>
      </w:r>
      <w:r w:rsidRPr="00F42F80">
        <w:rPr>
          <w:rFonts w:ascii="Lustria" w:eastAsiaTheme="minorHAnsi" w:hAnsi="Lustria"/>
          <w:sz w:val="22"/>
          <w:szCs w:val="22"/>
          <w:lang w:val="en-US" w:eastAsia="en-US"/>
        </w:rPr>
        <w:fldChar w:fldCharType="end"/>
      </w:r>
      <w:r w:rsidRPr="00F42F80">
        <w:rPr>
          <w:rFonts w:ascii="Lustria" w:eastAsiaTheme="minorHAnsi" w:hAnsi="Lustria"/>
          <w:sz w:val="22"/>
          <w:szCs w:val="22"/>
          <w:lang w:val="en-US" w:eastAsia="en-US"/>
        </w:rPr>
        <w:t xml:space="preserve">, </w:t>
      </w:r>
      <w:r w:rsidRPr="00F42F80">
        <w:rPr>
          <w:rFonts w:ascii="Lustria" w:eastAsiaTheme="minorHAnsi" w:hAnsi="Lustria"/>
          <w:sz w:val="22"/>
          <w:szCs w:val="22"/>
          <w:lang w:val="en-US" w:eastAsia="en-US"/>
        </w:rPr>
        <w:fldChar w:fldCharType="begin" w:fldLock="1"/>
      </w:r>
      <w:r w:rsidRPr="00F42F80">
        <w:rPr>
          <w:rFonts w:ascii="Lustria" w:eastAsiaTheme="minorHAnsi" w:hAnsi="Lustria"/>
          <w:sz w:val="22"/>
          <w:szCs w:val="22"/>
          <w:lang w:val="en-US" w:eastAsia="en-US"/>
        </w:rPr>
        <w:instrText>ADDIN CSL_CITATION {"citationItems":[{"id":"ITEM-1","itemData":{"author":[{"dropping-particle":"","family":"Nguyen","given":"ThuyUyen H","non-dropping-particle":"","parse-names":false,"suffix":""},{"dropping-particle":"","family":"Charity","given":"Ian","non-dropping-particle":"","parse-names":false,"suffix":""},{"dropping-particle":"","family":"Robson","given":"Andrew","non-dropping-particle":"","parse-names":false,"suffix":""}],"container-title":"Studies in Higher Education","id":"ITEM-1","issue":"4","issued":{"date-parts":[["2016"]]},"page":"734-755","publisher":"Taylor &amp; Francis","title":"Students' perceptions of computer-based learning environments, their attitude towards business statistics, and their academic achievement: implications from a UK university","type":"article-journal","volume":"41"},"uris":["http://www.mendeley.com/documents/?uuid=c7ebb98c-7b7b-49b8-8159-0a28f1576373"]}],"mendeley":{"formattedCitation":"(Nguyen et al., 2016)","manualFormatting":"Nguyen et al. (2016)","plainTextFormattedCitation":"(Nguyen et al., 2016)","previouslyFormattedCitation":"(Nguyen et al., 2016)"},"properties":{"noteIndex":0},"schema":"https://github.com/citation-style-language/schema/raw/master/csl-citation.json"}</w:instrText>
      </w:r>
      <w:r w:rsidRPr="00F42F80">
        <w:rPr>
          <w:rFonts w:ascii="Lustria" w:eastAsiaTheme="minorHAnsi" w:hAnsi="Lustria"/>
          <w:sz w:val="22"/>
          <w:szCs w:val="22"/>
          <w:lang w:val="en-US" w:eastAsia="en-US"/>
        </w:rPr>
        <w:fldChar w:fldCharType="separate"/>
      </w:r>
      <w:r w:rsidRPr="00F42F80">
        <w:rPr>
          <w:rFonts w:ascii="Lustria" w:eastAsiaTheme="minorHAnsi" w:hAnsi="Lustria"/>
          <w:noProof/>
          <w:sz w:val="22"/>
          <w:szCs w:val="22"/>
          <w:lang w:val="en-US" w:eastAsia="en-US"/>
        </w:rPr>
        <w:t>Nguyen et al. (2016)</w:t>
      </w:r>
      <w:r w:rsidRPr="00F42F80">
        <w:rPr>
          <w:rFonts w:ascii="Lustria" w:eastAsiaTheme="minorHAnsi" w:hAnsi="Lustria"/>
          <w:sz w:val="22"/>
          <w:szCs w:val="22"/>
          <w:lang w:val="en-US" w:eastAsia="en-US"/>
        </w:rPr>
        <w:fldChar w:fldCharType="end"/>
      </w:r>
      <w:r w:rsidRPr="00F42F80">
        <w:rPr>
          <w:rFonts w:ascii="Lustria" w:eastAsiaTheme="minorHAnsi" w:hAnsi="Lustria"/>
          <w:sz w:val="22"/>
          <w:szCs w:val="22"/>
          <w:lang w:val="en-US" w:eastAsia="en-US"/>
        </w:rPr>
        <w:t xml:space="preserve">, and </w:t>
      </w:r>
      <w:r w:rsidRPr="00F42F80">
        <w:rPr>
          <w:rFonts w:ascii="Lustria" w:eastAsiaTheme="minorHAnsi" w:hAnsi="Lustria"/>
          <w:sz w:val="22"/>
          <w:szCs w:val="22"/>
          <w:lang w:val="en-US" w:eastAsia="en-US"/>
        </w:rPr>
        <w:fldChar w:fldCharType="begin" w:fldLock="1"/>
      </w:r>
      <w:r w:rsidRPr="00F42F80">
        <w:rPr>
          <w:rFonts w:ascii="Lustria" w:eastAsiaTheme="minorHAnsi" w:hAnsi="Lustria"/>
          <w:sz w:val="22"/>
          <w:szCs w:val="22"/>
          <w:lang w:val="en-US" w:eastAsia="en-US"/>
        </w:rPr>
        <w:instrText>ADDIN CSL_CITATION {"citationItems":[{"id":"ITEM-1","itemData":{"author":[{"dropping-particle":"","family":"Venkatesh","given":"Viswanath","non-dropping-particle":"","parse-names":false,"suffix":""},{"dropping-particle":"","family":"Davis","given":"Fred D","non-dropping-particle":"","parse-names":false,"suffix":""}],"container-title":"Management science","id":"ITEM-1","issue":"2","issued":{"date-parts":[["2000"]]},"page":"186-204","publisher":"INFORMS","title":"A theoretical extension of the technology acceptance model: Four longitudinal field studies","type":"article-journal","volume":"46"},"uris":["http://www.mendeley.com/documents/?uuid=d98e68ca-a70b-4fca-9b6e-86bf47b50d5e"]}],"mendeley":{"formattedCitation":"(Venkatesh &amp; Davis, 2000)","manualFormatting":"Venkatesh &amp; Davis (2000)","plainTextFormattedCitation":"(Venkatesh &amp; Davis, 2000)","previouslyFormattedCitation":"(Venkatesh &amp; Davis, 2000)"},"properties":{"noteIndex":0},"schema":"https://github.com/citation-style-language/schema/raw/master/csl-citation.json"}</w:instrText>
      </w:r>
      <w:r w:rsidRPr="00F42F80">
        <w:rPr>
          <w:rFonts w:ascii="Lustria" w:eastAsiaTheme="minorHAnsi" w:hAnsi="Lustria"/>
          <w:sz w:val="22"/>
          <w:szCs w:val="22"/>
          <w:lang w:val="en-US" w:eastAsia="en-US"/>
        </w:rPr>
        <w:fldChar w:fldCharType="separate"/>
      </w:r>
      <w:r w:rsidRPr="00F42F80">
        <w:rPr>
          <w:rFonts w:ascii="Lustria" w:eastAsiaTheme="minorHAnsi" w:hAnsi="Lustria"/>
          <w:noProof/>
          <w:sz w:val="22"/>
          <w:szCs w:val="22"/>
          <w:lang w:val="en-US" w:eastAsia="en-US"/>
        </w:rPr>
        <w:t>Venkatesh &amp; Davis (2000)</w:t>
      </w:r>
      <w:r w:rsidRPr="00F42F80">
        <w:rPr>
          <w:rFonts w:ascii="Lustria" w:eastAsiaTheme="minorHAnsi" w:hAnsi="Lustria"/>
          <w:sz w:val="22"/>
          <w:szCs w:val="22"/>
          <w:lang w:val="en-US" w:eastAsia="en-US"/>
        </w:rPr>
        <w:fldChar w:fldCharType="end"/>
      </w:r>
      <w:r w:rsidRPr="00F42F80">
        <w:rPr>
          <w:rFonts w:ascii="Lustria" w:eastAsiaTheme="minorHAnsi" w:hAnsi="Lustria"/>
          <w:sz w:val="22"/>
          <w:szCs w:val="22"/>
          <w:lang w:val="en-US" w:eastAsia="en-US"/>
        </w:rPr>
        <w:t xml:space="preserve">. The instrument adapted from Nguyen et al. (2016) is for student cohesiveness, learning integration, and task orientation variables. Wang and Scheepers (2012) for the intention to reuse variables and perceived comfort. The instrument's perceived usefulness,  ease of use, and enjoyment were adapted from Venkatesh and Davis (2000). </w:t>
      </w:r>
    </w:p>
    <w:p w14:paraId="55EE1455" w14:textId="18BE517F" w:rsidR="00440DD7" w:rsidRPr="00F42F80" w:rsidRDefault="00332E2E" w:rsidP="00475D06">
      <w:pPr>
        <w:pBdr>
          <w:top w:val="nil"/>
          <w:left w:val="nil"/>
          <w:bottom w:val="nil"/>
          <w:right w:val="nil"/>
          <w:between w:val="nil"/>
        </w:pBdr>
        <w:ind w:firstLine="567"/>
        <w:jc w:val="both"/>
        <w:rPr>
          <w:rFonts w:ascii="Lustria" w:eastAsia="Lustria" w:hAnsi="Lustria" w:cs="Lustria"/>
          <w:i/>
          <w:color w:val="00B0F0"/>
          <w:sz w:val="22"/>
          <w:szCs w:val="22"/>
        </w:rPr>
      </w:pPr>
      <w:r w:rsidRPr="00F42F80">
        <w:rPr>
          <w:rFonts w:ascii="Lustria" w:eastAsiaTheme="minorHAnsi" w:hAnsi="Lustria"/>
          <w:sz w:val="22"/>
          <w:szCs w:val="22"/>
          <w:lang w:val="en-US" w:eastAsia="en-US"/>
        </w:rPr>
        <w:t>The researchers have then tested the construct validity of the collected data. Construct validity is carried out in three stages, namely convergent validity, discriminant validity, and reliability. After obtaining a valid construct, a Structural Equational Modeling (SEM) test was performed to test the research model. Data analysis was performed using software named SmartPLS 3.0.</w:t>
      </w:r>
    </w:p>
    <w:p w14:paraId="298EEB21" w14:textId="77777777" w:rsidR="00440DD7" w:rsidRPr="00F42F80" w:rsidRDefault="00440DD7">
      <w:pPr>
        <w:pBdr>
          <w:top w:val="nil"/>
          <w:left w:val="nil"/>
          <w:bottom w:val="nil"/>
          <w:right w:val="nil"/>
          <w:between w:val="nil"/>
        </w:pBdr>
        <w:spacing w:line="276" w:lineRule="auto"/>
        <w:ind w:firstLine="567"/>
        <w:jc w:val="both"/>
        <w:rPr>
          <w:rFonts w:ascii="Lustria" w:eastAsia="Lustria" w:hAnsi="Lustria" w:cs="Lustria"/>
          <w:color w:val="00B0F0"/>
          <w:sz w:val="22"/>
          <w:szCs w:val="22"/>
        </w:rPr>
      </w:pPr>
    </w:p>
    <w:p w14:paraId="6ADF1A31" w14:textId="092B0FBE" w:rsidR="00440DD7" w:rsidRPr="00F42F80" w:rsidRDefault="00E74908">
      <w:pPr>
        <w:pBdr>
          <w:top w:val="nil"/>
          <w:left w:val="nil"/>
          <w:bottom w:val="nil"/>
          <w:right w:val="nil"/>
          <w:between w:val="nil"/>
        </w:pBdr>
        <w:tabs>
          <w:tab w:val="left" w:pos="426"/>
        </w:tabs>
        <w:rPr>
          <w:rFonts w:ascii="Lustria" w:eastAsia="Lustria" w:hAnsi="Lustria" w:cs="Lustria"/>
          <w:b/>
          <w:i/>
          <w:color w:val="00B0F0"/>
        </w:rPr>
      </w:pPr>
      <w:r w:rsidRPr="00F42F80">
        <w:rPr>
          <w:rFonts w:ascii="Lustria" w:eastAsia="Lustria" w:hAnsi="Lustria" w:cs="Lustria"/>
          <w:b/>
          <w:smallCaps/>
          <w:color w:val="000000"/>
          <w:sz w:val="24"/>
          <w:szCs w:val="24"/>
        </w:rPr>
        <w:t xml:space="preserve">RESULTS AND DISCUSSION </w:t>
      </w:r>
    </w:p>
    <w:p w14:paraId="0BFCB567" w14:textId="77777777" w:rsidR="00440DD7" w:rsidRPr="00F42F80" w:rsidRDefault="00440DD7">
      <w:pPr>
        <w:pBdr>
          <w:top w:val="nil"/>
          <w:left w:val="nil"/>
          <w:bottom w:val="nil"/>
          <w:right w:val="nil"/>
          <w:between w:val="nil"/>
        </w:pBdr>
        <w:tabs>
          <w:tab w:val="left" w:pos="426"/>
        </w:tabs>
        <w:rPr>
          <w:rFonts w:ascii="Lustria" w:eastAsia="Lustria" w:hAnsi="Lustria" w:cs="Lustria"/>
          <w:b/>
          <w:color w:val="00B0F0"/>
        </w:rPr>
      </w:pPr>
    </w:p>
    <w:p w14:paraId="78C7DD99" w14:textId="2314BA0F" w:rsidR="00440DD7" w:rsidRPr="00F42F80" w:rsidRDefault="00332E2E" w:rsidP="00475D06">
      <w:pPr>
        <w:pBdr>
          <w:top w:val="nil"/>
          <w:left w:val="nil"/>
          <w:bottom w:val="nil"/>
          <w:right w:val="nil"/>
          <w:between w:val="nil"/>
        </w:pBdr>
        <w:ind w:firstLine="567"/>
        <w:jc w:val="both"/>
        <w:rPr>
          <w:rFonts w:ascii="Lustria" w:hAnsi="Lustria"/>
          <w:sz w:val="22"/>
          <w:szCs w:val="22"/>
        </w:rPr>
      </w:pPr>
      <w:r w:rsidRPr="00F42F80">
        <w:rPr>
          <w:rFonts w:ascii="Lustria" w:hAnsi="Lustria"/>
          <w:sz w:val="22"/>
          <w:szCs w:val="22"/>
        </w:rPr>
        <w:t>This study has 105 collected data. The data is then tabulated and analyzed. The data tabulation on the sample demographics shows that of the 105 respondents, there were 25 (23.82%) male respondents and 80 (76.19%) female respondents. This figure shows that the respondents are predominantly female. This cannot be controlled because women dominate the demographics of students at the Faculty of Economics. Furthermore, respondents are represented from the age range of 19 to 23 years from the age aspect. This is good because respondents are represented from each class. The response obtained can indicate the general response of the Faculty of Economics students regarding their involvement with the learning community.</w:t>
      </w:r>
    </w:p>
    <w:p w14:paraId="4AC783EB" w14:textId="77777777" w:rsidR="00332E2E" w:rsidRPr="00F42F80" w:rsidRDefault="00332E2E" w:rsidP="00475D06">
      <w:pPr>
        <w:pStyle w:val="Heading1"/>
        <w:spacing w:line="240" w:lineRule="auto"/>
        <w:ind w:right="4"/>
        <w:jc w:val="left"/>
        <w:rPr>
          <w:rFonts w:ascii="Lustria" w:hAnsi="Lustria"/>
          <w:b w:val="0"/>
          <w:bCs w:val="0"/>
          <w:sz w:val="22"/>
          <w:szCs w:val="22"/>
          <w:lang w:val="en-US"/>
        </w:rPr>
      </w:pPr>
    </w:p>
    <w:p w14:paraId="49DF7EB4" w14:textId="1CD8F8A5" w:rsidR="00332E2E" w:rsidRPr="00F42F80" w:rsidRDefault="00332E2E" w:rsidP="00475D06">
      <w:pPr>
        <w:pStyle w:val="Heading1"/>
        <w:spacing w:line="240" w:lineRule="auto"/>
        <w:ind w:right="4"/>
        <w:jc w:val="left"/>
        <w:rPr>
          <w:rFonts w:ascii="Lustria" w:hAnsi="Lustria"/>
          <w:b w:val="0"/>
          <w:bCs w:val="0"/>
          <w:sz w:val="22"/>
          <w:szCs w:val="22"/>
          <w:lang w:val="en-US"/>
        </w:rPr>
      </w:pPr>
      <w:r w:rsidRPr="00F42F80">
        <w:rPr>
          <w:rFonts w:ascii="Lustria" w:hAnsi="Lustria"/>
          <w:sz w:val="22"/>
          <w:szCs w:val="22"/>
          <w:lang w:val="en-US"/>
        </w:rPr>
        <w:t>Table 1</w:t>
      </w:r>
      <w:r w:rsidRPr="00F42F80">
        <w:rPr>
          <w:rFonts w:ascii="Lustria" w:hAnsi="Lustria"/>
          <w:b w:val="0"/>
          <w:bCs w:val="0"/>
          <w:sz w:val="22"/>
          <w:szCs w:val="22"/>
          <w:lang w:val="en-US"/>
        </w:rPr>
        <w:t>. Demography of Sample</w:t>
      </w:r>
    </w:p>
    <w:tbl>
      <w:tblPr>
        <w:tblW w:w="3686" w:type="dxa"/>
        <w:jc w:val="center"/>
        <w:tblLook w:val="04A0" w:firstRow="1" w:lastRow="0" w:firstColumn="1" w:lastColumn="0" w:noHBand="0" w:noVBand="1"/>
      </w:tblPr>
      <w:tblGrid>
        <w:gridCol w:w="1560"/>
        <w:gridCol w:w="714"/>
        <w:gridCol w:w="1412"/>
      </w:tblGrid>
      <w:tr w:rsidR="00332E2E" w:rsidRPr="00F42F80" w14:paraId="45266876" w14:textId="77777777" w:rsidTr="00332E2E">
        <w:trPr>
          <w:trHeight w:val="214"/>
          <w:jc w:val="center"/>
        </w:trPr>
        <w:tc>
          <w:tcPr>
            <w:tcW w:w="1560" w:type="dxa"/>
            <w:tcBorders>
              <w:top w:val="single" w:sz="4" w:space="0" w:color="auto"/>
              <w:bottom w:val="single" w:sz="4" w:space="0" w:color="auto"/>
            </w:tcBorders>
            <w:shd w:val="clear" w:color="auto" w:fill="auto"/>
            <w:noWrap/>
            <w:vAlign w:val="bottom"/>
            <w:hideMark/>
          </w:tcPr>
          <w:p w14:paraId="1E0CA1A0" w14:textId="77777777" w:rsidR="00332E2E" w:rsidRPr="00F42F80" w:rsidRDefault="00332E2E" w:rsidP="00475D06">
            <w:pPr>
              <w:rPr>
                <w:rFonts w:ascii="Lustria" w:hAnsi="Lustria"/>
                <w:b/>
                <w:bCs/>
                <w:color w:val="000000"/>
                <w:sz w:val="22"/>
                <w:szCs w:val="22"/>
                <w:lang w:val="en-ID"/>
              </w:rPr>
            </w:pPr>
          </w:p>
        </w:tc>
        <w:tc>
          <w:tcPr>
            <w:tcW w:w="714" w:type="dxa"/>
            <w:tcBorders>
              <w:top w:val="single" w:sz="4" w:space="0" w:color="auto"/>
              <w:bottom w:val="single" w:sz="4" w:space="0" w:color="auto"/>
            </w:tcBorders>
            <w:shd w:val="clear" w:color="auto" w:fill="auto"/>
            <w:noWrap/>
            <w:vAlign w:val="bottom"/>
            <w:hideMark/>
          </w:tcPr>
          <w:p w14:paraId="65A12F9E" w14:textId="77777777" w:rsidR="00332E2E" w:rsidRPr="00F42F80" w:rsidRDefault="00332E2E" w:rsidP="00475D06">
            <w:pPr>
              <w:jc w:val="right"/>
              <w:rPr>
                <w:rFonts w:ascii="Lustria" w:hAnsi="Lustria"/>
                <w:b/>
                <w:bCs/>
                <w:color w:val="000000"/>
                <w:sz w:val="22"/>
                <w:szCs w:val="22"/>
                <w:lang w:val="en-ID"/>
              </w:rPr>
            </w:pPr>
            <w:r w:rsidRPr="00F42F80">
              <w:rPr>
                <w:rFonts w:ascii="Lustria" w:hAnsi="Lustria"/>
                <w:b/>
                <w:bCs/>
                <w:color w:val="000000"/>
                <w:sz w:val="22"/>
                <w:szCs w:val="22"/>
                <w:lang w:val="en-ID"/>
              </w:rPr>
              <w:t>n</w:t>
            </w:r>
          </w:p>
        </w:tc>
        <w:tc>
          <w:tcPr>
            <w:tcW w:w="1412" w:type="dxa"/>
            <w:tcBorders>
              <w:top w:val="single" w:sz="4" w:space="0" w:color="auto"/>
              <w:bottom w:val="single" w:sz="4" w:space="0" w:color="auto"/>
            </w:tcBorders>
            <w:shd w:val="clear" w:color="auto" w:fill="auto"/>
            <w:noWrap/>
            <w:vAlign w:val="bottom"/>
            <w:hideMark/>
          </w:tcPr>
          <w:p w14:paraId="73ACBEF3" w14:textId="77777777" w:rsidR="00332E2E" w:rsidRPr="00F42F80" w:rsidRDefault="00332E2E" w:rsidP="00475D06">
            <w:pPr>
              <w:jc w:val="center"/>
              <w:rPr>
                <w:rFonts w:ascii="Lustria" w:hAnsi="Lustria"/>
                <w:b/>
                <w:bCs/>
                <w:color w:val="000000"/>
                <w:sz w:val="22"/>
                <w:szCs w:val="22"/>
                <w:lang w:val="en-ID"/>
              </w:rPr>
            </w:pPr>
            <w:r w:rsidRPr="00F42F80">
              <w:rPr>
                <w:rFonts w:ascii="Lustria" w:hAnsi="Lustria"/>
                <w:b/>
                <w:bCs/>
                <w:color w:val="000000"/>
                <w:sz w:val="22"/>
                <w:szCs w:val="22"/>
                <w:lang w:val="en-ID"/>
              </w:rPr>
              <w:t>%</w:t>
            </w:r>
          </w:p>
        </w:tc>
      </w:tr>
      <w:tr w:rsidR="00332E2E" w:rsidRPr="00F42F80" w14:paraId="3D646A26" w14:textId="77777777" w:rsidTr="00332E2E">
        <w:trPr>
          <w:trHeight w:val="58"/>
          <w:jc w:val="center"/>
        </w:trPr>
        <w:tc>
          <w:tcPr>
            <w:tcW w:w="3686" w:type="dxa"/>
            <w:gridSpan w:val="3"/>
            <w:tcBorders>
              <w:top w:val="single" w:sz="4" w:space="0" w:color="auto"/>
            </w:tcBorders>
            <w:shd w:val="clear" w:color="auto" w:fill="auto"/>
            <w:noWrap/>
            <w:vAlign w:val="bottom"/>
            <w:hideMark/>
          </w:tcPr>
          <w:p w14:paraId="6D825E31" w14:textId="77777777" w:rsidR="00332E2E" w:rsidRPr="00F42F80" w:rsidRDefault="00332E2E" w:rsidP="00475D06">
            <w:pPr>
              <w:rPr>
                <w:rFonts w:ascii="Lustria" w:hAnsi="Lustria"/>
                <w:b/>
                <w:bCs/>
                <w:sz w:val="22"/>
                <w:szCs w:val="22"/>
                <w:lang w:val="en-ID"/>
              </w:rPr>
            </w:pPr>
            <w:r w:rsidRPr="00F42F80">
              <w:rPr>
                <w:rFonts w:ascii="Lustria" w:hAnsi="Lustria"/>
                <w:b/>
                <w:bCs/>
                <w:color w:val="000000"/>
                <w:sz w:val="22"/>
                <w:szCs w:val="22"/>
                <w:lang w:val="en-ID"/>
              </w:rPr>
              <w:t>Gender</w:t>
            </w:r>
          </w:p>
        </w:tc>
      </w:tr>
      <w:tr w:rsidR="00332E2E" w:rsidRPr="00F42F80" w14:paraId="30CB4423" w14:textId="77777777" w:rsidTr="00332E2E">
        <w:trPr>
          <w:trHeight w:val="58"/>
          <w:jc w:val="center"/>
        </w:trPr>
        <w:tc>
          <w:tcPr>
            <w:tcW w:w="1560" w:type="dxa"/>
            <w:shd w:val="clear" w:color="auto" w:fill="auto"/>
            <w:noWrap/>
            <w:vAlign w:val="bottom"/>
            <w:hideMark/>
          </w:tcPr>
          <w:p w14:paraId="50490075" w14:textId="77777777" w:rsidR="00332E2E" w:rsidRPr="00F42F80" w:rsidRDefault="00332E2E" w:rsidP="00475D06">
            <w:pPr>
              <w:rPr>
                <w:rFonts w:ascii="Lustria" w:hAnsi="Lustria"/>
                <w:color w:val="000000"/>
                <w:sz w:val="22"/>
                <w:szCs w:val="22"/>
                <w:lang w:val="en-ID"/>
              </w:rPr>
            </w:pPr>
            <w:r w:rsidRPr="00F42F80">
              <w:rPr>
                <w:rFonts w:ascii="Lustria" w:hAnsi="Lustria"/>
                <w:color w:val="000000"/>
                <w:sz w:val="22"/>
                <w:szCs w:val="22"/>
                <w:lang w:val="en-ID"/>
              </w:rPr>
              <w:t>Male</w:t>
            </w:r>
          </w:p>
        </w:tc>
        <w:tc>
          <w:tcPr>
            <w:tcW w:w="714" w:type="dxa"/>
            <w:shd w:val="clear" w:color="auto" w:fill="auto"/>
            <w:noWrap/>
            <w:vAlign w:val="bottom"/>
            <w:hideMark/>
          </w:tcPr>
          <w:p w14:paraId="1BA35B61" w14:textId="77777777" w:rsidR="00332E2E" w:rsidRPr="00F42F80" w:rsidRDefault="00332E2E" w:rsidP="00475D06">
            <w:pPr>
              <w:jc w:val="right"/>
              <w:rPr>
                <w:rFonts w:ascii="Lustria" w:hAnsi="Lustria"/>
                <w:color w:val="000000"/>
                <w:sz w:val="22"/>
                <w:szCs w:val="22"/>
                <w:lang w:val="en-ID"/>
              </w:rPr>
            </w:pPr>
            <w:r w:rsidRPr="00F42F80">
              <w:rPr>
                <w:rFonts w:ascii="Lustria" w:hAnsi="Lustria"/>
                <w:color w:val="000000"/>
                <w:sz w:val="22"/>
                <w:szCs w:val="22"/>
                <w:lang w:val="en-ID"/>
              </w:rPr>
              <w:t>25</w:t>
            </w:r>
          </w:p>
        </w:tc>
        <w:tc>
          <w:tcPr>
            <w:tcW w:w="1412" w:type="dxa"/>
            <w:shd w:val="clear" w:color="auto" w:fill="auto"/>
            <w:noWrap/>
            <w:vAlign w:val="bottom"/>
            <w:hideMark/>
          </w:tcPr>
          <w:p w14:paraId="64F547AA" w14:textId="77777777" w:rsidR="00332E2E" w:rsidRPr="00F42F80" w:rsidRDefault="00332E2E" w:rsidP="00475D06">
            <w:pPr>
              <w:jc w:val="right"/>
              <w:rPr>
                <w:rFonts w:ascii="Lustria" w:hAnsi="Lustria"/>
                <w:color w:val="000000"/>
                <w:sz w:val="22"/>
                <w:szCs w:val="22"/>
                <w:lang w:val="en-ID"/>
              </w:rPr>
            </w:pPr>
            <w:r w:rsidRPr="00F42F80">
              <w:rPr>
                <w:rFonts w:ascii="Lustria" w:hAnsi="Lustria"/>
                <w:color w:val="000000"/>
                <w:sz w:val="22"/>
                <w:szCs w:val="22"/>
                <w:lang w:val="en-ID"/>
              </w:rPr>
              <w:t>23,81%</w:t>
            </w:r>
          </w:p>
        </w:tc>
      </w:tr>
      <w:tr w:rsidR="00332E2E" w:rsidRPr="00F42F80" w14:paraId="1FDD5FF1" w14:textId="77777777" w:rsidTr="00332E2E">
        <w:trPr>
          <w:trHeight w:val="58"/>
          <w:jc w:val="center"/>
        </w:trPr>
        <w:tc>
          <w:tcPr>
            <w:tcW w:w="1560" w:type="dxa"/>
            <w:tcBorders>
              <w:bottom w:val="single" w:sz="4" w:space="0" w:color="auto"/>
            </w:tcBorders>
            <w:shd w:val="clear" w:color="auto" w:fill="auto"/>
            <w:noWrap/>
            <w:vAlign w:val="bottom"/>
            <w:hideMark/>
          </w:tcPr>
          <w:p w14:paraId="0101C477" w14:textId="77777777" w:rsidR="00332E2E" w:rsidRPr="00F42F80" w:rsidRDefault="00332E2E" w:rsidP="00475D06">
            <w:pPr>
              <w:rPr>
                <w:rFonts w:ascii="Lustria" w:hAnsi="Lustria"/>
                <w:color w:val="000000"/>
                <w:sz w:val="22"/>
                <w:szCs w:val="22"/>
                <w:lang w:val="en-ID"/>
              </w:rPr>
            </w:pPr>
            <w:r w:rsidRPr="00F42F80">
              <w:rPr>
                <w:rFonts w:ascii="Lustria" w:hAnsi="Lustria"/>
                <w:color w:val="000000"/>
                <w:sz w:val="22"/>
                <w:szCs w:val="22"/>
                <w:lang w:val="en-ID"/>
              </w:rPr>
              <w:t>Female</w:t>
            </w:r>
          </w:p>
        </w:tc>
        <w:tc>
          <w:tcPr>
            <w:tcW w:w="714" w:type="dxa"/>
            <w:tcBorders>
              <w:bottom w:val="single" w:sz="4" w:space="0" w:color="auto"/>
            </w:tcBorders>
            <w:shd w:val="clear" w:color="auto" w:fill="auto"/>
            <w:noWrap/>
            <w:vAlign w:val="bottom"/>
            <w:hideMark/>
          </w:tcPr>
          <w:p w14:paraId="3BDAC33A" w14:textId="77777777" w:rsidR="00332E2E" w:rsidRPr="00F42F80" w:rsidRDefault="00332E2E" w:rsidP="00475D06">
            <w:pPr>
              <w:jc w:val="right"/>
              <w:rPr>
                <w:rFonts w:ascii="Lustria" w:hAnsi="Lustria"/>
                <w:color w:val="000000"/>
                <w:sz w:val="22"/>
                <w:szCs w:val="22"/>
                <w:lang w:val="en-ID"/>
              </w:rPr>
            </w:pPr>
            <w:r w:rsidRPr="00F42F80">
              <w:rPr>
                <w:rFonts w:ascii="Lustria" w:hAnsi="Lustria"/>
                <w:color w:val="000000"/>
                <w:sz w:val="22"/>
                <w:szCs w:val="22"/>
                <w:lang w:val="en-ID"/>
              </w:rPr>
              <w:t>80</w:t>
            </w:r>
          </w:p>
        </w:tc>
        <w:tc>
          <w:tcPr>
            <w:tcW w:w="1412" w:type="dxa"/>
            <w:tcBorders>
              <w:bottom w:val="single" w:sz="4" w:space="0" w:color="auto"/>
            </w:tcBorders>
            <w:shd w:val="clear" w:color="auto" w:fill="auto"/>
            <w:noWrap/>
            <w:vAlign w:val="bottom"/>
            <w:hideMark/>
          </w:tcPr>
          <w:p w14:paraId="5280522D" w14:textId="77777777" w:rsidR="00332E2E" w:rsidRPr="00F42F80" w:rsidRDefault="00332E2E" w:rsidP="00475D06">
            <w:pPr>
              <w:jc w:val="right"/>
              <w:rPr>
                <w:rFonts w:ascii="Lustria" w:hAnsi="Lustria"/>
                <w:color w:val="000000"/>
                <w:sz w:val="22"/>
                <w:szCs w:val="22"/>
                <w:lang w:val="en-ID"/>
              </w:rPr>
            </w:pPr>
            <w:r w:rsidRPr="00F42F80">
              <w:rPr>
                <w:rFonts w:ascii="Lustria" w:hAnsi="Lustria"/>
                <w:color w:val="000000"/>
                <w:sz w:val="22"/>
                <w:szCs w:val="22"/>
                <w:lang w:val="en-ID"/>
              </w:rPr>
              <w:t>76,19%</w:t>
            </w:r>
          </w:p>
        </w:tc>
      </w:tr>
      <w:tr w:rsidR="00332E2E" w:rsidRPr="00F42F80" w14:paraId="4DB98AD1" w14:textId="77777777" w:rsidTr="00332E2E">
        <w:trPr>
          <w:trHeight w:val="58"/>
          <w:jc w:val="center"/>
        </w:trPr>
        <w:tc>
          <w:tcPr>
            <w:tcW w:w="1560" w:type="dxa"/>
            <w:tcBorders>
              <w:top w:val="single" w:sz="4" w:space="0" w:color="auto"/>
              <w:bottom w:val="single" w:sz="4" w:space="0" w:color="auto"/>
            </w:tcBorders>
            <w:shd w:val="clear" w:color="auto" w:fill="auto"/>
            <w:noWrap/>
            <w:vAlign w:val="bottom"/>
            <w:hideMark/>
          </w:tcPr>
          <w:p w14:paraId="0AB660FE" w14:textId="77777777" w:rsidR="00332E2E" w:rsidRPr="00F42F80" w:rsidRDefault="00332E2E" w:rsidP="00475D06">
            <w:pPr>
              <w:jc w:val="both"/>
              <w:rPr>
                <w:rFonts w:ascii="Lustria" w:hAnsi="Lustria"/>
                <w:color w:val="000000"/>
                <w:sz w:val="22"/>
                <w:szCs w:val="22"/>
                <w:lang w:val="en-ID"/>
              </w:rPr>
            </w:pPr>
            <w:r w:rsidRPr="00F42F80">
              <w:rPr>
                <w:rFonts w:ascii="Lustria" w:hAnsi="Lustria"/>
                <w:color w:val="000000"/>
                <w:sz w:val="22"/>
                <w:szCs w:val="22"/>
                <w:lang w:val="en-ID"/>
              </w:rPr>
              <w:t>Total</w:t>
            </w:r>
          </w:p>
        </w:tc>
        <w:tc>
          <w:tcPr>
            <w:tcW w:w="714" w:type="dxa"/>
            <w:tcBorders>
              <w:top w:val="single" w:sz="4" w:space="0" w:color="auto"/>
              <w:bottom w:val="single" w:sz="4" w:space="0" w:color="auto"/>
            </w:tcBorders>
            <w:shd w:val="clear" w:color="auto" w:fill="auto"/>
            <w:noWrap/>
            <w:vAlign w:val="bottom"/>
            <w:hideMark/>
          </w:tcPr>
          <w:p w14:paraId="11B3ABD8" w14:textId="77777777" w:rsidR="00332E2E" w:rsidRPr="00F42F80" w:rsidRDefault="00332E2E" w:rsidP="00475D06">
            <w:pPr>
              <w:jc w:val="right"/>
              <w:rPr>
                <w:rFonts w:ascii="Lustria" w:hAnsi="Lustria"/>
                <w:color w:val="000000"/>
                <w:sz w:val="22"/>
                <w:szCs w:val="22"/>
                <w:lang w:val="en-ID"/>
              </w:rPr>
            </w:pPr>
            <w:r w:rsidRPr="00F42F80">
              <w:rPr>
                <w:rFonts w:ascii="Lustria" w:hAnsi="Lustria"/>
                <w:color w:val="000000"/>
                <w:sz w:val="22"/>
                <w:szCs w:val="22"/>
                <w:lang w:val="en-ID"/>
              </w:rPr>
              <w:t>105</w:t>
            </w:r>
          </w:p>
        </w:tc>
        <w:tc>
          <w:tcPr>
            <w:tcW w:w="1412" w:type="dxa"/>
            <w:tcBorders>
              <w:top w:val="single" w:sz="4" w:space="0" w:color="auto"/>
              <w:bottom w:val="single" w:sz="4" w:space="0" w:color="auto"/>
            </w:tcBorders>
            <w:shd w:val="clear" w:color="auto" w:fill="auto"/>
            <w:noWrap/>
            <w:vAlign w:val="bottom"/>
            <w:hideMark/>
          </w:tcPr>
          <w:p w14:paraId="34D44075" w14:textId="77777777" w:rsidR="00332E2E" w:rsidRPr="00F42F80" w:rsidRDefault="00332E2E" w:rsidP="00475D06">
            <w:pPr>
              <w:jc w:val="right"/>
              <w:rPr>
                <w:rFonts w:ascii="Lustria" w:hAnsi="Lustria"/>
                <w:color w:val="000000"/>
                <w:sz w:val="22"/>
                <w:szCs w:val="22"/>
                <w:lang w:val="en-ID"/>
              </w:rPr>
            </w:pPr>
            <w:r w:rsidRPr="00F42F80">
              <w:rPr>
                <w:rFonts w:ascii="Lustria" w:hAnsi="Lustria"/>
                <w:color w:val="000000"/>
                <w:sz w:val="22"/>
                <w:szCs w:val="22"/>
                <w:lang w:val="en-ID"/>
              </w:rPr>
              <w:t>100,00%</w:t>
            </w:r>
          </w:p>
        </w:tc>
      </w:tr>
      <w:tr w:rsidR="00332E2E" w:rsidRPr="00F42F80" w14:paraId="7EBA1A4C" w14:textId="77777777" w:rsidTr="00332E2E">
        <w:trPr>
          <w:trHeight w:val="72"/>
          <w:jc w:val="center"/>
        </w:trPr>
        <w:tc>
          <w:tcPr>
            <w:tcW w:w="3686" w:type="dxa"/>
            <w:gridSpan w:val="3"/>
            <w:tcBorders>
              <w:top w:val="single" w:sz="4" w:space="0" w:color="auto"/>
            </w:tcBorders>
            <w:shd w:val="clear" w:color="auto" w:fill="auto"/>
            <w:noWrap/>
            <w:vAlign w:val="bottom"/>
            <w:hideMark/>
          </w:tcPr>
          <w:p w14:paraId="620F443F" w14:textId="77777777" w:rsidR="00332E2E" w:rsidRPr="00F42F80" w:rsidRDefault="00332E2E" w:rsidP="00475D06">
            <w:pPr>
              <w:rPr>
                <w:rFonts w:ascii="Lustria" w:hAnsi="Lustria"/>
                <w:sz w:val="22"/>
                <w:szCs w:val="22"/>
                <w:lang w:val="en-ID"/>
              </w:rPr>
            </w:pPr>
            <w:r w:rsidRPr="00F42F80">
              <w:rPr>
                <w:rFonts w:ascii="Lustria" w:hAnsi="Lustria"/>
                <w:b/>
                <w:bCs/>
                <w:color w:val="000000"/>
                <w:sz w:val="22"/>
                <w:szCs w:val="22"/>
                <w:lang w:val="en-ID"/>
              </w:rPr>
              <w:t>Age</w:t>
            </w:r>
          </w:p>
        </w:tc>
      </w:tr>
      <w:tr w:rsidR="00332E2E" w:rsidRPr="00F42F80" w14:paraId="73AC861E" w14:textId="77777777" w:rsidTr="00332E2E">
        <w:trPr>
          <w:trHeight w:val="58"/>
          <w:jc w:val="center"/>
        </w:trPr>
        <w:tc>
          <w:tcPr>
            <w:tcW w:w="1560" w:type="dxa"/>
            <w:shd w:val="clear" w:color="auto" w:fill="auto"/>
            <w:noWrap/>
            <w:vAlign w:val="bottom"/>
            <w:hideMark/>
          </w:tcPr>
          <w:p w14:paraId="448FC7A6" w14:textId="77777777" w:rsidR="00332E2E" w:rsidRPr="00F42F80" w:rsidRDefault="00332E2E" w:rsidP="00475D06">
            <w:pPr>
              <w:rPr>
                <w:rFonts w:ascii="Lustria" w:hAnsi="Lustria"/>
                <w:color w:val="000000"/>
                <w:sz w:val="22"/>
                <w:szCs w:val="22"/>
                <w:lang w:val="en-ID"/>
              </w:rPr>
            </w:pPr>
            <w:r w:rsidRPr="00F42F80">
              <w:rPr>
                <w:rFonts w:ascii="Lustria" w:hAnsi="Lustria"/>
                <w:color w:val="000000"/>
                <w:sz w:val="22"/>
                <w:szCs w:val="22"/>
                <w:lang w:val="en-ID"/>
              </w:rPr>
              <w:t>19</w:t>
            </w:r>
          </w:p>
        </w:tc>
        <w:tc>
          <w:tcPr>
            <w:tcW w:w="714" w:type="dxa"/>
            <w:shd w:val="clear" w:color="auto" w:fill="auto"/>
            <w:noWrap/>
            <w:vAlign w:val="bottom"/>
            <w:hideMark/>
          </w:tcPr>
          <w:p w14:paraId="5AEB16D3" w14:textId="77777777" w:rsidR="00332E2E" w:rsidRPr="00F42F80" w:rsidRDefault="00332E2E" w:rsidP="00475D06">
            <w:pPr>
              <w:jc w:val="right"/>
              <w:rPr>
                <w:rFonts w:ascii="Lustria" w:hAnsi="Lustria"/>
                <w:color w:val="000000"/>
                <w:sz w:val="22"/>
                <w:szCs w:val="22"/>
                <w:lang w:val="en-ID"/>
              </w:rPr>
            </w:pPr>
            <w:r w:rsidRPr="00F42F80">
              <w:rPr>
                <w:rFonts w:ascii="Lustria" w:hAnsi="Lustria"/>
                <w:color w:val="000000"/>
                <w:sz w:val="22"/>
                <w:szCs w:val="22"/>
                <w:lang w:val="en-ID"/>
              </w:rPr>
              <w:t>28</w:t>
            </w:r>
          </w:p>
        </w:tc>
        <w:tc>
          <w:tcPr>
            <w:tcW w:w="1412" w:type="dxa"/>
            <w:shd w:val="clear" w:color="auto" w:fill="auto"/>
            <w:noWrap/>
            <w:vAlign w:val="bottom"/>
            <w:hideMark/>
          </w:tcPr>
          <w:p w14:paraId="07D78F99" w14:textId="77777777" w:rsidR="00332E2E" w:rsidRPr="00F42F80" w:rsidRDefault="00332E2E" w:rsidP="00475D06">
            <w:pPr>
              <w:jc w:val="right"/>
              <w:rPr>
                <w:rFonts w:ascii="Lustria" w:hAnsi="Lustria"/>
                <w:color w:val="000000"/>
                <w:sz w:val="22"/>
                <w:szCs w:val="22"/>
                <w:lang w:val="en-ID"/>
              </w:rPr>
            </w:pPr>
            <w:r w:rsidRPr="00F42F80">
              <w:rPr>
                <w:rFonts w:ascii="Lustria" w:hAnsi="Lustria"/>
                <w:color w:val="000000"/>
                <w:sz w:val="22"/>
                <w:szCs w:val="22"/>
                <w:lang w:val="en-ID"/>
              </w:rPr>
              <w:t>26,67%</w:t>
            </w:r>
          </w:p>
        </w:tc>
      </w:tr>
      <w:tr w:rsidR="00332E2E" w:rsidRPr="00F42F80" w14:paraId="204EBD50" w14:textId="77777777" w:rsidTr="00332E2E">
        <w:trPr>
          <w:trHeight w:val="58"/>
          <w:jc w:val="center"/>
        </w:trPr>
        <w:tc>
          <w:tcPr>
            <w:tcW w:w="1560" w:type="dxa"/>
            <w:shd w:val="clear" w:color="auto" w:fill="auto"/>
            <w:noWrap/>
            <w:vAlign w:val="bottom"/>
            <w:hideMark/>
          </w:tcPr>
          <w:p w14:paraId="3CA22D2D" w14:textId="77777777" w:rsidR="00332E2E" w:rsidRPr="00F42F80" w:rsidRDefault="00332E2E" w:rsidP="00475D06">
            <w:pPr>
              <w:rPr>
                <w:rFonts w:ascii="Lustria" w:hAnsi="Lustria"/>
                <w:color w:val="000000"/>
                <w:sz w:val="22"/>
                <w:szCs w:val="22"/>
                <w:lang w:val="en-ID"/>
              </w:rPr>
            </w:pPr>
            <w:r w:rsidRPr="00F42F80">
              <w:rPr>
                <w:rFonts w:ascii="Lustria" w:hAnsi="Lustria"/>
                <w:color w:val="000000"/>
                <w:sz w:val="22"/>
                <w:szCs w:val="22"/>
                <w:lang w:val="en-ID"/>
              </w:rPr>
              <w:t>20</w:t>
            </w:r>
          </w:p>
        </w:tc>
        <w:tc>
          <w:tcPr>
            <w:tcW w:w="714" w:type="dxa"/>
            <w:shd w:val="clear" w:color="auto" w:fill="auto"/>
            <w:noWrap/>
            <w:vAlign w:val="bottom"/>
            <w:hideMark/>
          </w:tcPr>
          <w:p w14:paraId="34ABEFFD" w14:textId="77777777" w:rsidR="00332E2E" w:rsidRPr="00F42F80" w:rsidRDefault="00332E2E" w:rsidP="00475D06">
            <w:pPr>
              <w:jc w:val="right"/>
              <w:rPr>
                <w:rFonts w:ascii="Lustria" w:hAnsi="Lustria"/>
                <w:color w:val="000000"/>
                <w:sz w:val="22"/>
                <w:szCs w:val="22"/>
                <w:lang w:val="en-ID"/>
              </w:rPr>
            </w:pPr>
            <w:r w:rsidRPr="00F42F80">
              <w:rPr>
                <w:rFonts w:ascii="Lustria" w:hAnsi="Lustria"/>
                <w:color w:val="000000"/>
                <w:sz w:val="22"/>
                <w:szCs w:val="22"/>
                <w:lang w:val="en-ID"/>
              </w:rPr>
              <w:t>18</w:t>
            </w:r>
          </w:p>
        </w:tc>
        <w:tc>
          <w:tcPr>
            <w:tcW w:w="1412" w:type="dxa"/>
            <w:shd w:val="clear" w:color="auto" w:fill="auto"/>
            <w:noWrap/>
            <w:vAlign w:val="bottom"/>
            <w:hideMark/>
          </w:tcPr>
          <w:p w14:paraId="4322922E" w14:textId="77777777" w:rsidR="00332E2E" w:rsidRPr="00F42F80" w:rsidRDefault="00332E2E" w:rsidP="00475D06">
            <w:pPr>
              <w:jc w:val="right"/>
              <w:rPr>
                <w:rFonts w:ascii="Lustria" w:hAnsi="Lustria"/>
                <w:color w:val="000000"/>
                <w:sz w:val="22"/>
                <w:szCs w:val="22"/>
                <w:lang w:val="en-ID"/>
              </w:rPr>
            </w:pPr>
            <w:r w:rsidRPr="00F42F80">
              <w:rPr>
                <w:rFonts w:ascii="Lustria" w:hAnsi="Lustria"/>
                <w:color w:val="000000"/>
                <w:sz w:val="22"/>
                <w:szCs w:val="22"/>
                <w:lang w:val="en-ID"/>
              </w:rPr>
              <w:t>17,14%</w:t>
            </w:r>
          </w:p>
        </w:tc>
      </w:tr>
      <w:tr w:rsidR="00332E2E" w:rsidRPr="00F42F80" w14:paraId="61389376" w14:textId="77777777" w:rsidTr="00332E2E">
        <w:trPr>
          <w:trHeight w:val="58"/>
          <w:jc w:val="center"/>
        </w:trPr>
        <w:tc>
          <w:tcPr>
            <w:tcW w:w="1560" w:type="dxa"/>
            <w:shd w:val="clear" w:color="auto" w:fill="auto"/>
            <w:noWrap/>
            <w:vAlign w:val="bottom"/>
            <w:hideMark/>
          </w:tcPr>
          <w:p w14:paraId="07C16E4C" w14:textId="77777777" w:rsidR="00332E2E" w:rsidRPr="00F42F80" w:rsidRDefault="00332E2E" w:rsidP="00475D06">
            <w:pPr>
              <w:rPr>
                <w:rFonts w:ascii="Lustria" w:hAnsi="Lustria"/>
                <w:color w:val="000000"/>
                <w:sz w:val="22"/>
                <w:szCs w:val="22"/>
                <w:lang w:val="en-ID"/>
              </w:rPr>
            </w:pPr>
            <w:r w:rsidRPr="00F42F80">
              <w:rPr>
                <w:rFonts w:ascii="Lustria" w:hAnsi="Lustria"/>
                <w:color w:val="000000"/>
                <w:sz w:val="22"/>
                <w:szCs w:val="22"/>
                <w:lang w:val="en-ID"/>
              </w:rPr>
              <w:t>21</w:t>
            </w:r>
          </w:p>
        </w:tc>
        <w:tc>
          <w:tcPr>
            <w:tcW w:w="714" w:type="dxa"/>
            <w:shd w:val="clear" w:color="auto" w:fill="auto"/>
            <w:noWrap/>
            <w:vAlign w:val="bottom"/>
            <w:hideMark/>
          </w:tcPr>
          <w:p w14:paraId="22B110FC" w14:textId="77777777" w:rsidR="00332E2E" w:rsidRPr="00F42F80" w:rsidRDefault="00332E2E" w:rsidP="00475D06">
            <w:pPr>
              <w:jc w:val="right"/>
              <w:rPr>
                <w:rFonts w:ascii="Lustria" w:hAnsi="Lustria"/>
                <w:color w:val="000000"/>
                <w:sz w:val="22"/>
                <w:szCs w:val="22"/>
                <w:lang w:val="en-ID"/>
              </w:rPr>
            </w:pPr>
            <w:r w:rsidRPr="00F42F80">
              <w:rPr>
                <w:rFonts w:ascii="Lustria" w:hAnsi="Lustria"/>
                <w:color w:val="000000"/>
                <w:sz w:val="22"/>
                <w:szCs w:val="22"/>
                <w:lang w:val="en-ID"/>
              </w:rPr>
              <w:t>27</w:t>
            </w:r>
          </w:p>
        </w:tc>
        <w:tc>
          <w:tcPr>
            <w:tcW w:w="1412" w:type="dxa"/>
            <w:shd w:val="clear" w:color="auto" w:fill="auto"/>
            <w:noWrap/>
            <w:vAlign w:val="bottom"/>
            <w:hideMark/>
          </w:tcPr>
          <w:p w14:paraId="7DE54FF0" w14:textId="77777777" w:rsidR="00332E2E" w:rsidRPr="00F42F80" w:rsidRDefault="00332E2E" w:rsidP="00475D06">
            <w:pPr>
              <w:jc w:val="right"/>
              <w:rPr>
                <w:rFonts w:ascii="Lustria" w:hAnsi="Lustria"/>
                <w:color w:val="000000"/>
                <w:sz w:val="22"/>
                <w:szCs w:val="22"/>
                <w:lang w:val="en-ID"/>
              </w:rPr>
            </w:pPr>
            <w:r w:rsidRPr="00F42F80">
              <w:rPr>
                <w:rFonts w:ascii="Lustria" w:hAnsi="Lustria"/>
                <w:color w:val="000000"/>
                <w:sz w:val="22"/>
                <w:szCs w:val="22"/>
                <w:lang w:val="en-ID"/>
              </w:rPr>
              <w:t>25,71%</w:t>
            </w:r>
          </w:p>
        </w:tc>
      </w:tr>
      <w:tr w:rsidR="00332E2E" w:rsidRPr="00F42F80" w14:paraId="41B087A1" w14:textId="77777777" w:rsidTr="00332E2E">
        <w:trPr>
          <w:trHeight w:val="58"/>
          <w:jc w:val="center"/>
        </w:trPr>
        <w:tc>
          <w:tcPr>
            <w:tcW w:w="1560" w:type="dxa"/>
            <w:shd w:val="clear" w:color="auto" w:fill="auto"/>
            <w:noWrap/>
            <w:vAlign w:val="bottom"/>
            <w:hideMark/>
          </w:tcPr>
          <w:p w14:paraId="527DF7A6" w14:textId="77777777" w:rsidR="00332E2E" w:rsidRPr="00F42F80" w:rsidRDefault="00332E2E" w:rsidP="00475D06">
            <w:pPr>
              <w:rPr>
                <w:rFonts w:ascii="Lustria" w:hAnsi="Lustria"/>
                <w:color w:val="000000"/>
                <w:sz w:val="22"/>
                <w:szCs w:val="22"/>
                <w:lang w:val="en-ID"/>
              </w:rPr>
            </w:pPr>
            <w:r w:rsidRPr="00F42F80">
              <w:rPr>
                <w:rFonts w:ascii="Lustria" w:hAnsi="Lustria"/>
                <w:color w:val="000000"/>
                <w:sz w:val="22"/>
                <w:szCs w:val="22"/>
                <w:lang w:val="en-ID"/>
              </w:rPr>
              <w:t>22</w:t>
            </w:r>
          </w:p>
        </w:tc>
        <w:tc>
          <w:tcPr>
            <w:tcW w:w="714" w:type="dxa"/>
            <w:shd w:val="clear" w:color="auto" w:fill="auto"/>
            <w:noWrap/>
            <w:vAlign w:val="bottom"/>
            <w:hideMark/>
          </w:tcPr>
          <w:p w14:paraId="459276B8" w14:textId="77777777" w:rsidR="00332E2E" w:rsidRPr="00F42F80" w:rsidRDefault="00332E2E" w:rsidP="00475D06">
            <w:pPr>
              <w:jc w:val="right"/>
              <w:rPr>
                <w:rFonts w:ascii="Lustria" w:hAnsi="Lustria"/>
                <w:color w:val="000000"/>
                <w:sz w:val="22"/>
                <w:szCs w:val="22"/>
                <w:lang w:val="en-ID"/>
              </w:rPr>
            </w:pPr>
            <w:r w:rsidRPr="00F42F80">
              <w:rPr>
                <w:rFonts w:ascii="Lustria" w:hAnsi="Lustria"/>
                <w:color w:val="000000"/>
                <w:sz w:val="22"/>
                <w:szCs w:val="22"/>
                <w:lang w:val="en-ID"/>
              </w:rPr>
              <w:t>25</w:t>
            </w:r>
          </w:p>
        </w:tc>
        <w:tc>
          <w:tcPr>
            <w:tcW w:w="1412" w:type="dxa"/>
            <w:shd w:val="clear" w:color="auto" w:fill="auto"/>
            <w:noWrap/>
            <w:vAlign w:val="bottom"/>
            <w:hideMark/>
          </w:tcPr>
          <w:p w14:paraId="1EE13B66" w14:textId="77777777" w:rsidR="00332E2E" w:rsidRPr="00F42F80" w:rsidRDefault="00332E2E" w:rsidP="00475D06">
            <w:pPr>
              <w:jc w:val="right"/>
              <w:rPr>
                <w:rFonts w:ascii="Lustria" w:hAnsi="Lustria"/>
                <w:color w:val="000000"/>
                <w:sz w:val="22"/>
                <w:szCs w:val="22"/>
                <w:lang w:val="en-ID"/>
              </w:rPr>
            </w:pPr>
            <w:r w:rsidRPr="00F42F80">
              <w:rPr>
                <w:rFonts w:ascii="Lustria" w:hAnsi="Lustria"/>
                <w:color w:val="000000"/>
                <w:sz w:val="22"/>
                <w:szCs w:val="22"/>
                <w:lang w:val="en-ID"/>
              </w:rPr>
              <w:t>23,81%</w:t>
            </w:r>
          </w:p>
        </w:tc>
      </w:tr>
      <w:tr w:rsidR="00332E2E" w:rsidRPr="00F42F80" w14:paraId="673B4C1A" w14:textId="77777777" w:rsidTr="00332E2E">
        <w:trPr>
          <w:trHeight w:val="58"/>
          <w:jc w:val="center"/>
        </w:trPr>
        <w:tc>
          <w:tcPr>
            <w:tcW w:w="1560" w:type="dxa"/>
            <w:tcBorders>
              <w:bottom w:val="single" w:sz="4" w:space="0" w:color="auto"/>
            </w:tcBorders>
            <w:shd w:val="clear" w:color="auto" w:fill="auto"/>
            <w:noWrap/>
            <w:vAlign w:val="bottom"/>
            <w:hideMark/>
          </w:tcPr>
          <w:p w14:paraId="2C500195" w14:textId="77777777" w:rsidR="00332E2E" w:rsidRPr="00F42F80" w:rsidRDefault="00332E2E" w:rsidP="00475D06">
            <w:pPr>
              <w:rPr>
                <w:rFonts w:ascii="Lustria" w:hAnsi="Lustria"/>
                <w:color w:val="000000"/>
                <w:sz w:val="22"/>
                <w:szCs w:val="22"/>
                <w:lang w:val="en-ID"/>
              </w:rPr>
            </w:pPr>
            <w:r w:rsidRPr="00F42F80">
              <w:rPr>
                <w:rFonts w:ascii="Lustria" w:hAnsi="Lustria"/>
                <w:color w:val="000000"/>
                <w:sz w:val="22"/>
                <w:szCs w:val="22"/>
                <w:lang w:val="en-ID"/>
              </w:rPr>
              <w:t>23</w:t>
            </w:r>
          </w:p>
        </w:tc>
        <w:tc>
          <w:tcPr>
            <w:tcW w:w="714" w:type="dxa"/>
            <w:tcBorders>
              <w:bottom w:val="single" w:sz="4" w:space="0" w:color="auto"/>
            </w:tcBorders>
            <w:shd w:val="clear" w:color="auto" w:fill="auto"/>
            <w:noWrap/>
            <w:vAlign w:val="bottom"/>
            <w:hideMark/>
          </w:tcPr>
          <w:p w14:paraId="14597FA8" w14:textId="77777777" w:rsidR="00332E2E" w:rsidRPr="00F42F80" w:rsidRDefault="00332E2E" w:rsidP="00475D06">
            <w:pPr>
              <w:jc w:val="right"/>
              <w:rPr>
                <w:rFonts w:ascii="Lustria" w:hAnsi="Lustria"/>
                <w:color w:val="000000"/>
                <w:sz w:val="22"/>
                <w:szCs w:val="22"/>
                <w:lang w:val="en-ID"/>
              </w:rPr>
            </w:pPr>
            <w:r w:rsidRPr="00F42F80">
              <w:rPr>
                <w:rFonts w:ascii="Lustria" w:hAnsi="Lustria"/>
                <w:color w:val="000000"/>
                <w:sz w:val="22"/>
                <w:szCs w:val="22"/>
                <w:lang w:val="en-ID"/>
              </w:rPr>
              <w:t>7</w:t>
            </w:r>
          </w:p>
        </w:tc>
        <w:tc>
          <w:tcPr>
            <w:tcW w:w="1412" w:type="dxa"/>
            <w:tcBorders>
              <w:bottom w:val="single" w:sz="4" w:space="0" w:color="auto"/>
            </w:tcBorders>
            <w:shd w:val="clear" w:color="auto" w:fill="auto"/>
            <w:noWrap/>
            <w:vAlign w:val="bottom"/>
            <w:hideMark/>
          </w:tcPr>
          <w:p w14:paraId="4883114B" w14:textId="77777777" w:rsidR="00332E2E" w:rsidRPr="00F42F80" w:rsidRDefault="00332E2E" w:rsidP="00475D06">
            <w:pPr>
              <w:jc w:val="right"/>
              <w:rPr>
                <w:rFonts w:ascii="Lustria" w:hAnsi="Lustria"/>
                <w:color w:val="000000"/>
                <w:sz w:val="22"/>
                <w:szCs w:val="22"/>
                <w:lang w:val="en-ID"/>
              </w:rPr>
            </w:pPr>
            <w:r w:rsidRPr="00F42F80">
              <w:rPr>
                <w:rFonts w:ascii="Lustria" w:hAnsi="Lustria"/>
                <w:color w:val="000000"/>
                <w:sz w:val="22"/>
                <w:szCs w:val="22"/>
                <w:lang w:val="en-ID"/>
              </w:rPr>
              <w:t>6,67%</w:t>
            </w:r>
          </w:p>
        </w:tc>
      </w:tr>
      <w:tr w:rsidR="00332E2E" w:rsidRPr="00F42F80" w14:paraId="2315C338" w14:textId="77777777" w:rsidTr="00332E2E">
        <w:trPr>
          <w:trHeight w:val="58"/>
          <w:jc w:val="center"/>
        </w:trPr>
        <w:tc>
          <w:tcPr>
            <w:tcW w:w="1560" w:type="dxa"/>
            <w:tcBorders>
              <w:top w:val="single" w:sz="4" w:space="0" w:color="auto"/>
              <w:bottom w:val="single" w:sz="4" w:space="0" w:color="auto"/>
            </w:tcBorders>
            <w:shd w:val="clear" w:color="auto" w:fill="auto"/>
            <w:noWrap/>
            <w:vAlign w:val="bottom"/>
            <w:hideMark/>
          </w:tcPr>
          <w:p w14:paraId="68E363D3" w14:textId="77777777" w:rsidR="00332E2E" w:rsidRPr="00F42F80" w:rsidRDefault="00332E2E" w:rsidP="00475D06">
            <w:pPr>
              <w:jc w:val="both"/>
              <w:rPr>
                <w:rFonts w:ascii="Lustria" w:hAnsi="Lustria"/>
                <w:color w:val="000000"/>
                <w:sz w:val="22"/>
                <w:szCs w:val="22"/>
                <w:lang w:val="en-ID"/>
              </w:rPr>
            </w:pPr>
            <w:r w:rsidRPr="00F42F80">
              <w:rPr>
                <w:rFonts w:ascii="Lustria" w:hAnsi="Lustria"/>
                <w:color w:val="000000"/>
                <w:sz w:val="22"/>
                <w:szCs w:val="22"/>
                <w:lang w:val="en-ID"/>
              </w:rPr>
              <w:t>Total</w:t>
            </w:r>
          </w:p>
        </w:tc>
        <w:tc>
          <w:tcPr>
            <w:tcW w:w="714" w:type="dxa"/>
            <w:tcBorders>
              <w:top w:val="single" w:sz="4" w:space="0" w:color="auto"/>
              <w:bottom w:val="single" w:sz="4" w:space="0" w:color="auto"/>
            </w:tcBorders>
            <w:shd w:val="clear" w:color="auto" w:fill="auto"/>
            <w:noWrap/>
            <w:vAlign w:val="bottom"/>
            <w:hideMark/>
          </w:tcPr>
          <w:p w14:paraId="76798272" w14:textId="77777777" w:rsidR="00332E2E" w:rsidRPr="00F42F80" w:rsidRDefault="00332E2E" w:rsidP="00475D06">
            <w:pPr>
              <w:jc w:val="right"/>
              <w:rPr>
                <w:rFonts w:ascii="Lustria" w:hAnsi="Lustria"/>
                <w:color w:val="000000"/>
                <w:sz w:val="22"/>
                <w:szCs w:val="22"/>
                <w:lang w:val="en-ID"/>
              </w:rPr>
            </w:pPr>
            <w:r w:rsidRPr="00F42F80">
              <w:rPr>
                <w:rFonts w:ascii="Lustria" w:hAnsi="Lustria"/>
                <w:color w:val="000000"/>
                <w:sz w:val="22"/>
                <w:szCs w:val="22"/>
                <w:lang w:val="en-ID"/>
              </w:rPr>
              <w:t>105</w:t>
            </w:r>
          </w:p>
        </w:tc>
        <w:tc>
          <w:tcPr>
            <w:tcW w:w="1412" w:type="dxa"/>
            <w:tcBorders>
              <w:top w:val="single" w:sz="4" w:space="0" w:color="auto"/>
              <w:bottom w:val="single" w:sz="4" w:space="0" w:color="auto"/>
            </w:tcBorders>
            <w:shd w:val="clear" w:color="auto" w:fill="auto"/>
            <w:noWrap/>
            <w:vAlign w:val="bottom"/>
            <w:hideMark/>
          </w:tcPr>
          <w:p w14:paraId="2E8E45BA" w14:textId="77777777" w:rsidR="00332E2E" w:rsidRPr="00F42F80" w:rsidRDefault="00332E2E" w:rsidP="00475D06">
            <w:pPr>
              <w:jc w:val="right"/>
              <w:rPr>
                <w:rFonts w:ascii="Lustria" w:hAnsi="Lustria"/>
                <w:color w:val="000000"/>
                <w:sz w:val="22"/>
                <w:szCs w:val="22"/>
                <w:lang w:val="en-ID"/>
              </w:rPr>
            </w:pPr>
            <w:r w:rsidRPr="00F42F80">
              <w:rPr>
                <w:rFonts w:ascii="Lustria" w:hAnsi="Lustria"/>
                <w:color w:val="000000"/>
                <w:sz w:val="22"/>
                <w:szCs w:val="22"/>
                <w:lang w:val="en-ID"/>
              </w:rPr>
              <w:t>100,00%</w:t>
            </w:r>
          </w:p>
        </w:tc>
      </w:tr>
    </w:tbl>
    <w:p w14:paraId="6D329DE0" w14:textId="0BAC0F85" w:rsidR="00332E2E" w:rsidRPr="00F42F80" w:rsidRDefault="00332E2E" w:rsidP="00475D06">
      <w:pPr>
        <w:pBdr>
          <w:top w:val="nil"/>
          <w:left w:val="nil"/>
          <w:bottom w:val="nil"/>
          <w:right w:val="nil"/>
          <w:between w:val="nil"/>
        </w:pBdr>
        <w:jc w:val="both"/>
        <w:rPr>
          <w:rFonts w:ascii="Lustria" w:eastAsia="Lustria" w:hAnsi="Lustria" w:cs="Lustria"/>
          <w:iCs/>
          <w:color w:val="00B0F0"/>
          <w:sz w:val="22"/>
          <w:szCs w:val="22"/>
        </w:rPr>
      </w:pPr>
    </w:p>
    <w:p w14:paraId="33103F26" w14:textId="77777777" w:rsidR="00475D06" w:rsidRPr="00F42F80" w:rsidRDefault="00475D06" w:rsidP="00475D06">
      <w:pPr>
        <w:pStyle w:val="Heading1"/>
        <w:spacing w:line="240" w:lineRule="auto"/>
        <w:ind w:right="4"/>
        <w:jc w:val="left"/>
        <w:rPr>
          <w:rFonts w:ascii="Lustria" w:hAnsi="Lustria"/>
          <w:b w:val="0"/>
          <w:bCs w:val="0"/>
          <w:i/>
          <w:iCs/>
          <w:sz w:val="22"/>
          <w:szCs w:val="22"/>
          <w:lang w:val="en-US"/>
        </w:rPr>
      </w:pPr>
      <w:r w:rsidRPr="00F42F80">
        <w:rPr>
          <w:rFonts w:ascii="Lustria" w:hAnsi="Lustria"/>
          <w:b w:val="0"/>
          <w:bCs w:val="0"/>
          <w:i/>
          <w:iCs/>
          <w:sz w:val="22"/>
          <w:szCs w:val="22"/>
          <w:lang w:val="en-US"/>
        </w:rPr>
        <w:t>Construct Validity</w:t>
      </w:r>
    </w:p>
    <w:p w14:paraId="11535C4A" w14:textId="77777777" w:rsidR="00475D06" w:rsidRPr="00F42F80" w:rsidRDefault="00475D06" w:rsidP="00475D06">
      <w:pPr>
        <w:pStyle w:val="Heading1"/>
        <w:widowControl w:val="0"/>
        <w:autoSpaceDE w:val="0"/>
        <w:autoSpaceDN w:val="0"/>
        <w:spacing w:line="240" w:lineRule="auto"/>
        <w:ind w:right="6"/>
        <w:jc w:val="both"/>
        <w:rPr>
          <w:rFonts w:ascii="Lustria" w:hAnsi="Lustria"/>
          <w:b w:val="0"/>
          <w:bCs w:val="0"/>
          <w:sz w:val="22"/>
          <w:szCs w:val="22"/>
          <w:lang w:val="en-US"/>
        </w:rPr>
      </w:pPr>
      <w:r w:rsidRPr="00F42F80">
        <w:rPr>
          <w:rFonts w:ascii="Lustria" w:hAnsi="Lustria"/>
          <w:b w:val="0"/>
          <w:bCs w:val="0"/>
          <w:sz w:val="22"/>
          <w:szCs w:val="22"/>
          <w:lang w:val="en-US"/>
        </w:rPr>
        <w:t xml:space="preserve">Furthermore, the researchers tested the construct validity by cross-loading to measure convergent validity, Root of AVE and correlation matrix to measure discriminant validity, and Cronbach's Alpha to measure reliability </w:t>
      </w:r>
      <w:r w:rsidRPr="00F42F80">
        <w:rPr>
          <w:rFonts w:ascii="Lustria" w:hAnsi="Lustria"/>
          <w:b w:val="0"/>
          <w:bCs w:val="0"/>
          <w:sz w:val="22"/>
          <w:szCs w:val="22"/>
          <w:lang w:val="en-US"/>
        </w:rPr>
        <w:fldChar w:fldCharType="begin" w:fldLock="1"/>
      </w:r>
      <w:r w:rsidRPr="00F42F80">
        <w:rPr>
          <w:rFonts w:ascii="Lustria" w:hAnsi="Lustria"/>
          <w:b w:val="0"/>
          <w:bCs w:val="0"/>
          <w:sz w:val="22"/>
          <w:szCs w:val="22"/>
          <w:lang w:val="en-US"/>
        </w:rPr>
        <w:instrText>ADDIN CSL_CITATION {"citationItems":[{"id":"ITEM-1","itemData":{"author":[{"dropping-particle":"","family":"Hair","given":"J F","non-dropping-particle":"","parse-names":false,"suffix":""},{"dropping-particle":"","family":"Black","given":"W C","non-dropping-particle":"","parse-names":false,"suffix":""},{"dropping-particle":"","family":"Babin","given":"B J","non-dropping-particle":"","parse-names":false,"suffix":""},{"dropping-particle":"","family":"Anderson","given":"R E","non-dropping-particle":"","parse-names":false,"suffix":""}],"id":"ITEM-1","issued":{"date-parts":[["2009"]]},"publisher":"JOUR","title":"Multivariate Data Analysis 7th Edition Pearson Prentice Hall","type":"article"},"uris":["http://www.mendeley.com/documents/?uuid=fbd24a9e-1d36-4780-b259-4e77bcf784f4"]}],"mendeley":{"formattedCitation":"(Hair et al., 2009)","plainTextFormattedCitation":"(Hair et al., 2009)","previouslyFormattedCitation":"(Hair et al., 2009)"},"properties":{"noteIndex":0},"schema":"https://github.com/citation-style-language/schema/raw/master/csl-citation.json"}</w:instrText>
      </w:r>
      <w:r w:rsidRPr="00F42F80">
        <w:rPr>
          <w:rFonts w:ascii="Lustria" w:hAnsi="Lustria"/>
          <w:b w:val="0"/>
          <w:bCs w:val="0"/>
          <w:sz w:val="22"/>
          <w:szCs w:val="22"/>
          <w:lang w:val="en-US"/>
        </w:rPr>
        <w:fldChar w:fldCharType="separate"/>
      </w:r>
      <w:r w:rsidRPr="00F42F80">
        <w:rPr>
          <w:rFonts w:ascii="Lustria" w:hAnsi="Lustria"/>
          <w:b w:val="0"/>
          <w:bCs w:val="0"/>
          <w:noProof/>
          <w:sz w:val="22"/>
          <w:szCs w:val="22"/>
          <w:lang w:val="en-US"/>
        </w:rPr>
        <w:t>(Hair et al., 2009)</w:t>
      </w:r>
      <w:r w:rsidRPr="00F42F80">
        <w:rPr>
          <w:rFonts w:ascii="Lustria" w:hAnsi="Lustria"/>
          <w:b w:val="0"/>
          <w:bCs w:val="0"/>
          <w:sz w:val="22"/>
          <w:szCs w:val="22"/>
          <w:lang w:val="en-US"/>
        </w:rPr>
        <w:fldChar w:fldCharType="end"/>
      </w:r>
      <w:r w:rsidRPr="00F42F80">
        <w:rPr>
          <w:rFonts w:ascii="Lustria" w:hAnsi="Lustria"/>
          <w:b w:val="0"/>
          <w:bCs w:val="0"/>
          <w:sz w:val="22"/>
          <w:szCs w:val="22"/>
          <w:lang w:val="en-US"/>
        </w:rPr>
        <w:t xml:space="preserve">. The results of cross-loading measurements are presented in Table 2. The cross-loading results show that each loading has a number&gt; 0.7, and no loading has a number above&gt; 0.7 in more than one construct </w:t>
      </w:r>
      <w:r w:rsidRPr="00F42F80">
        <w:rPr>
          <w:rFonts w:ascii="Lustria" w:hAnsi="Lustria"/>
          <w:b w:val="0"/>
          <w:bCs w:val="0"/>
          <w:sz w:val="22"/>
          <w:szCs w:val="22"/>
          <w:lang w:val="en-US"/>
        </w:rPr>
        <w:fldChar w:fldCharType="begin" w:fldLock="1"/>
      </w:r>
      <w:r w:rsidRPr="00F42F80">
        <w:rPr>
          <w:rFonts w:ascii="Lustria" w:hAnsi="Lustria"/>
          <w:b w:val="0"/>
          <w:bCs w:val="0"/>
          <w:sz w:val="22"/>
          <w:szCs w:val="22"/>
          <w:lang w:val="en-US"/>
        </w:rPr>
        <w:instrText>ADDIN CSL_CITATION {"citationItems":[{"id":"ITEM-1","itemData":{"author":[{"dropping-particle":"","family":"Hair","given":"J F","non-dropping-particle":"","parse-names":false,"suffix":""},{"dropping-particle":"","family":"Black","given":"W C","non-dropping-particle":"","parse-names":false,"suffix":""},{"dropping-particle":"","family":"Babin","given":"B J","non-dropping-particle":"","parse-names":false,"suffix":""},{"dropping-particle":"","family":"Anderson","given":"R E","non-dropping-particle":"","parse-names":false,"suffix":""}],"id":"ITEM-1","issued":{"date-parts":[["2009"]]},"publisher":"JOUR","title":"Multivariate Data Analysis 7th Edition Pearson Prentice Hall","type":"article"},"uris":["http://www.mendeley.com/documents/?uuid=fbd24a9e-1d36-4780-b259-4e77bcf784f4"]}],"mendeley":{"formattedCitation":"(Hair et al., 2009)","plainTextFormattedCitation":"(Hair et al., 2009)","previouslyFormattedCitation":"(Hair et al., 2009)"},"properties":{"noteIndex":0},"schema":"https://github.com/citation-style-language/schema/raw/master/csl-citation.json"}</w:instrText>
      </w:r>
      <w:r w:rsidRPr="00F42F80">
        <w:rPr>
          <w:rFonts w:ascii="Lustria" w:hAnsi="Lustria"/>
          <w:b w:val="0"/>
          <w:bCs w:val="0"/>
          <w:sz w:val="22"/>
          <w:szCs w:val="22"/>
          <w:lang w:val="en-US"/>
        </w:rPr>
        <w:fldChar w:fldCharType="separate"/>
      </w:r>
      <w:r w:rsidRPr="00F42F80">
        <w:rPr>
          <w:rFonts w:ascii="Lustria" w:hAnsi="Lustria"/>
          <w:b w:val="0"/>
          <w:bCs w:val="0"/>
          <w:noProof/>
          <w:sz w:val="22"/>
          <w:szCs w:val="22"/>
          <w:lang w:val="en-US"/>
        </w:rPr>
        <w:t>(Hair et al., 2009)</w:t>
      </w:r>
      <w:r w:rsidRPr="00F42F80">
        <w:rPr>
          <w:rFonts w:ascii="Lustria" w:hAnsi="Lustria"/>
          <w:b w:val="0"/>
          <w:bCs w:val="0"/>
          <w:sz w:val="22"/>
          <w:szCs w:val="22"/>
          <w:lang w:val="en-US"/>
        </w:rPr>
        <w:fldChar w:fldCharType="end"/>
      </w:r>
      <w:r w:rsidRPr="00F42F80">
        <w:rPr>
          <w:rFonts w:ascii="Lustria" w:hAnsi="Lustria"/>
          <w:b w:val="0"/>
          <w:bCs w:val="0"/>
          <w:sz w:val="22"/>
          <w:szCs w:val="22"/>
          <w:lang w:val="en-US"/>
        </w:rPr>
        <w:t>. Thus, no measurement items were dropped, and each dimension met convergent validity.</w:t>
      </w:r>
    </w:p>
    <w:p w14:paraId="4608414C" w14:textId="0C0AFF60" w:rsidR="00475D06" w:rsidRPr="00F42F80" w:rsidRDefault="00475D06" w:rsidP="00475D06">
      <w:pPr>
        <w:pStyle w:val="Heading1"/>
        <w:spacing w:line="240" w:lineRule="auto"/>
        <w:ind w:right="6" w:firstLine="720"/>
        <w:jc w:val="both"/>
        <w:rPr>
          <w:rFonts w:ascii="Lustria" w:hAnsi="Lustria"/>
          <w:b w:val="0"/>
          <w:bCs w:val="0"/>
          <w:sz w:val="22"/>
          <w:szCs w:val="22"/>
          <w:lang w:val="en-US"/>
        </w:rPr>
      </w:pPr>
      <w:r w:rsidRPr="00F42F80">
        <w:rPr>
          <w:rFonts w:ascii="Lustria" w:hAnsi="Lustria"/>
          <w:b w:val="0"/>
          <w:bCs w:val="0"/>
          <w:sz w:val="22"/>
          <w:szCs w:val="22"/>
          <w:lang w:val="en-US"/>
        </w:rPr>
        <w:t xml:space="preserve">Convergent validity in this study was carried out by reviewing the factor loading and average variance extracted (AVE) values. Factor loading indicates that all latent constructs must be higher than 0.5 </w:t>
      </w:r>
      <w:r w:rsidRPr="00F42F80">
        <w:rPr>
          <w:rFonts w:ascii="Lustria" w:hAnsi="Lustria"/>
          <w:b w:val="0"/>
          <w:bCs w:val="0"/>
          <w:sz w:val="22"/>
          <w:szCs w:val="22"/>
          <w:lang w:val="en-US"/>
        </w:rPr>
        <w:fldChar w:fldCharType="begin" w:fldLock="1"/>
      </w:r>
      <w:r w:rsidRPr="00F42F80">
        <w:rPr>
          <w:rFonts w:ascii="Lustria" w:hAnsi="Lustria"/>
          <w:b w:val="0"/>
          <w:bCs w:val="0"/>
          <w:sz w:val="22"/>
          <w:szCs w:val="22"/>
          <w:lang w:val="en-US"/>
        </w:rPr>
        <w:instrText>ADDIN CSL_CITATION {"citationItems":[{"id":"ITEM-1","itemData":{"author":[{"dropping-particle":"","family":"Fornell","given":"Claes","non-dropping-particle":"","parse-names":false,"suffix":""},{"dropping-particle":"","family":"Larcker","given":"David F","non-dropping-particle":"","parse-names":false,"suffix":""}],"id":"ITEM-1","issued":{"date-parts":[["1981"]]},"publisher":"Sage Publications Sage CA: Los Angeles, CA","title":"Structural equation models with unobservable variables and measurement error: Algebra and statistics","type":"article"},"uris":["http://www.mendeley.com/documents/?uuid=4364a705-53e6-43db-8261-9a552a340bda"]},{"id":"ITEM-2","itemData":{"author":[{"dropping-particle":"","family":"Hair","given":"J F","non-dropping-particle":"","parse-names":false,"suffix":""},{"dropping-particle":"","family":"Black","given":"W C","non-dropping-particle":"","parse-names":false,"suffix":""},{"dropping-particle":"","family":"Babin","given":"B J","non-dropping-particle":"","parse-names":false,"suffix":""},{"dropping-particle":"","family":"Anderson","given":"R E","non-dropping-particle":"","parse-names":false,"suffix":""}],"id":"ITEM-2","issued":{"date-parts":[["2009"]]},"publisher":"JOUR","title":"Multivariate Data Analysis 7th Edition Pearson Prentice Hall","type":"article"},"uris":["http://www.mendeley.com/documents/?uuid=fbd24a9e-1d36-4780-b259-4e77bcf784f4"]}],"mendeley":{"formattedCitation":"(Fornell &amp; Larcker, 1981; Hair et al., 2009)","plainTextFormattedCitation":"(Fornell &amp; Larcker, 1981; Hair et al., 2009)","previouslyFormattedCitation":"(Fornell &amp; Larcker, 1981; Hair et al., 2009)"},"properties":{"noteIndex":0},"schema":"https://github.com/citation-style-language/schema/raw/master/csl-citation.json"}</w:instrText>
      </w:r>
      <w:r w:rsidRPr="00F42F80">
        <w:rPr>
          <w:rFonts w:ascii="Lustria" w:hAnsi="Lustria"/>
          <w:b w:val="0"/>
          <w:bCs w:val="0"/>
          <w:sz w:val="22"/>
          <w:szCs w:val="22"/>
          <w:lang w:val="en-US"/>
        </w:rPr>
        <w:fldChar w:fldCharType="separate"/>
      </w:r>
      <w:r w:rsidRPr="00F42F80">
        <w:rPr>
          <w:rFonts w:ascii="Lustria" w:hAnsi="Lustria"/>
          <w:b w:val="0"/>
          <w:bCs w:val="0"/>
          <w:noProof/>
          <w:sz w:val="22"/>
          <w:szCs w:val="22"/>
          <w:lang w:val="en-US"/>
        </w:rPr>
        <w:t>(Fornell &amp; Larcker, 1981; Hair et al., 2009)</w:t>
      </w:r>
      <w:r w:rsidRPr="00F42F80">
        <w:rPr>
          <w:rFonts w:ascii="Lustria" w:hAnsi="Lustria"/>
          <w:b w:val="0"/>
          <w:bCs w:val="0"/>
          <w:sz w:val="22"/>
          <w:szCs w:val="22"/>
          <w:lang w:val="en-US"/>
        </w:rPr>
        <w:fldChar w:fldCharType="end"/>
      </w:r>
      <w:r w:rsidRPr="00F42F80">
        <w:rPr>
          <w:rFonts w:ascii="Lustria" w:hAnsi="Lustria"/>
          <w:b w:val="0"/>
          <w:bCs w:val="0"/>
          <w:sz w:val="22"/>
          <w:szCs w:val="22"/>
          <w:lang w:val="en-US"/>
        </w:rPr>
        <w:t>. The results showed that the overall factor loading value was more than 0.50, both in the constructs of Integration, Perceived Usefulness, Perceived Ease of Use, Perceived Enjoyment, Reuse Intention, Student Cohesiveness, and Task Orientation. Besides, this study measures AVE for each construct analyzed. This is to improve statistical conclusions from the results of convergent validity. Hair et al. (2009) argued that if the AVE value was more than 0.50, each construct had good convergent validity. Table 3 shows the AVE results, and it can be seen that each construct has met the convergent validity criteria because the AVE value is more than 0.5.</w:t>
      </w:r>
    </w:p>
    <w:p w14:paraId="45BDE636" w14:textId="586D6102" w:rsidR="00475D06" w:rsidRPr="00F42F80" w:rsidRDefault="00475D06" w:rsidP="00475D06">
      <w:pPr>
        <w:ind w:firstLine="709"/>
        <w:jc w:val="both"/>
        <w:rPr>
          <w:rFonts w:ascii="Lustria" w:hAnsi="Lustria"/>
          <w:sz w:val="22"/>
          <w:szCs w:val="22"/>
        </w:rPr>
      </w:pPr>
      <w:r w:rsidRPr="00F42F80">
        <w:rPr>
          <w:rFonts w:ascii="Lustria" w:hAnsi="Lustria"/>
          <w:sz w:val="22"/>
          <w:szCs w:val="22"/>
        </w:rPr>
        <w:t xml:space="preserve">After obtaining convergent validity, this study tested the discriminant validity, which showed that each construct was completely different from other constructs </w:t>
      </w:r>
      <w:r w:rsidRPr="00F42F80">
        <w:rPr>
          <w:rFonts w:ascii="Lustria" w:hAnsi="Lustria"/>
          <w:sz w:val="22"/>
          <w:szCs w:val="22"/>
        </w:rPr>
        <w:fldChar w:fldCharType="begin" w:fldLock="1"/>
      </w:r>
      <w:r w:rsidRPr="00F42F80">
        <w:rPr>
          <w:rFonts w:ascii="Lustria" w:hAnsi="Lustria"/>
          <w:sz w:val="22"/>
          <w:szCs w:val="22"/>
        </w:rPr>
        <w:instrText>ADDIN CSL_CITATION {"citationItems":[{"id":"ITEM-1","itemData":{"author":[{"dropping-particle":"","family":"Hair","given":"J F","non-dropping-particle":"","parse-names":false,"suffix":""},{"dropping-particle":"","family":"Black","given":"W C","non-dropping-particle":"","parse-names":false,"suffix":""},{"dropping-particle":"","family":"Babin","given":"B J","non-dropping-particle":"","parse-names":false,"suffix":""},{"dropping-particle":"","family":"Anderson","given":"R E","non-dropping-particle":"","parse-names":false,"suffix":""}],"id":"ITEM-1","issued":{"date-parts":[["2009"]]},"publisher":"JOUR","title":"Multivariate Data Analysis 7th Edition Pearson Prentice Hall","type":"article"},"uris":["http://www.mendeley.com/documents/?uuid=fbd24a9e-1d36-4780-b259-4e77bcf784f4"]}],"mendeley":{"formattedCitation":"(Hair et al., 2009)","plainTextFormattedCitation":"(Hair et al., 2009)","previouslyFormattedCitation":"(Hair et al., 2009)"},"properties":{"noteIndex":0},"schema":"https://github.com/citation-style-language/schema/raw/master/csl-citation.json"}</w:instrText>
      </w:r>
      <w:r w:rsidRPr="00F42F80">
        <w:rPr>
          <w:rFonts w:ascii="Lustria" w:hAnsi="Lustria"/>
          <w:sz w:val="22"/>
          <w:szCs w:val="22"/>
        </w:rPr>
        <w:fldChar w:fldCharType="separate"/>
      </w:r>
      <w:r w:rsidRPr="00F42F80">
        <w:rPr>
          <w:rFonts w:ascii="Lustria" w:hAnsi="Lustria"/>
          <w:noProof/>
          <w:sz w:val="22"/>
          <w:szCs w:val="22"/>
        </w:rPr>
        <w:t>(Hair et al., 2009)</w:t>
      </w:r>
      <w:r w:rsidRPr="00F42F80">
        <w:rPr>
          <w:rFonts w:ascii="Lustria" w:hAnsi="Lustria"/>
          <w:sz w:val="22"/>
          <w:szCs w:val="22"/>
        </w:rPr>
        <w:fldChar w:fldCharType="end"/>
      </w:r>
      <w:r w:rsidRPr="00F42F80">
        <w:rPr>
          <w:rFonts w:ascii="Lustria" w:hAnsi="Lustria"/>
          <w:sz w:val="22"/>
          <w:szCs w:val="22"/>
        </w:rPr>
        <w:t xml:space="preserve">. This study does this by observing AVE's root value by entering it diagonally into the correlation matrix and observing whether the AVE number is greater than the correlation value between variables </w:t>
      </w:r>
      <w:r w:rsidRPr="00F42F80">
        <w:rPr>
          <w:rFonts w:ascii="Lustria" w:hAnsi="Lustria"/>
          <w:sz w:val="22"/>
          <w:szCs w:val="22"/>
        </w:rPr>
        <w:lastRenderedPageBreak/>
        <w:t xml:space="preserve">at the bottom position </w:t>
      </w:r>
      <w:r w:rsidRPr="00F42F80">
        <w:rPr>
          <w:rFonts w:ascii="Lustria" w:hAnsi="Lustria"/>
          <w:sz w:val="22"/>
          <w:szCs w:val="22"/>
        </w:rPr>
        <w:fldChar w:fldCharType="begin" w:fldLock="1"/>
      </w:r>
      <w:r w:rsidRPr="00F42F80">
        <w:rPr>
          <w:rFonts w:ascii="Lustria" w:hAnsi="Lustria"/>
          <w:sz w:val="22"/>
          <w:szCs w:val="22"/>
        </w:rPr>
        <w:instrText>ADDIN CSL_CITATION {"citationItems":[{"id":"ITEM-1","itemData":{"author":[{"dropping-particle":"","family":"Hair","given":"J F","non-dropping-particle":"","parse-names":false,"suffix":""},{"dropping-particle":"","family":"Black","given":"W C","non-dropping-particle":"","parse-names":false,"suffix":""},{"dropping-particle":"","family":"Babin","given":"B J","non-dropping-particle":"","parse-names":false,"suffix":""},{"dropping-particle":"","family":"Anderson","given":"R E","non-dropping-particle":"","parse-names":false,"suffix":""}],"id":"ITEM-1","issued":{"date-parts":[["2009"]]},"publisher":"JOUR","title":"Multivariate Data Analysis 7th Edition Pearson Prentice Hall","type":"article"},"uris":["http://www.mendeley.com/documents/?uuid=fbd24a9e-1d36-4780-b259-4e77bcf784f4"]}],"mendeley":{"formattedCitation":"(Hair et al., 2009)","plainTextFormattedCitation":"(Hair et al., 2009)","previouslyFormattedCitation":"(Hair et al., 2009)"},"properties":{"noteIndex":0},"schema":"https://github.com/citation-style-language/schema/raw/master/csl-citation.json"}</w:instrText>
      </w:r>
      <w:r w:rsidRPr="00F42F80">
        <w:rPr>
          <w:rFonts w:ascii="Lustria" w:hAnsi="Lustria"/>
          <w:sz w:val="22"/>
          <w:szCs w:val="22"/>
        </w:rPr>
        <w:fldChar w:fldCharType="separate"/>
      </w:r>
      <w:r w:rsidRPr="00F42F80">
        <w:rPr>
          <w:rFonts w:ascii="Lustria" w:hAnsi="Lustria"/>
          <w:noProof/>
          <w:sz w:val="22"/>
          <w:szCs w:val="22"/>
        </w:rPr>
        <w:t>(Hair et al., 2009)</w:t>
      </w:r>
      <w:r w:rsidRPr="00F42F80">
        <w:rPr>
          <w:rFonts w:ascii="Lustria" w:hAnsi="Lustria"/>
          <w:sz w:val="22"/>
          <w:szCs w:val="22"/>
        </w:rPr>
        <w:fldChar w:fldCharType="end"/>
      </w:r>
      <w:r w:rsidRPr="00F42F80">
        <w:rPr>
          <w:rFonts w:ascii="Lustria" w:hAnsi="Lustria"/>
          <w:sz w:val="22"/>
          <w:szCs w:val="22"/>
        </w:rPr>
        <w:t xml:space="preserve">. Table 3 shows the root AVE values ​​, which are all higher than the correlation coefficient on that side. This condition indicates that each construct has met </w:t>
      </w:r>
      <w:bookmarkStart w:id="5" w:name="_Hlk57051188"/>
      <w:r w:rsidRPr="00F42F80">
        <w:rPr>
          <w:rFonts w:ascii="Lustria" w:hAnsi="Lustria"/>
          <w:sz w:val="22"/>
          <w:szCs w:val="22"/>
        </w:rPr>
        <w:t>the criteria for discriminant validity.</w:t>
      </w:r>
    </w:p>
    <w:p w14:paraId="3816637B" w14:textId="26221AD0" w:rsidR="00475D06" w:rsidRPr="00F42F80" w:rsidRDefault="00475D06" w:rsidP="00752D76">
      <w:pPr>
        <w:jc w:val="both"/>
        <w:rPr>
          <w:rFonts w:ascii="Lustria" w:hAnsi="Lustria"/>
          <w:sz w:val="22"/>
          <w:szCs w:val="22"/>
        </w:rPr>
      </w:pPr>
    </w:p>
    <w:p w14:paraId="703E6E80" w14:textId="472FE2A2" w:rsidR="00752D76" w:rsidRPr="00F42F80" w:rsidRDefault="00752D76" w:rsidP="00752D76">
      <w:pPr>
        <w:jc w:val="both"/>
        <w:rPr>
          <w:rFonts w:ascii="Lustria" w:hAnsi="Lustria"/>
          <w:sz w:val="22"/>
          <w:szCs w:val="22"/>
        </w:rPr>
      </w:pPr>
      <w:r w:rsidRPr="00F42F80">
        <w:rPr>
          <w:rFonts w:ascii="Lustria" w:hAnsi="Lustria"/>
          <w:b/>
          <w:bCs/>
          <w:sz w:val="22"/>
          <w:szCs w:val="22"/>
          <w:lang w:val="en-US"/>
        </w:rPr>
        <w:t xml:space="preserve">Table 2. </w:t>
      </w:r>
      <w:r w:rsidRPr="00F42F80">
        <w:rPr>
          <w:rFonts w:ascii="Lustria" w:hAnsi="Lustria"/>
          <w:sz w:val="22"/>
          <w:szCs w:val="22"/>
          <w:lang w:val="en-US"/>
        </w:rPr>
        <w:t>Loading Factor</w:t>
      </w:r>
    </w:p>
    <w:tbl>
      <w:tblPr>
        <w:tblpPr w:leftFromText="180" w:rightFromText="180" w:vertAnchor="text" w:tblpX="709" w:tblpY="1"/>
        <w:tblOverlap w:val="never"/>
        <w:tblW w:w="7513" w:type="dxa"/>
        <w:tblLayout w:type="fixed"/>
        <w:tblLook w:val="04A0" w:firstRow="1" w:lastRow="0" w:firstColumn="1" w:lastColumn="0" w:noHBand="0" w:noVBand="1"/>
      </w:tblPr>
      <w:tblGrid>
        <w:gridCol w:w="1380"/>
        <w:gridCol w:w="888"/>
        <w:gridCol w:w="851"/>
        <w:gridCol w:w="850"/>
        <w:gridCol w:w="851"/>
        <w:gridCol w:w="850"/>
        <w:gridCol w:w="851"/>
        <w:gridCol w:w="992"/>
      </w:tblGrid>
      <w:tr w:rsidR="00475D06" w:rsidRPr="00F42F80" w14:paraId="0607950C" w14:textId="77777777" w:rsidTr="00752D76">
        <w:trPr>
          <w:trHeight w:val="288"/>
        </w:trPr>
        <w:tc>
          <w:tcPr>
            <w:tcW w:w="1380" w:type="dxa"/>
            <w:tcBorders>
              <w:top w:val="single" w:sz="4" w:space="0" w:color="auto"/>
              <w:left w:val="nil"/>
              <w:bottom w:val="single" w:sz="4" w:space="0" w:color="auto"/>
              <w:right w:val="nil"/>
            </w:tcBorders>
            <w:shd w:val="clear" w:color="000000" w:fill="FFFFFF"/>
            <w:noWrap/>
            <w:vAlign w:val="center"/>
            <w:hideMark/>
          </w:tcPr>
          <w:p w14:paraId="691C924F" w14:textId="5682A5F1" w:rsidR="00475D06" w:rsidRPr="00F42F80" w:rsidRDefault="00475D06" w:rsidP="00752D76">
            <w:pPr>
              <w:jc w:val="both"/>
              <w:rPr>
                <w:rFonts w:ascii="Lustria" w:eastAsia="Calibri" w:hAnsi="Lustria"/>
                <w:color w:val="000000"/>
                <w:sz w:val="22"/>
                <w:szCs w:val="22"/>
                <w:lang w:val="en-ID"/>
              </w:rPr>
            </w:pPr>
          </w:p>
        </w:tc>
        <w:tc>
          <w:tcPr>
            <w:tcW w:w="888" w:type="dxa"/>
            <w:tcBorders>
              <w:top w:val="single" w:sz="4" w:space="0" w:color="auto"/>
              <w:left w:val="nil"/>
              <w:bottom w:val="single" w:sz="4" w:space="0" w:color="auto"/>
              <w:right w:val="nil"/>
            </w:tcBorders>
            <w:shd w:val="clear" w:color="000000" w:fill="FFFFFF"/>
            <w:noWrap/>
            <w:vAlign w:val="center"/>
            <w:hideMark/>
          </w:tcPr>
          <w:p w14:paraId="0825D870" w14:textId="1EF26E16" w:rsidR="00475D06" w:rsidRPr="00F42F80" w:rsidRDefault="00752D76" w:rsidP="00752D76">
            <w:pPr>
              <w:jc w:val="center"/>
              <w:rPr>
                <w:rFonts w:ascii="Lustria" w:eastAsia="Calibri" w:hAnsi="Lustria"/>
                <w:color w:val="000000"/>
                <w:sz w:val="22"/>
                <w:szCs w:val="22"/>
                <w:lang w:val="en-ID"/>
              </w:rPr>
            </w:pPr>
            <w:r w:rsidRPr="00F42F80">
              <w:rPr>
                <w:rFonts w:ascii="Lustria" w:eastAsia="Calibri" w:hAnsi="Lustria"/>
                <w:color w:val="000000"/>
                <w:sz w:val="22"/>
                <w:szCs w:val="22"/>
                <w:lang w:val="en-ID"/>
              </w:rPr>
              <w:t>INT</w:t>
            </w:r>
          </w:p>
        </w:tc>
        <w:tc>
          <w:tcPr>
            <w:tcW w:w="851" w:type="dxa"/>
            <w:tcBorders>
              <w:top w:val="single" w:sz="4" w:space="0" w:color="auto"/>
              <w:left w:val="nil"/>
              <w:bottom w:val="single" w:sz="4" w:space="0" w:color="auto"/>
              <w:right w:val="nil"/>
            </w:tcBorders>
            <w:shd w:val="clear" w:color="000000" w:fill="FFFFFF"/>
            <w:noWrap/>
            <w:vAlign w:val="center"/>
            <w:hideMark/>
          </w:tcPr>
          <w:p w14:paraId="2EECFE34" w14:textId="600C0667" w:rsidR="00475D06" w:rsidRPr="00F42F80" w:rsidRDefault="00752D76" w:rsidP="00752D76">
            <w:pPr>
              <w:jc w:val="center"/>
              <w:rPr>
                <w:rFonts w:ascii="Lustria" w:eastAsia="Calibri" w:hAnsi="Lustria"/>
                <w:color w:val="000000"/>
                <w:sz w:val="22"/>
                <w:szCs w:val="22"/>
                <w:lang w:val="en-ID"/>
              </w:rPr>
            </w:pPr>
            <w:r w:rsidRPr="00F42F80">
              <w:rPr>
                <w:rFonts w:ascii="Lustria" w:eastAsia="Calibri" w:hAnsi="Lustria"/>
                <w:color w:val="000000"/>
                <w:sz w:val="22"/>
                <w:szCs w:val="22"/>
                <w:lang w:val="en-ID"/>
              </w:rPr>
              <w:t>PU</w:t>
            </w:r>
          </w:p>
        </w:tc>
        <w:tc>
          <w:tcPr>
            <w:tcW w:w="850" w:type="dxa"/>
            <w:tcBorders>
              <w:top w:val="single" w:sz="4" w:space="0" w:color="auto"/>
              <w:left w:val="nil"/>
              <w:bottom w:val="single" w:sz="4" w:space="0" w:color="auto"/>
              <w:right w:val="nil"/>
            </w:tcBorders>
            <w:shd w:val="clear" w:color="000000" w:fill="FFFFFF"/>
            <w:noWrap/>
            <w:vAlign w:val="center"/>
            <w:hideMark/>
          </w:tcPr>
          <w:p w14:paraId="54E0EF99" w14:textId="098DF91C" w:rsidR="00475D06" w:rsidRPr="00F42F80" w:rsidRDefault="00752D76" w:rsidP="00752D76">
            <w:pPr>
              <w:jc w:val="center"/>
              <w:rPr>
                <w:rFonts w:ascii="Lustria" w:eastAsia="Calibri" w:hAnsi="Lustria"/>
                <w:color w:val="000000"/>
                <w:sz w:val="22"/>
                <w:szCs w:val="22"/>
                <w:lang w:val="en-ID"/>
              </w:rPr>
            </w:pPr>
            <w:r w:rsidRPr="00F42F80">
              <w:rPr>
                <w:rFonts w:ascii="Lustria" w:eastAsia="Calibri" w:hAnsi="Lustria"/>
                <w:color w:val="000000"/>
                <w:sz w:val="22"/>
                <w:szCs w:val="22"/>
                <w:lang w:val="en-ID"/>
              </w:rPr>
              <w:t>PEU</w:t>
            </w:r>
          </w:p>
        </w:tc>
        <w:tc>
          <w:tcPr>
            <w:tcW w:w="851" w:type="dxa"/>
            <w:tcBorders>
              <w:top w:val="single" w:sz="4" w:space="0" w:color="auto"/>
              <w:left w:val="nil"/>
              <w:bottom w:val="single" w:sz="4" w:space="0" w:color="auto"/>
              <w:right w:val="nil"/>
            </w:tcBorders>
            <w:shd w:val="clear" w:color="000000" w:fill="FFFFFF"/>
            <w:noWrap/>
            <w:vAlign w:val="center"/>
            <w:hideMark/>
          </w:tcPr>
          <w:p w14:paraId="5454B133" w14:textId="2C95B10C" w:rsidR="00475D06" w:rsidRPr="00F42F80" w:rsidRDefault="00752D76" w:rsidP="00752D76">
            <w:pPr>
              <w:jc w:val="center"/>
              <w:rPr>
                <w:rFonts w:ascii="Lustria" w:eastAsia="Calibri" w:hAnsi="Lustria"/>
                <w:color w:val="000000"/>
                <w:sz w:val="22"/>
                <w:szCs w:val="22"/>
                <w:lang w:val="en-ID"/>
              </w:rPr>
            </w:pPr>
            <w:r w:rsidRPr="00F42F80">
              <w:rPr>
                <w:rFonts w:ascii="Lustria" w:eastAsia="Calibri" w:hAnsi="Lustria"/>
                <w:color w:val="000000"/>
                <w:sz w:val="22"/>
                <w:szCs w:val="22"/>
                <w:lang w:val="en-ID"/>
              </w:rPr>
              <w:t>PE</w:t>
            </w:r>
          </w:p>
        </w:tc>
        <w:tc>
          <w:tcPr>
            <w:tcW w:w="850" w:type="dxa"/>
            <w:tcBorders>
              <w:top w:val="single" w:sz="4" w:space="0" w:color="auto"/>
              <w:left w:val="nil"/>
              <w:bottom w:val="single" w:sz="4" w:space="0" w:color="auto"/>
              <w:right w:val="nil"/>
            </w:tcBorders>
            <w:shd w:val="clear" w:color="000000" w:fill="FFFFFF"/>
            <w:noWrap/>
            <w:vAlign w:val="center"/>
            <w:hideMark/>
          </w:tcPr>
          <w:p w14:paraId="501ECB97" w14:textId="37EF8B02" w:rsidR="00475D06" w:rsidRPr="00F42F80" w:rsidRDefault="00752D76" w:rsidP="00752D76">
            <w:pPr>
              <w:jc w:val="center"/>
              <w:rPr>
                <w:rFonts w:ascii="Lustria" w:eastAsia="Calibri" w:hAnsi="Lustria"/>
                <w:color w:val="000000"/>
                <w:sz w:val="22"/>
                <w:szCs w:val="22"/>
                <w:lang w:val="en-ID"/>
              </w:rPr>
            </w:pPr>
            <w:r w:rsidRPr="00F42F80">
              <w:rPr>
                <w:rFonts w:ascii="Lustria" w:eastAsia="Calibri" w:hAnsi="Lustria"/>
                <w:color w:val="000000"/>
                <w:sz w:val="22"/>
                <w:szCs w:val="22"/>
                <w:lang w:val="en-ID"/>
              </w:rPr>
              <w:t>RI</w:t>
            </w:r>
          </w:p>
        </w:tc>
        <w:tc>
          <w:tcPr>
            <w:tcW w:w="851" w:type="dxa"/>
            <w:tcBorders>
              <w:top w:val="single" w:sz="4" w:space="0" w:color="auto"/>
              <w:left w:val="nil"/>
              <w:bottom w:val="single" w:sz="4" w:space="0" w:color="auto"/>
              <w:right w:val="nil"/>
            </w:tcBorders>
            <w:shd w:val="clear" w:color="000000" w:fill="FFFFFF"/>
            <w:noWrap/>
            <w:vAlign w:val="center"/>
            <w:hideMark/>
          </w:tcPr>
          <w:p w14:paraId="4875466F" w14:textId="17823838" w:rsidR="00475D06" w:rsidRPr="00F42F80" w:rsidRDefault="00752D76" w:rsidP="00752D76">
            <w:pPr>
              <w:jc w:val="center"/>
              <w:rPr>
                <w:rFonts w:ascii="Lustria" w:eastAsia="Calibri" w:hAnsi="Lustria"/>
                <w:color w:val="000000"/>
                <w:sz w:val="22"/>
                <w:szCs w:val="22"/>
                <w:lang w:val="en-ID"/>
              </w:rPr>
            </w:pPr>
            <w:r w:rsidRPr="00F42F80">
              <w:rPr>
                <w:rFonts w:ascii="Lustria" w:eastAsia="Calibri" w:hAnsi="Lustria"/>
                <w:color w:val="000000"/>
                <w:sz w:val="22"/>
                <w:szCs w:val="22"/>
                <w:lang w:val="en-ID"/>
              </w:rPr>
              <w:t>SC</w:t>
            </w:r>
          </w:p>
        </w:tc>
        <w:tc>
          <w:tcPr>
            <w:tcW w:w="992" w:type="dxa"/>
            <w:tcBorders>
              <w:top w:val="single" w:sz="4" w:space="0" w:color="auto"/>
              <w:left w:val="nil"/>
              <w:bottom w:val="single" w:sz="4" w:space="0" w:color="auto"/>
              <w:right w:val="nil"/>
            </w:tcBorders>
            <w:shd w:val="clear" w:color="000000" w:fill="FFFFFF"/>
            <w:noWrap/>
            <w:vAlign w:val="center"/>
            <w:hideMark/>
          </w:tcPr>
          <w:p w14:paraId="561BDD59" w14:textId="3CD8A2BD" w:rsidR="00475D06" w:rsidRPr="00F42F80" w:rsidRDefault="00752D76" w:rsidP="00752D76">
            <w:pPr>
              <w:jc w:val="center"/>
              <w:rPr>
                <w:rFonts w:ascii="Lustria" w:eastAsia="Calibri" w:hAnsi="Lustria"/>
                <w:color w:val="000000"/>
                <w:sz w:val="22"/>
                <w:szCs w:val="22"/>
                <w:lang w:val="en-ID"/>
              </w:rPr>
            </w:pPr>
            <w:r w:rsidRPr="00F42F80">
              <w:rPr>
                <w:rFonts w:ascii="Lustria" w:eastAsia="Calibri" w:hAnsi="Lustria"/>
                <w:color w:val="000000"/>
                <w:sz w:val="22"/>
                <w:szCs w:val="22"/>
                <w:lang w:val="en-ID"/>
              </w:rPr>
              <w:t>TO</w:t>
            </w:r>
          </w:p>
        </w:tc>
      </w:tr>
      <w:tr w:rsidR="00475D06" w:rsidRPr="00F42F80" w14:paraId="0814802C" w14:textId="77777777" w:rsidTr="00752D76">
        <w:trPr>
          <w:trHeight w:val="288"/>
        </w:trPr>
        <w:tc>
          <w:tcPr>
            <w:tcW w:w="1380" w:type="dxa"/>
            <w:tcBorders>
              <w:top w:val="single" w:sz="4" w:space="0" w:color="auto"/>
              <w:left w:val="nil"/>
              <w:bottom w:val="nil"/>
              <w:right w:val="nil"/>
            </w:tcBorders>
            <w:shd w:val="clear" w:color="000000" w:fill="FFFFFF"/>
            <w:noWrap/>
            <w:vAlign w:val="center"/>
            <w:hideMark/>
          </w:tcPr>
          <w:p w14:paraId="6BEDAE8B"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INT1</w:t>
            </w:r>
          </w:p>
        </w:tc>
        <w:tc>
          <w:tcPr>
            <w:tcW w:w="888" w:type="dxa"/>
            <w:tcBorders>
              <w:top w:val="single" w:sz="4" w:space="0" w:color="auto"/>
              <w:left w:val="nil"/>
              <w:bottom w:val="nil"/>
              <w:right w:val="nil"/>
            </w:tcBorders>
            <w:shd w:val="clear" w:color="000000" w:fill="FFFFFF"/>
            <w:noWrap/>
            <w:vAlign w:val="center"/>
            <w:hideMark/>
          </w:tcPr>
          <w:p w14:paraId="184E0BC0"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0,809</w:t>
            </w:r>
          </w:p>
        </w:tc>
        <w:tc>
          <w:tcPr>
            <w:tcW w:w="851" w:type="dxa"/>
            <w:tcBorders>
              <w:top w:val="single" w:sz="4" w:space="0" w:color="auto"/>
              <w:left w:val="nil"/>
              <w:bottom w:val="nil"/>
              <w:right w:val="nil"/>
            </w:tcBorders>
            <w:shd w:val="clear" w:color="000000" w:fill="FFFFFF"/>
            <w:noWrap/>
            <w:vAlign w:val="center"/>
            <w:hideMark/>
          </w:tcPr>
          <w:p w14:paraId="052584F8"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single" w:sz="4" w:space="0" w:color="auto"/>
              <w:left w:val="nil"/>
              <w:bottom w:val="nil"/>
              <w:right w:val="nil"/>
            </w:tcBorders>
            <w:shd w:val="clear" w:color="000000" w:fill="FFFFFF"/>
            <w:noWrap/>
            <w:vAlign w:val="center"/>
            <w:hideMark/>
          </w:tcPr>
          <w:p w14:paraId="0B6AC4C3"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single" w:sz="4" w:space="0" w:color="auto"/>
              <w:left w:val="nil"/>
              <w:bottom w:val="nil"/>
              <w:right w:val="nil"/>
            </w:tcBorders>
            <w:shd w:val="clear" w:color="000000" w:fill="FFFFFF"/>
            <w:noWrap/>
            <w:vAlign w:val="center"/>
            <w:hideMark/>
          </w:tcPr>
          <w:p w14:paraId="1A0B15D4"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single" w:sz="4" w:space="0" w:color="auto"/>
              <w:left w:val="nil"/>
              <w:bottom w:val="nil"/>
              <w:right w:val="nil"/>
            </w:tcBorders>
            <w:shd w:val="clear" w:color="000000" w:fill="FFFFFF"/>
            <w:noWrap/>
            <w:vAlign w:val="center"/>
            <w:hideMark/>
          </w:tcPr>
          <w:p w14:paraId="36512734"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single" w:sz="4" w:space="0" w:color="auto"/>
              <w:left w:val="nil"/>
              <w:bottom w:val="nil"/>
              <w:right w:val="nil"/>
            </w:tcBorders>
            <w:shd w:val="clear" w:color="000000" w:fill="FFFFFF"/>
            <w:noWrap/>
            <w:vAlign w:val="center"/>
            <w:hideMark/>
          </w:tcPr>
          <w:p w14:paraId="6259D0C7"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single" w:sz="4" w:space="0" w:color="auto"/>
              <w:left w:val="nil"/>
              <w:bottom w:val="nil"/>
              <w:right w:val="nil"/>
            </w:tcBorders>
            <w:shd w:val="clear" w:color="000000" w:fill="FFFFFF"/>
            <w:noWrap/>
            <w:vAlign w:val="center"/>
            <w:hideMark/>
          </w:tcPr>
          <w:p w14:paraId="2AAB48CC"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42A4EBD8" w14:textId="77777777" w:rsidTr="00752D76">
        <w:trPr>
          <w:trHeight w:val="288"/>
        </w:trPr>
        <w:tc>
          <w:tcPr>
            <w:tcW w:w="1380" w:type="dxa"/>
            <w:tcBorders>
              <w:top w:val="nil"/>
              <w:left w:val="nil"/>
              <w:bottom w:val="nil"/>
              <w:right w:val="nil"/>
            </w:tcBorders>
            <w:shd w:val="clear" w:color="000000" w:fill="FFFFFF"/>
            <w:noWrap/>
            <w:vAlign w:val="center"/>
            <w:hideMark/>
          </w:tcPr>
          <w:p w14:paraId="1585C518"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INT2</w:t>
            </w:r>
          </w:p>
        </w:tc>
        <w:tc>
          <w:tcPr>
            <w:tcW w:w="888" w:type="dxa"/>
            <w:tcBorders>
              <w:top w:val="nil"/>
              <w:left w:val="nil"/>
              <w:bottom w:val="nil"/>
              <w:right w:val="nil"/>
            </w:tcBorders>
            <w:shd w:val="clear" w:color="000000" w:fill="FFFFFF"/>
            <w:noWrap/>
            <w:vAlign w:val="center"/>
            <w:hideMark/>
          </w:tcPr>
          <w:p w14:paraId="47E6EA88"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0,835</w:t>
            </w:r>
          </w:p>
        </w:tc>
        <w:tc>
          <w:tcPr>
            <w:tcW w:w="851" w:type="dxa"/>
            <w:tcBorders>
              <w:top w:val="nil"/>
              <w:left w:val="nil"/>
              <w:bottom w:val="nil"/>
              <w:right w:val="nil"/>
            </w:tcBorders>
            <w:shd w:val="clear" w:color="000000" w:fill="FFFFFF"/>
            <w:noWrap/>
            <w:vAlign w:val="center"/>
            <w:hideMark/>
          </w:tcPr>
          <w:p w14:paraId="00C041D2"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6AA9C3AB"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0DC461AC"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41E3CDAA"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5B55C5DA"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nil"/>
              <w:right w:val="nil"/>
            </w:tcBorders>
            <w:shd w:val="clear" w:color="000000" w:fill="FFFFFF"/>
            <w:noWrap/>
            <w:vAlign w:val="center"/>
            <w:hideMark/>
          </w:tcPr>
          <w:p w14:paraId="049426E6"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46C419FC" w14:textId="77777777" w:rsidTr="00752D76">
        <w:trPr>
          <w:trHeight w:val="288"/>
        </w:trPr>
        <w:tc>
          <w:tcPr>
            <w:tcW w:w="1380" w:type="dxa"/>
            <w:tcBorders>
              <w:top w:val="nil"/>
              <w:left w:val="nil"/>
              <w:bottom w:val="nil"/>
              <w:right w:val="nil"/>
            </w:tcBorders>
            <w:shd w:val="clear" w:color="000000" w:fill="FFFFFF"/>
            <w:noWrap/>
            <w:vAlign w:val="center"/>
            <w:hideMark/>
          </w:tcPr>
          <w:p w14:paraId="4BF89057"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INT3</w:t>
            </w:r>
          </w:p>
        </w:tc>
        <w:tc>
          <w:tcPr>
            <w:tcW w:w="888" w:type="dxa"/>
            <w:tcBorders>
              <w:top w:val="nil"/>
              <w:left w:val="nil"/>
              <w:bottom w:val="nil"/>
              <w:right w:val="nil"/>
            </w:tcBorders>
            <w:shd w:val="clear" w:color="000000" w:fill="FFFFFF"/>
            <w:noWrap/>
            <w:vAlign w:val="center"/>
            <w:hideMark/>
          </w:tcPr>
          <w:p w14:paraId="19C62F67"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0,866</w:t>
            </w:r>
          </w:p>
        </w:tc>
        <w:tc>
          <w:tcPr>
            <w:tcW w:w="851" w:type="dxa"/>
            <w:tcBorders>
              <w:top w:val="nil"/>
              <w:left w:val="nil"/>
              <w:bottom w:val="nil"/>
              <w:right w:val="nil"/>
            </w:tcBorders>
            <w:shd w:val="clear" w:color="000000" w:fill="FFFFFF"/>
            <w:noWrap/>
            <w:vAlign w:val="center"/>
            <w:hideMark/>
          </w:tcPr>
          <w:p w14:paraId="63153511"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3FA1C549"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3C1A61E1"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5B29BED7"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6B8B3098"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nil"/>
              <w:right w:val="nil"/>
            </w:tcBorders>
            <w:shd w:val="clear" w:color="000000" w:fill="FFFFFF"/>
            <w:noWrap/>
            <w:vAlign w:val="center"/>
            <w:hideMark/>
          </w:tcPr>
          <w:p w14:paraId="55D42609"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7FEF7C74" w14:textId="77777777" w:rsidTr="00752D76">
        <w:trPr>
          <w:trHeight w:val="288"/>
        </w:trPr>
        <w:tc>
          <w:tcPr>
            <w:tcW w:w="1380" w:type="dxa"/>
            <w:tcBorders>
              <w:top w:val="nil"/>
              <w:left w:val="nil"/>
              <w:bottom w:val="nil"/>
              <w:right w:val="nil"/>
            </w:tcBorders>
            <w:shd w:val="clear" w:color="000000" w:fill="FFFFFF"/>
            <w:noWrap/>
            <w:vAlign w:val="center"/>
            <w:hideMark/>
          </w:tcPr>
          <w:p w14:paraId="6C25B5E8"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INT4</w:t>
            </w:r>
          </w:p>
        </w:tc>
        <w:tc>
          <w:tcPr>
            <w:tcW w:w="888" w:type="dxa"/>
            <w:tcBorders>
              <w:top w:val="nil"/>
              <w:left w:val="nil"/>
              <w:bottom w:val="nil"/>
              <w:right w:val="nil"/>
            </w:tcBorders>
            <w:shd w:val="clear" w:color="000000" w:fill="FFFFFF"/>
            <w:noWrap/>
            <w:vAlign w:val="center"/>
            <w:hideMark/>
          </w:tcPr>
          <w:p w14:paraId="7DC06B8E"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0,855</w:t>
            </w:r>
          </w:p>
        </w:tc>
        <w:tc>
          <w:tcPr>
            <w:tcW w:w="851" w:type="dxa"/>
            <w:tcBorders>
              <w:top w:val="nil"/>
              <w:left w:val="nil"/>
              <w:bottom w:val="nil"/>
              <w:right w:val="nil"/>
            </w:tcBorders>
            <w:shd w:val="clear" w:color="000000" w:fill="FFFFFF"/>
            <w:noWrap/>
            <w:vAlign w:val="center"/>
            <w:hideMark/>
          </w:tcPr>
          <w:p w14:paraId="59EB248A"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2CE5A903"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01919AA1"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49E5D15A"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109D52C0"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nil"/>
              <w:right w:val="nil"/>
            </w:tcBorders>
            <w:shd w:val="clear" w:color="000000" w:fill="FFFFFF"/>
            <w:noWrap/>
            <w:vAlign w:val="center"/>
            <w:hideMark/>
          </w:tcPr>
          <w:p w14:paraId="7E7C41A6"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3E11314B" w14:textId="77777777" w:rsidTr="00752D76">
        <w:trPr>
          <w:trHeight w:val="288"/>
        </w:trPr>
        <w:tc>
          <w:tcPr>
            <w:tcW w:w="1380" w:type="dxa"/>
            <w:tcBorders>
              <w:top w:val="nil"/>
              <w:left w:val="nil"/>
              <w:bottom w:val="single" w:sz="4" w:space="0" w:color="auto"/>
              <w:right w:val="nil"/>
            </w:tcBorders>
            <w:shd w:val="clear" w:color="000000" w:fill="FFFFFF"/>
            <w:noWrap/>
            <w:vAlign w:val="center"/>
            <w:hideMark/>
          </w:tcPr>
          <w:p w14:paraId="218677C9"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INT5</w:t>
            </w:r>
          </w:p>
        </w:tc>
        <w:tc>
          <w:tcPr>
            <w:tcW w:w="888" w:type="dxa"/>
            <w:tcBorders>
              <w:top w:val="nil"/>
              <w:left w:val="nil"/>
              <w:bottom w:val="single" w:sz="4" w:space="0" w:color="auto"/>
              <w:right w:val="nil"/>
            </w:tcBorders>
            <w:shd w:val="clear" w:color="000000" w:fill="FFFFFF"/>
            <w:noWrap/>
            <w:vAlign w:val="center"/>
            <w:hideMark/>
          </w:tcPr>
          <w:p w14:paraId="3EAE276C"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0,875</w:t>
            </w:r>
          </w:p>
        </w:tc>
        <w:tc>
          <w:tcPr>
            <w:tcW w:w="851" w:type="dxa"/>
            <w:tcBorders>
              <w:top w:val="nil"/>
              <w:left w:val="nil"/>
              <w:bottom w:val="single" w:sz="4" w:space="0" w:color="auto"/>
              <w:right w:val="nil"/>
            </w:tcBorders>
            <w:shd w:val="clear" w:color="000000" w:fill="FFFFFF"/>
            <w:noWrap/>
            <w:vAlign w:val="center"/>
            <w:hideMark/>
          </w:tcPr>
          <w:p w14:paraId="3A2B2610"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single" w:sz="4" w:space="0" w:color="auto"/>
              <w:right w:val="nil"/>
            </w:tcBorders>
            <w:shd w:val="clear" w:color="000000" w:fill="FFFFFF"/>
            <w:noWrap/>
            <w:vAlign w:val="center"/>
            <w:hideMark/>
          </w:tcPr>
          <w:p w14:paraId="246006C3"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single" w:sz="4" w:space="0" w:color="auto"/>
              <w:right w:val="nil"/>
            </w:tcBorders>
            <w:shd w:val="clear" w:color="000000" w:fill="FFFFFF"/>
            <w:noWrap/>
            <w:vAlign w:val="center"/>
            <w:hideMark/>
          </w:tcPr>
          <w:p w14:paraId="12F01D3E"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single" w:sz="4" w:space="0" w:color="auto"/>
              <w:right w:val="nil"/>
            </w:tcBorders>
            <w:shd w:val="clear" w:color="000000" w:fill="FFFFFF"/>
            <w:noWrap/>
            <w:vAlign w:val="center"/>
            <w:hideMark/>
          </w:tcPr>
          <w:p w14:paraId="209E820E"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single" w:sz="4" w:space="0" w:color="auto"/>
              <w:right w:val="nil"/>
            </w:tcBorders>
            <w:shd w:val="clear" w:color="000000" w:fill="FFFFFF"/>
            <w:noWrap/>
            <w:vAlign w:val="center"/>
            <w:hideMark/>
          </w:tcPr>
          <w:p w14:paraId="7BF02534"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single" w:sz="4" w:space="0" w:color="auto"/>
              <w:right w:val="nil"/>
            </w:tcBorders>
            <w:shd w:val="clear" w:color="000000" w:fill="FFFFFF"/>
            <w:noWrap/>
            <w:vAlign w:val="center"/>
            <w:hideMark/>
          </w:tcPr>
          <w:p w14:paraId="46D03F17"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24A9908B" w14:textId="77777777" w:rsidTr="00752D76">
        <w:trPr>
          <w:trHeight w:val="288"/>
        </w:trPr>
        <w:tc>
          <w:tcPr>
            <w:tcW w:w="1380" w:type="dxa"/>
            <w:tcBorders>
              <w:top w:val="single" w:sz="4" w:space="0" w:color="auto"/>
              <w:left w:val="nil"/>
              <w:bottom w:val="nil"/>
              <w:right w:val="nil"/>
            </w:tcBorders>
            <w:shd w:val="clear" w:color="000000" w:fill="FFFFFF"/>
            <w:noWrap/>
            <w:vAlign w:val="center"/>
            <w:hideMark/>
          </w:tcPr>
          <w:p w14:paraId="349CDF37"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PE1</w:t>
            </w:r>
          </w:p>
        </w:tc>
        <w:tc>
          <w:tcPr>
            <w:tcW w:w="888" w:type="dxa"/>
            <w:tcBorders>
              <w:top w:val="single" w:sz="4" w:space="0" w:color="auto"/>
              <w:left w:val="nil"/>
              <w:bottom w:val="nil"/>
              <w:right w:val="nil"/>
            </w:tcBorders>
            <w:shd w:val="clear" w:color="000000" w:fill="FFFFFF"/>
            <w:noWrap/>
            <w:vAlign w:val="center"/>
            <w:hideMark/>
          </w:tcPr>
          <w:p w14:paraId="012C1A13"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single" w:sz="4" w:space="0" w:color="auto"/>
              <w:left w:val="nil"/>
              <w:bottom w:val="nil"/>
              <w:right w:val="nil"/>
            </w:tcBorders>
            <w:shd w:val="clear" w:color="000000" w:fill="FFFFFF"/>
            <w:noWrap/>
            <w:vAlign w:val="center"/>
            <w:hideMark/>
          </w:tcPr>
          <w:p w14:paraId="13F0FD42"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single" w:sz="4" w:space="0" w:color="auto"/>
              <w:left w:val="nil"/>
              <w:bottom w:val="nil"/>
              <w:right w:val="nil"/>
            </w:tcBorders>
            <w:shd w:val="clear" w:color="000000" w:fill="FFFFFF"/>
            <w:noWrap/>
            <w:vAlign w:val="center"/>
            <w:hideMark/>
          </w:tcPr>
          <w:p w14:paraId="1F3082DA"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single" w:sz="4" w:space="0" w:color="auto"/>
              <w:left w:val="nil"/>
              <w:bottom w:val="nil"/>
              <w:right w:val="nil"/>
            </w:tcBorders>
            <w:shd w:val="clear" w:color="000000" w:fill="FFFFFF"/>
            <w:noWrap/>
            <w:vAlign w:val="center"/>
            <w:hideMark/>
          </w:tcPr>
          <w:p w14:paraId="2318BB2D"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0,877</w:t>
            </w:r>
          </w:p>
        </w:tc>
        <w:tc>
          <w:tcPr>
            <w:tcW w:w="850" w:type="dxa"/>
            <w:tcBorders>
              <w:top w:val="single" w:sz="4" w:space="0" w:color="auto"/>
              <w:left w:val="nil"/>
              <w:bottom w:val="nil"/>
              <w:right w:val="nil"/>
            </w:tcBorders>
            <w:shd w:val="clear" w:color="000000" w:fill="FFFFFF"/>
            <w:noWrap/>
            <w:vAlign w:val="center"/>
            <w:hideMark/>
          </w:tcPr>
          <w:p w14:paraId="06D1849B"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single" w:sz="4" w:space="0" w:color="auto"/>
              <w:left w:val="nil"/>
              <w:bottom w:val="nil"/>
              <w:right w:val="nil"/>
            </w:tcBorders>
            <w:shd w:val="clear" w:color="000000" w:fill="FFFFFF"/>
            <w:noWrap/>
            <w:vAlign w:val="center"/>
            <w:hideMark/>
          </w:tcPr>
          <w:p w14:paraId="2ED8E293"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single" w:sz="4" w:space="0" w:color="auto"/>
              <w:left w:val="nil"/>
              <w:bottom w:val="nil"/>
              <w:right w:val="nil"/>
            </w:tcBorders>
            <w:shd w:val="clear" w:color="000000" w:fill="FFFFFF"/>
            <w:noWrap/>
            <w:vAlign w:val="center"/>
            <w:hideMark/>
          </w:tcPr>
          <w:p w14:paraId="5178DC55"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6622D355" w14:textId="77777777" w:rsidTr="00752D76">
        <w:trPr>
          <w:trHeight w:val="288"/>
        </w:trPr>
        <w:tc>
          <w:tcPr>
            <w:tcW w:w="1380" w:type="dxa"/>
            <w:tcBorders>
              <w:top w:val="nil"/>
              <w:left w:val="nil"/>
              <w:bottom w:val="nil"/>
              <w:right w:val="nil"/>
            </w:tcBorders>
            <w:shd w:val="clear" w:color="000000" w:fill="FFFFFF"/>
            <w:noWrap/>
            <w:vAlign w:val="center"/>
            <w:hideMark/>
          </w:tcPr>
          <w:p w14:paraId="181AF69F"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PE2</w:t>
            </w:r>
          </w:p>
        </w:tc>
        <w:tc>
          <w:tcPr>
            <w:tcW w:w="888" w:type="dxa"/>
            <w:tcBorders>
              <w:top w:val="nil"/>
              <w:left w:val="nil"/>
              <w:bottom w:val="nil"/>
              <w:right w:val="nil"/>
            </w:tcBorders>
            <w:shd w:val="clear" w:color="000000" w:fill="FFFFFF"/>
            <w:noWrap/>
            <w:vAlign w:val="center"/>
            <w:hideMark/>
          </w:tcPr>
          <w:p w14:paraId="5D73E83C"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42A121A9"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3A951E65"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05BBE5E8"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0,909</w:t>
            </w:r>
          </w:p>
        </w:tc>
        <w:tc>
          <w:tcPr>
            <w:tcW w:w="850" w:type="dxa"/>
            <w:tcBorders>
              <w:top w:val="nil"/>
              <w:left w:val="nil"/>
              <w:bottom w:val="nil"/>
              <w:right w:val="nil"/>
            </w:tcBorders>
            <w:shd w:val="clear" w:color="000000" w:fill="FFFFFF"/>
            <w:noWrap/>
            <w:vAlign w:val="center"/>
            <w:hideMark/>
          </w:tcPr>
          <w:p w14:paraId="146FA743"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1A706EBD"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nil"/>
              <w:right w:val="nil"/>
            </w:tcBorders>
            <w:shd w:val="clear" w:color="000000" w:fill="FFFFFF"/>
            <w:noWrap/>
            <w:vAlign w:val="center"/>
            <w:hideMark/>
          </w:tcPr>
          <w:p w14:paraId="66550161"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72A6449F" w14:textId="77777777" w:rsidTr="00752D76">
        <w:trPr>
          <w:trHeight w:val="288"/>
        </w:trPr>
        <w:tc>
          <w:tcPr>
            <w:tcW w:w="1380" w:type="dxa"/>
            <w:tcBorders>
              <w:top w:val="nil"/>
              <w:left w:val="nil"/>
              <w:bottom w:val="nil"/>
              <w:right w:val="nil"/>
            </w:tcBorders>
            <w:shd w:val="clear" w:color="000000" w:fill="FFFFFF"/>
            <w:noWrap/>
            <w:vAlign w:val="center"/>
            <w:hideMark/>
          </w:tcPr>
          <w:p w14:paraId="61124FB3"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PE3</w:t>
            </w:r>
          </w:p>
        </w:tc>
        <w:tc>
          <w:tcPr>
            <w:tcW w:w="888" w:type="dxa"/>
            <w:tcBorders>
              <w:top w:val="nil"/>
              <w:left w:val="nil"/>
              <w:bottom w:val="nil"/>
              <w:right w:val="nil"/>
            </w:tcBorders>
            <w:shd w:val="clear" w:color="000000" w:fill="FFFFFF"/>
            <w:noWrap/>
            <w:vAlign w:val="center"/>
            <w:hideMark/>
          </w:tcPr>
          <w:p w14:paraId="16886E7B"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0B03201B"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11F360DC"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40D7A27A"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0,849</w:t>
            </w:r>
          </w:p>
        </w:tc>
        <w:tc>
          <w:tcPr>
            <w:tcW w:w="850" w:type="dxa"/>
            <w:tcBorders>
              <w:top w:val="nil"/>
              <w:left w:val="nil"/>
              <w:bottom w:val="nil"/>
              <w:right w:val="nil"/>
            </w:tcBorders>
            <w:shd w:val="clear" w:color="000000" w:fill="FFFFFF"/>
            <w:noWrap/>
            <w:vAlign w:val="center"/>
            <w:hideMark/>
          </w:tcPr>
          <w:p w14:paraId="2B80F1E5"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0CCCB44A"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nil"/>
              <w:right w:val="nil"/>
            </w:tcBorders>
            <w:shd w:val="clear" w:color="000000" w:fill="FFFFFF"/>
            <w:noWrap/>
            <w:vAlign w:val="center"/>
            <w:hideMark/>
          </w:tcPr>
          <w:p w14:paraId="242D230C"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1B1D7F8E" w14:textId="77777777" w:rsidTr="00752D76">
        <w:trPr>
          <w:trHeight w:val="288"/>
        </w:trPr>
        <w:tc>
          <w:tcPr>
            <w:tcW w:w="1380" w:type="dxa"/>
            <w:tcBorders>
              <w:top w:val="nil"/>
              <w:left w:val="nil"/>
              <w:bottom w:val="nil"/>
              <w:right w:val="nil"/>
            </w:tcBorders>
            <w:shd w:val="clear" w:color="000000" w:fill="FFFFFF"/>
            <w:noWrap/>
            <w:vAlign w:val="center"/>
            <w:hideMark/>
          </w:tcPr>
          <w:p w14:paraId="6FA3699E"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PE4</w:t>
            </w:r>
          </w:p>
        </w:tc>
        <w:tc>
          <w:tcPr>
            <w:tcW w:w="888" w:type="dxa"/>
            <w:tcBorders>
              <w:top w:val="nil"/>
              <w:left w:val="nil"/>
              <w:bottom w:val="nil"/>
              <w:right w:val="nil"/>
            </w:tcBorders>
            <w:shd w:val="clear" w:color="000000" w:fill="FFFFFF"/>
            <w:noWrap/>
            <w:vAlign w:val="center"/>
            <w:hideMark/>
          </w:tcPr>
          <w:p w14:paraId="6B17B4ED"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0784E2E9"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1001AD09"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2B57E213"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0,913</w:t>
            </w:r>
          </w:p>
        </w:tc>
        <w:tc>
          <w:tcPr>
            <w:tcW w:w="850" w:type="dxa"/>
            <w:tcBorders>
              <w:top w:val="nil"/>
              <w:left w:val="nil"/>
              <w:bottom w:val="nil"/>
              <w:right w:val="nil"/>
            </w:tcBorders>
            <w:shd w:val="clear" w:color="000000" w:fill="FFFFFF"/>
            <w:noWrap/>
            <w:vAlign w:val="center"/>
            <w:hideMark/>
          </w:tcPr>
          <w:p w14:paraId="6588C865"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4B7CAE32"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nil"/>
              <w:right w:val="nil"/>
            </w:tcBorders>
            <w:shd w:val="clear" w:color="000000" w:fill="FFFFFF"/>
            <w:noWrap/>
            <w:vAlign w:val="center"/>
            <w:hideMark/>
          </w:tcPr>
          <w:p w14:paraId="09339666"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40A26CEF" w14:textId="77777777" w:rsidTr="00752D76">
        <w:trPr>
          <w:trHeight w:val="288"/>
        </w:trPr>
        <w:tc>
          <w:tcPr>
            <w:tcW w:w="1380" w:type="dxa"/>
            <w:tcBorders>
              <w:top w:val="nil"/>
              <w:left w:val="nil"/>
              <w:bottom w:val="single" w:sz="4" w:space="0" w:color="auto"/>
              <w:right w:val="nil"/>
            </w:tcBorders>
            <w:shd w:val="clear" w:color="000000" w:fill="FFFFFF"/>
            <w:noWrap/>
            <w:vAlign w:val="center"/>
            <w:hideMark/>
          </w:tcPr>
          <w:p w14:paraId="55B31C6A"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PE5</w:t>
            </w:r>
          </w:p>
        </w:tc>
        <w:tc>
          <w:tcPr>
            <w:tcW w:w="888" w:type="dxa"/>
            <w:tcBorders>
              <w:top w:val="nil"/>
              <w:left w:val="nil"/>
              <w:bottom w:val="single" w:sz="4" w:space="0" w:color="auto"/>
              <w:right w:val="nil"/>
            </w:tcBorders>
            <w:shd w:val="clear" w:color="000000" w:fill="FFFFFF"/>
            <w:noWrap/>
            <w:vAlign w:val="center"/>
            <w:hideMark/>
          </w:tcPr>
          <w:p w14:paraId="5355E054"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single" w:sz="4" w:space="0" w:color="auto"/>
              <w:right w:val="nil"/>
            </w:tcBorders>
            <w:shd w:val="clear" w:color="000000" w:fill="FFFFFF"/>
            <w:noWrap/>
            <w:vAlign w:val="center"/>
            <w:hideMark/>
          </w:tcPr>
          <w:p w14:paraId="208BDDD8"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single" w:sz="4" w:space="0" w:color="auto"/>
              <w:right w:val="nil"/>
            </w:tcBorders>
            <w:shd w:val="clear" w:color="000000" w:fill="FFFFFF"/>
            <w:noWrap/>
            <w:vAlign w:val="center"/>
            <w:hideMark/>
          </w:tcPr>
          <w:p w14:paraId="30CA6D74"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single" w:sz="4" w:space="0" w:color="auto"/>
              <w:right w:val="nil"/>
            </w:tcBorders>
            <w:shd w:val="clear" w:color="000000" w:fill="FFFFFF"/>
            <w:noWrap/>
            <w:vAlign w:val="center"/>
            <w:hideMark/>
          </w:tcPr>
          <w:p w14:paraId="60D5C7A4"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0,841</w:t>
            </w:r>
          </w:p>
        </w:tc>
        <w:tc>
          <w:tcPr>
            <w:tcW w:w="850" w:type="dxa"/>
            <w:tcBorders>
              <w:top w:val="nil"/>
              <w:left w:val="nil"/>
              <w:bottom w:val="single" w:sz="4" w:space="0" w:color="auto"/>
              <w:right w:val="nil"/>
            </w:tcBorders>
            <w:shd w:val="clear" w:color="000000" w:fill="FFFFFF"/>
            <w:noWrap/>
            <w:vAlign w:val="center"/>
            <w:hideMark/>
          </w:tcPr>
          <w:p w14:paraId="0458C9E1"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single" w:sz="4" w:space="0" w:color="auto"/>
              <w:right w:val="nil"/>
            </w:tcBorders>
            <w:shd w:val="clear" w:color="000000" w:fill="FFFFFF"/>
            <w:noWrap/>
            <w:vAlign w:val="center"/>
            <w:hideMark/>
          </w:tcPr>
          <w:p w14:paraId="5D457469"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single" w:sz="4" w:space="0" w:color="auto"/>
              <w:right w:val="nil"/>
            </w:tcBorders>
            <w:shd w:val="clear" w:color="000000" w:fill="FFFFFF"/>
            <w:noWrap/>
            <w:vAlign w:val="center"/>
            <w:hideMark/>
          </w:tcPr>
          <w:p w14:paraId="4C8FB869"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1C56FFE2" w14:textId="77777777" w:rsidTr="00752D76">
        <w:trPr>
          <w:trHeight w:val="288"/>
        </w:trPr>
        <w:tc>
          <w:tcPr>
            <w:tcW w:w="1380" w:type="dxa"/>
            <w:tcBorders>
              <w:top w:val="single" w:sz="4" w:space="0" w:color="auto"/>
              <w:left w:val="nil"/>
              <w:bottom w:val="nil"/>
              <w:right w:val="nil"/>
            </w:tcBorders>
            <w:shd w:val="clear" w:color="000000" w:fill="FFFFFF"/>
            <w:noWrap/>
            <w:vAlign w:val="center"/>
            <w:hideMark/>
          </w:tcPr>
          <w:p w14:paraId="3239F008"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PEU1</w:t>
            </w:r>
          </w:p>
        </w:tc>
        <w:tc>
          <w:tcPr>
            <w:tcW w:w="888" w:type="dxa"/>
            <w:tcBorders>
              <w:top w:val="single" w:sz="4" w:space="0" w:color="auto"/>
              <w:left w:val="nil"/>
              <w:bottom w:val="nil"/>
              <w:right w:val="nil"/>
            </w:tcBorders>
            <w:shd w:val="clear" w:color="000000" w:fill="FFFFFF"/>
            <w:noWrap/>
            <w:vAlign w:val="center"/>
            <w:hideMark/>
          </w:tcPr>
          <w:p w14:paraId="73BA2943"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single" w:sz="4" w:space="0" w:color="auto"/>
              <w:left w:val="nil"/>
              <w:bottom w:val="nil"/>
              <w:right w:val="nil"/>
            </w:tcBorders>
            <w:shd w:val="clear" w:color="000000" w:fill="FFFFFF"/>
            <w:noWrap/>
            <w:vAlign w:val="center"/>
            <w:hideMark/>
          </w:tcPr>
          <w:p w14:paraId="47CDDEAF"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single" w:sz="4" w:space="0" w:color="auto"/>
              <w:left w:val="nil"/>
              <w:bottom w:val="nil"/>
              <w:right w:val="nil"/>
            </w:tcBorders>
            <w:shd w:val="clear" w:color="000000" w:fill="FFFFFF"/>
            <w:noWrap/>
            <w:vAlign w:val="center"/>
            <w:hideMark/>
          </w:tcPr>
          <w:p w14:paraId="3FE4B66B"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0,811</w:t>
            </w:r>
          </w:p>
        </w:tc>
        <w:tc>
          <w:tcPr>
            <w:tcW w:w="851" w:type="dxa"/>
            <w:tcBorders>
              <w:top w:val="single" w:sz="4" w:space="0" w:color="auto"/>
              <w:left w:val="nil"/>
              <w:bottom w:val="nil"/>
              <w:right w:val="nil"/>
            </w:tcBorders>
            <w:shd w:val="clear" w:color="000000" w:fill="FFFFFF"/>
            <w:noWrap/>
            <w:vAlign w:val="center"/>
            <w:hideMark/>
          </w:tcPr>
          <w:p w14:paraId="4436EE5A"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single" w:sz="4" w:space="0" w:color="auto"/>
              <w:left w:val="nil"/>
              <w:bottom w:val="nil"/>
              <w:right w:val="nil"/>
            </w:tcBorders>
            <w:shd w:val="clear" w:color="000000" w:fill="FFFFFF"/>
            <w:noWrap/>
            <w:vAlign w:val="center"/>
            <w:hideMark/>
          </w:tcPr>
          <w:p w14:paraId="0A62D77A"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single" w:sz="4" w:space="0" w:color="auto"/>
              <w:left w:val="nil"/>
              <w:bottom w:val="nil"/>
              <w:right w:val="nil"/>
            </w:tcBorders>
            <w:shd w:val="clear" w:color="000000" w:fill="FFFFFF"/>
            <w:noWrap/>
            <w:vAlign w:val="center"/>
            <w:hideMark/>
          </w:tcPr>
          <w:p w14:paraId="0CF12290"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single" w:sz="4" w:space="0" w:color="auto"/>
              <w:left w:val="nil"/>
              <w:bottom w:val="nil"/>
              <w:right w:val="nil"/>
            </w:tcBorders>
            <w:shd w:val="clear" w:color="000000" w:fill="FFFFFF"/>
            <w:noWrap/>
            <w:vAlign w:val="center"/>
            <w:hideMark/>
          </w:tcPr>
          <w:p w14:paraId="19C7AD7B"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4751A1A5" w14:textId="77777777" w:rsidTr="00752D76">
        <w:trPr>
          <w:trHeight w:val="288"/>
        </w:trPr>
        <w:tc>
          <w:tcPr>
            <w:tcW w:w="1380" w:type="dxa"/>
            <w:tcBorders>
              <w:top w:val="nil"/>
              <w:left w:val="nil"/>
              <w:bottom w:val="nil"/>
              <w:right w:val="nil"/>
            </w:tcBorders>
            <w:shd w:val="clear" w:color="000000" w:fill="FFFFFF"/>
            <w:noWrap/>
            <w:vAlign w:val="center"/>
            <w:hideMark/>
          </w:tcPr>
          <w:p w14:paraId="50A33D6B"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PEU2</w:t>
            </w:r>
          </w:p>
        </w:tc>
        <w:tc>
          <w:tcPr>
            <w:tcW w:w="888" w:type="dxa"/>
            <w:tcBorders>
              <w:top w:val="nil"/>
              <w:left w:val="nil"/>
              <w:bottom w:val="nil"/>
              <w:right w:val="nil"/>
            </w:tcBorders>
            <w:shd w:val="clear" w:color="000000" w:fill="FFFFFF"/>
            <w:noWrap/>
            <w:vAlign w:val="center"/>
            <w:hideMark/>
          </w:tcPr>
          <w:p w14:paraId="2178142E"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16AAE82E"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3599DA6B"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0,813</w:t>
            </w:r>
          </w:p>
        </w:tc>
        <w:tc>
          <w:tcPr>
            <w:tcW w:w="851" w:type="dxa"/>
            <w:tcBorders>
              <w:top w:val="nil"/>
              <w:left w:val="nil"/>
              <w:bottom w:val="nil"/>
              <w:right w:val="nil"/>
            </w:tcBorders>
            <w:shd w:val="clear" w:color="000000" w:fill="FFFFFF"/>
            <w:noWrap/>
            <w:vAlign w:val="center"/>
            <w:hideMark/>
          </w:tcPr>
          <w:p w14:paraId="6A5D0D11"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0ECB28FC"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22EFFCED"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nil"/>
              <w:right w:val="nil"/>
            </w:tcBorders>
            <w:shd w:val="clear" w:color="000000" w:fill="FFFFFF"/>
            <w:noWrap/>
            <w:vAlign w:val="center"/>
            <w:hideMark/>
          </w:tcPr>
          <w:p w14:paraId="6BC6DE78"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4ADB050A" w14:textId="77777777" w:rsidTr="00752D76">
        <w:trPr>
          <w:trHeight w:val="288"/>
        </w:trPr>
        <w:tc>
          <w:tcPr>
            <w:tcW w:w="1380" w:type="dxa"/>
            <w:tcBorders>
              <w:top w:val="nil"/>
              <w:left w:val="nil"/>
              <w:bottom w:val="nil"/>
              <w:right w:val="nil"/>
            </w:tcBorders>
            <w:shd w:val="clear" w:color="000000" w:fill="FFFFFF"/>
            <w:noWrap/>
            <w:vAlign w:val="center"/>
            <w:hideMark/>
          </w:tcPr>
          <w:p w14:paraId="21B3211E"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PEU3</w:t>
            </w:r>
          </w:p>
        </w:tc>
        <w:tc>
          <w:tcPr>
            <w:tcW w:w="888" w:type="dxa"/>
            <w:tcBorders>
              <w:top w:val="nil"/>
              <w:left w:val="nil"/>
              <w:bottom w:val="nil"/>
              <w:right w:val="nil"/>
            </w:tcBorders>
            <w:shd w:val="clear" w:color="000000" w:fill="FFFFFF"/>
            <w:noWrap/>
            <w:vAlign w:val="center"/>
            <w:hideMark/>
          </w:tcPr>
          <w:p w14:paraId="700A3E22"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53FE8E12"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679D1BC8"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0,781</w:t>
            </w:r>
          </w:p>
        </w:tc>
        <w:tc>
          <w:tcPr>
            <w:tcW w:w="851" w:type="dxa"/>
            <w:tcBorders>
              <w:top w:val="nil"/>
              <w:left w:val="nil"/>
              <w:bottom w:val="nil"/>
              <w:right w:val="nil"/>
            </w:tcBorders>
            <w:shd w:val="clear" w:color="000000" w:fill="FFFFFF"/>
            <w:noWrap/>
            <w:vAlign w:val="center"/>
            <w:hideMark/>
          </w:tcPr>
          <w:p w14:paraId="113FC04B"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55C0C1A8"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5ED21DA6"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nil"/>
              <w:right w:val="nil"/>
            </w:tcBorders>
            <w:shd w:val="clear" w:color="000000" w:fill="FFFFFF"/>
            <w:noWrap/>
            <w:vAlign w:val="center"/>
            <w:hideMark/>
          </w:tcPr>
          <w:p w14:paraId="3DC85E6B"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66C210DB" w14:textId="77777777" w:rsidTr="00752D76">
        <w:trPr>
          <w:trHeight w:val="288"/>
        </w:trPr>
        <w:tc>
          <w:tcPr>
            <w:tcW w:w="1380" w:type="dxa"/>
            <w:tcBorders>
              <w:top w:val="nil"/>
              <w:left w:val="nil"/>
              <w:bottom w:val="nil"/>
              <w:right w:val="nil"/>
            </w:tcBorders>
            <w:shd w:val="clear" w:color="000000" w:fill="FFFFFF"/>
            <w:noWrap/>
            <w:vAlign w:val="center"/>
            <w:hideMark/>
          </w:tcPr>
          <w:p w14:paraId="4F5D2620"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PEU4</w:t>
            </w:r>
          </w:p>
        </w:tc>
        <w:tc>
          <w:tcPr>
            <w:tcW w:w="888" w:type="dxa"/>
            <w:tcBorders>
              <w:top w:val="nil"/>
              <w:left w:val="nil"/>
              <w:bottom w:val="nil"/>
              <w:right w:val="nil"/>
            </w:tcBorders>
            <w:shd w:val="clear" w:color="000000" w:fill="FFFFFF"/>
            <w:noWrap/>
            <w:vAlign w:val="center"/>
            <w:hideMark/>
          </w:tcPr>
          <w:p w14:paraId="438C7D21"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7FA93D37"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1A9E6C35"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0,756</w:t>
            </w:r>
          </w:p>
        </w:tc>
        <w:tc>
          <w:tcPr>
            <w:tcW w:w="851" w:type="dxa"/>
            <w:tcBorders>
              <w:top w:val="nil"/>
              <w:left w:val="nil"/>
              <w:bottom w:val="nil"/>
              <w:right w:val="nil"/>
            </w:tcBorders>
            <w:shd w:val="clear" w:color="000000" w:fill="FFFFFF"/>
            <w:noWrap/>
            <w:vAlign w:val="center"/>
            <w:hideMark/>
          </w:tcPr>
          <w:p w14:paraId="4AA9DF3B"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71E5BA30"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1524C8E3"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nil"/>
              <w:right w:val="nil"/>
            </w:tcBorders>
            <w:shd w:val="clear" w:color="000000" w:fill="FFFFFF"/>
            <w:noWrap/>
            <w:vAlign w:val="center"/>
            <w:hideMark/>
          </w:tcPr>
          <w:p w14:paraId="3F3B7346"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67E71B44" w14:textId="77777777" w:rsidTr="00752D76">
        <w:trPr>
          <w:trHeight w:val="288"/>
        </w:trPr>
        <w:tc>
          <w:tcPr>
            <w:tcW w:w="1380" w:type="dxa"/>
            <w:tcBorders>
              <w:top w:val="nil"/>
              <w:left w:val="nil"/>
              <w:right w:val="nil"/>
            </w:tcBorders>
            <w:shd w:val="clear" w:color="000000" w:fill="FFFFFF"/>
            <w:noWrap/>
            <w:vAlign w:val="center"/>
            <w:hideMark/>
          </w:tcPr>
          <w:p w14:paraId="3E0D85E3"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PEU5</w:t>
            </w:r>
          </w:p>
        </w:tc>
        <w:tc>
          <w:tcPr>
            <w:tcW w:w="888" w:type="dxa"/>
            <w:tcBorders>
              <w:top w:val="nil"/>
              <w:left w:val="nil"/>
              <w:right w:val="nil"/>
            </w:tcBorders>
            <w:shd w:val="clear" w:color="000000" w:fill="FFFFFF"/>
            <w:noWrap/>
            <w:vAlign w:val="center"/>
            <w:hideMark/>
          </w:tcPr>
          <w:p w14:paraId="27D6379F"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right w:val="nil"/>
            </w:tcBorders>
            <w:shd w:val="clear" w:color="000000" w:fill="FFFFFF"/>
            <w:noWrap/>
            <w:vAlign w:val="center"/>
            <w:hideMark/>
          </w:tcPr>
          <w:p w14:paraId="6020A6A7"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right w:val="nil"/>
            </w:tcBorders>
            <w:shd w:val="clear" w:color="000000" w:fill="FFFFFF"/>
            <w:noWrap/>
            <w:vAlign w:val="center"/>
            <w:hideMark/>
          </w:tcPr>
          <w:p w14:paraId="5FA630FA"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0,869</w:t>
            </w:r>
          </w:p>
        </w:tc>
        <w:tc>
          <w:tcPr>
            <w:tcW w:w="851" w:type="dxa"/>
            <w:tcBorders>
              <w:top w:val="nil"/>
              <w:left w:val="nil"/>
              <w:right w:val="nil"/>
            </w:tcBorders>
            <w:shd w:val="clear" w:color="000000" w:fill="FFFFFF"/>
            <w:noWrap/>
            <w:vAlign w:val="center"/>
            <w:hideMark/>
          </w:tcPr>
          <w:p w14:paraId="05B1DEA2"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right w:val="nil"/>
            </w:tcBorders>
            <w:shd w:val="clear" w:color="000000" w:fill="FFFFFF"/>
            <w:noWrap/>
            <w:vAlign w:val="center"/>
            <w:hideMark/>
          </w:tcPr>
          <w:p w14:paraId="13B6B157"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right w:val="nil"/>
            </w:tcBorders>
            <w:shd w:val="clear" w:color="000000" w:fill="FFFFFF"/>
            <w:noWrap/>
            <w:vAlign w:val="center"/>
            <w:hideMark/>
          </w:tcPr>
          <w:p w14:paraId="62BE0AD4"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right w:val="nil"/>
            </w:tcBorders>
            <w:shd w:val="clear" w:color="000000" w:fill="FFFFFF"/>
            <w:noWrap/>
            <w:vAlign w:val="center"/>
            <w:hideMark/>
          </w:tcPr>
          <w:p w14:paraId="2FB25802"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23680975" w14:textId="77777777" w:rsidTr="00752D76">
        <w:trPr>
          <w:trHeight w:val="288"/>
        </w:trPr>
        <w:tc>
          <w:tcPr>
            <w:tcW w:w="1380" w:type="dxa"/>
            <w:tcBorders>
              <w:top w:val="nil"/>
              <w:left w:val="nil"/>
              <w:bottom w:val="single" w:sz="4" w:space="0" w:color="auto"/>
              <w:right w:val="nil"/>
            </w:tcBorders>
            <w:shd w:val="clear" w:color="000000" w:fill="FFFFFF"/>
            <w:noWrap/>
            <w:vAlign w:val="center"/>
            <w:hideMark/>
          </w:tcPr>
          <w:p w14:paraId="280DF80A"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PEU6</w:t>
            </w:r>
          </w:p>
        </w:tc>
        <w:tc>
          <w:tcPr>
            <w:tcW w:w="888" w:type="dxa"/>
            <w:tcBorders>
              <w:top w:val="nil"/>
              <w:left w:val="nil"/>
              <w:bottom w:val="single" w:sz="4" w:space="0" w:color="auto"/>
              <w:right w:val="nil"/>
            </w:tcBorders>
            <w:shd w:val="clear" w:color="000000" w:fill="FFFFFF"/>
            <w:noWrap/>
            <w:vAlign w:val="center"/>
            <w:hideMark/>
          </w:tcPr>
          <w:p w14:paraId="3AF16688"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single" w:sz="4" w:space="0" w:color="auto"/>
              <w:right w:val="nil"/>
            </w:tcBorders>
            <w:shd w:val="clear" w:color="000000" w:fill="FFFFFF"/>
            <w:noWrap/>
            <w:vAlign w:val="center"/>
            <w:hideMark/>
          </w:tcPr>
          <w:p w14:paraId="59F75382"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single" w:sz="4" w:space="0" w:color="auto"/>
              <w:right w:val="nil"/>
            </w:tcBorders>
            <w:shd w:val="clear" w:color="000000" w:fill="FFFFFF"/>
            <w:noWrap/>
            <w:vAlign w:val="center"/>
            <w:hideMark/>
          </w:tcPr>
          <w:p w14:paraId="004B95D8"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0,831</w:t>
            </w:r>
          </w:p>
        </w:tc>
        <w:tc>
          <w:tcPr>
            <w:tcW w:w="851" w:type="dxa"/>
            <w:tcBorders>
              <w:top w:val="nil"/>
              <w:left w:val="nil"/>
              <w:bottom w:val="single" w:sz="4" w:space="0" w:color="auto"/>
              <w:right w:val="nil"/>
            </w:tcBorders>
            <w:shd w:val="clear" w:color="000000" w:fill="FFFFFF"/>
            <w:noWrap/>
            <w:vAlign w:val="center"/>
            <w:hideMark/>
          </w:tcPr>
          <w:p w14:paraId="6EC03D5B"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single" w:sz="4" w:space="0" w:color="auto"/>
              <w:right w:val="nil"/>
            </w:tcBorders>
            <w:shd w:val="clear" w:color="000000" w:fill="FFFFFF"/>
            <w:noWrap/>
            <w:vAlign w:val="center"/>
            <w:hideMark/>
          </w:tcPr>
          <w:p w14:paraId="5FFECD9C"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single" w:sz="4" w:space="0" w:color="auto"/>
              <w:right w:val="nil"/>
            </w:tcBorders>
            <w:shd w:val="clear" w:color="000000" w:fill="FFFFFF"/>
            <w:noWrap/>
            <w:vAlign w:val="center"/>
            <w:hideMark/>
          </w:tcPr>
          <w:p w14:paraId="4D22C425"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single" w:sz="4" w:space="0" w:color="auto"/>
              <w:right w:val="nil"/>
            </w:tcBorders>
            <w:shd w:val="clear" w:color="000000" w:fill="FFFFFF"/>
            <w:noWrap/>
            <w:vAlign w:val="center"/>
            <w:hideMark/>
          </w:tcPr>
          <w:p w14:paraId="49CB9D8D"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18D352B8" w14:textId="77777777" w:rsidTr="00752D76">
        <w:trPr>
          <w:trHeight w:val="288"/>
        </w:trPr>
        <w:tc>
          <w:tcPr>
            <w:tcW w:w="1380" w:type="dxa"/>
            <w:tcBorders>
              <w:top w:val="single" w:sz="4" w:space="0" w:color="auto"/>
              <w:left w:val="nil"/>
              <w:bottom w:val="nil"/>
              <w:right w:val="nil"/>
            </w:tcBorders>
            <w:shd w:val="clear" w:color="000000" w:fill="FFFFFF"/>
            <w:noWrap/>
            <w:vAlign w:val="center"/>
            <w:hideMark/>
          </w:tcPr>
          <w:p w14:paraId="693FA22C"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PU1</w:t>
            </w:r>
          </w:p>
        </w:tc>
        <w:tc>
          <w:tcPr>
            <w:tcW w:w="888" w:type="dxa"/>
            <w:tcBorders>
              <w:top w:val="single" w:sz="4" w:space="0" w:color="auto"/>
              <w:left w:val="nil"/>
              <w:bottom w:val="nil"/>
              <w:right w:val="nil"/>
            </w:tcBorders>
            <w:shd w:val="clear" w:color="000000" w:fill="FFFFFF"/>
            <w:noWrap/>
            <w:vAlign w:val="center"/>
            <w:hideMark/>
          </w:tcPr>
          <w:p w14:paraId="493D5590"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single" w:sz="4" w:space="0" w:color="auto"/>
              <w:left w:val="nil"/>
              <w:bottom w:val="nil"/>
              <w:right w:val="nil"/>
            </w:tcBorders>
            <w:shd w:val="clear" w:color="000000" w:fill="FFFFFF"/>
            <w:noWrap/>
            <w:vAlign w:val="center"/>
            <w:hideMark/>
          </w:tcPr>
          <w:p w14:paraId="51085E83"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0,917</w:t>
            </w:r>
          </w:p>
        </w:tc>
        <w:tc>
          <w:tcPr>
            <w:tcW w:w="850" w:type="dxa"/>
            <w:tcBorders>
              <w:top w:val="single" w:sz="4" w:space="0" w:color="auto"/>
              <w:left w:val="nil"/>
              <w:bottom w:val="nil"/>
              <w:right w:val="nil"/>
            </w:tcBorders>
            <w:shd w:val="clear" w:color="000000" w:fill="FFFFFF"/>
            <w:noWrap/>
            <w:vAlign w:val="center"/>
            <w:hideMark/>
          </w:tcPr>
          <w:p w14:paraId="491EA254"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single" w:sz="4" w:space="0" w:color="auto"/>
              <w:left w:val="nil"/>
              <w:bottom w:val="nil"/>
              <w:right w:val="nil"/>
            </w:tcBorders>
            <w:shd w:val="clear" w:color="000000" w:fill="FFFFFF"/>
            <w:noWrap/>
            <w:vAlign w:val="center"/>
            <w:hideMark/>
          </w:tcPr>
          <w:p w14:paraId="37464915"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single" w:sz="4" w:space="0" w:color="auto"/>
              <w:left w:val="nil"/>
              <w:bottom w:val="nil"/>
              <w:right w:val="nil"/>
            </w:tcBorders>
            <w:shd w:val="clear" w:color="000000" w:fill="FFFFFF"/>
            <w:noWrap/>
            <w:vAlign w:val="center"/>
            <w:hideMark/>
          </w:tcPr>
          <w:p w14:paraId="1E6E78EE"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single" w:sz="4" w:space="0" w:color="auto"/>
              <w:left w:val="nil"/>
              <w:bottom w:val="nil"/>
              <w:right w:val="nil"/>
            </w:tcBorders>
            <w:shd w:val="clear" w:color="000000" w:fill="FFFFFF"/>
            <w:noWrap/>
            <w:vAlign w:val="center"/>
            <w:hideMark/>
          </w:tcPr>
          <w:p w14:paraId="0F22152F"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single" w:sz="4" w:space="0" w:color="auto"/>
              <w:left w:val="nil"/>
              <w:bottom w:val="nil"/>
              <w:right w:val="nil"/>
            </w:tcBorders>
            <w:shd w:val="clear" w:color="000000" w:fill="FFFFFF"/>
            <w:noWrap/>
            <w:vAlign w:val="center"/>
            <w:hideMark/>
          </w:tcPr>
          <w:p w14:paraId="299373EF"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7B0EE456" w14:textId="77777777" w:rsidTr="00752D76">
        <w:trPr>
          <w:trHeight w:val="288"/>
        </w:trPr>
        <w:tc>
          <w:tcPr>
            <w:tcW w:w="1380" w:type="dxa"/>
            <w:tcBorders>
              <w:top w:val="nil"/>
              <w:left w:val="nil"/>
              <w:bottom w:val="nil"/>
              <w:right w:val="nil"/>
            </w:tcBorders>
            <w:shd w:val="clear" w:color="000000" w:fill="FFFFFF"/>
            <w:noWrap/>
            <w:vAlign w:val="center"/>
            <w:hideMark/>
          </w:tcPr>
          <w:p w14:paraId="7E192DD6"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PU2</w:t>
            </w:r>
          </w:p>
        </w:tc>
        <w:tc>
          <w:tcPr>
            <w:tcW w:w="888" w:type="dxa"/>
            <w:tcBorders>
              <w:top w:val="nil"/>
              <w:left w:val="nil"/>
              <w:bottom w:val="nil"/>
              <w:right w:val="nil"/>
            </w:tcBorders>
            <w:shd w:val="clear" w:color="000000" w:fill="FFFFFF"/>
            <w:noWrap/>
            <w:vAlign w:val="center"/>
            <w:hideMark/>
          </w:tcPr>
          <w:p w14:paraId="27007882"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581BE02D"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0,921</w:t>
            </w:r>
          </w:p>
        </w:tc>
        <w:tc>
          <w:tcPr>
            <w:tcW w:w="850" w:type="dxa"/>
            <w:tcBorders>
              <w:top w:val="nil"/>
              <w:left w:val="nil"/>
              <w:bottom w:val="nil"/>
              <w:right w:val="nil"/>
            </w:tcBorders>
            <w:shd w:val="clear" w:color="000000" w:fill="FFFFFF"/>
            <w:noWrap/>
            <w:vAlign w:val="center"/>
            <w:hideMark/>
          </w:tcPr>
          <w:p w14:paraId="40740D18"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3F271707"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59AB420E"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1A11FD1D"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nil"/>
              <w:right w:val="nil"/>
            </w:tcBorders>
            <w:shd w:val="clear" w:color="000000" w:fill="FFFFFF"/>
            <w:noWrap/>
            <w:vAlign w:val="center"/>
            <w:hideMark/>
          </w:tcPr>
          <w:p w14:paraId="3F27F5D6"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7277BB6A" w14:textId="77777777" w:rsidTr="00752D76">
        <w:trPr>
          <w:trHeight w:val="288"/>
        </w:trPr>
        <w:tc>
          <w:tcPr>
            <w:tcW w:w="1380" w:type="dxa"/>
            <w:tcBorders>
              <w:top w:val="nil"/>
              <w:left w:val="nil"/>
              <w:bottom w:val="nil"/>
              <w:right w:val="nil"/>
            </w:tcBorders>
            <w:shd w:val="clear" w:color="000000" w:fill="FFFFFF"/>
            <w:noWrap/>
            <w:vAlign w:val="center"/>
            <w:hideMark/>
          </w:tcPr>
          <w:p w14:paraId="055AB008"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PU3</w:t>
            </w:r>
          </w:p>
        </w:tc>
        <w:tc>
          <w:tcPr>
            <w:tcW w:w="888" w:type="dxa"/>
            <w:tcBorders>
              <w:top w:val="nil"/>
              <w:left w:val="nil"/>
              <w:bottom w:val="nil"/>
              <w:right w:val="nil"/>
            </w:tcBorders>
            <w:shd w:val="clear" w:color="000000" w:fill="FFFFFF"/>
            <w:noWrap/>
            <w:vAlign w:val="center"/>
            <w:hideMark/>
          </w:tcPr>
          <w:p w14:paraId="031FCEE5"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7650CC34"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0,888</w:t>
            </w:r>
          </w:p>
        </w:tc>
        <w:tc>
          <w:tcPr>
            <w:tcW w:w="850" w:type="dxa"/>
            <w:tcBorders>
              <w:top w:val="nil"/>
              <w:left w:val="nil"/>
              <w:bottom w:val="nil"/>
              <w:right w:val="nil"/>
            </w:tcBorders>
            <w:shd w:val="clear" w:color="000000" w:fill="FFFFFF"/>
            <w:noWrap/>
            <w:vAlign w:val="center"/>
            <w:hideMark/>
          </w:tcPr>
          <w:p w14:paraId="14B6DCC2"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463FBE3E"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16721A1B"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32603F86"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nil"/>
              <w:right w:val="nil"/>
            </w:tcBorders>
            <w:shd w:val="clear" w:color="000000" w:fill="FFFFFF"/>
            <w:noWrap/>
            <w:vAlign w:val="center"/>
            <w:hideMark/>
          </w:tcPr>
          <w:p w14:paraId="3171B69F"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405DC255" w14:textId="77777777" w:rsidTr="00752D76">
        <w:trPr>
          <w:trHeight w:val="288"/>
        </w:trPr>
        <w:tc>
          <w:tcPr>
            <w:tcW w:w="1380" w:type="dxa"/>
            <w:tcBorders>
              <w:top w:val="nil"/>
              <w:left w:val="nil"/>
              <w:bottom w:val="nil"/>
              <w:right w:val="nil"/>
            </w:tcBorders>
            <w:shd w:val="clear" w:color="000000" w:fill="FFFFFF"/>
            <w:noWrap/>
            <w:vAlign w:val="center"/>
            <w:hideMark/>
          </w:tcPr>
          <w:p w14:paraId="765DC08C"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PU4</w:t>
            </w:r>
          </w:p>
        </w:tc>
        <w:tc>
          <w:tcPr>
            <w:tcW w:w="888" w:type="dxa"/>
            <w:tcBorders>
              <w:top w:val="nil"/>
              <w:left w:val="nil"/>
              <w:bottom w:val="nil"/>
              <w:right w:val="nil"/>
            </w:tcBorders>
            <w:shd w:val="clear" w:color="000000" w:fill="FFFFFF"/>
            <w:noWrap/>
            <w:vAlign w:val="center"/>
            <w:hideMark/>
          </w:tcPr>
          <w:p w14:paraId="05B0C28F"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692499A0"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0,899</w:t>
            </w:r>
          </w:p>
        </w:tc>
        <w:tc>
          <w:tcPr>
            <w:tcW w:w="850" w:type="dxa"/>
            <w:tcBorders>
              <w:top w:val="nil"/>
              <w:left w:val="nil"/>
              <w:bottom w:val="nil"/>
              <w:right w:val="nil"/>
            </w:tcBorders>
            <w:shd w:val="clear" w:color="000000" w:fill="FFFFFF"/>
            <w:noWrap/>
            <w:vAlign w:val="center"/>
            <w:hideMark/>
          </w:tcPr>
          <w:p w14:paraId="3C267960"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2B0B2115"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6500E7DC"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6ECBDCD4"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nil"/>
              <w:right w:val="nil"/>
            </w:tcBorders>
            <w:shd w:val="clear" w:color="000000" w:fill="FFFFFF"/>
            <w:noWrap/>
            <w:vAlign w:val="center"/>
            <w:hideMark/>
          </w:tcPr>
          <w:p w14:paraId="1DE39F2A"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45107C4C" w14:textId="77777777" w:rsidTr="00752D76">
        <w:trPr>
          <w:trHeight w:val="288"/>
        </w:trPr>
        <w:tc>
          <w:tcPr>
            <w:tcW w:w="1380" w:type="dxa"/>
            <w:tcBorders>
              <w:top w:val="nil"/>
              <w:left w:val="nil"/>
              <w:bottom w:val="nil"/>
              <w:right w:val="nil"/>
            </w:tcBorders>
            <w:shd w:val="clear" w:color="000000" w:fill="FFFFFF"/>
            <w:noWrap/>
            <w:vAlign w:val="center"/>
            <w:hideMark/>
          </w:tcPr>
          <w:p w14:paraId="67F519EF"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PU5</w:t>
            </w:r>
          </w:p>
        </w:tc>
        <w:tc>
          <w:tcPr>
            <w:tcW w:w="888" w:type="dxa"/>
            <w:tcBorders>
              <w:top w:val="nil"/>
              <w:left w:val="nil"/>
              <w:bottom w:val="nil"/>
              <w:right w:val="nil"/>
            </w:tcBorders>
            <w:shd w:val="clear" w:color="000000" w:fill="FFFFFF"/>
            <w:noWrap/>
            <w:vAlign w:val="center"/>
            <w:hideMark/>
          </w:tcPr>
          <w:p w14:paraId="40F0C49C"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6FB365E4"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0,921</w:t>
            </w:r>
          </w:p>
        </w:tc>
        <w:tc>
          <w:tcPr>
            <w:tcW w:w="850" w:type="dxa"/>
            <w:tcBorders>
              <w:top w:val="nil"/>
              <w:left w:val="nil"/>
              <w:bottom w:val="nil"/>
              <w:right w:val="nil"/>
            </w:tcBorders>
            <w:shd w:val="clear" w:color="000000" w:fill="FFFFFF"/>
            <w:noWrap/>
            <w:vAlign w:val="center"/>
            <w:hideMark/>
          </w:tcPr>
          <w:p w14:paraId="5058D822"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7B687760"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71B894B5"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512DE741"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nil"/>
              <w:right w:val="nil"/>
            </w:tcBorders>
            <w:shd w:val="clear" w:color="000000" w:fill="FFFFFF"/>
            <w:noWrap/>
            <w:vAlign w:val="center"/>
            <w:hideMark/>
          </w:tcPr>
          <w:p w14:paraId="690D7A0F"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4F69DB0A" w14:textId="77777777" w:rsidTr="00752D76">
        <w:trPr>
          <w:trHeight w:val="288"/>
        </w:trPr>
        <w:tc>
          <w:tcPr>
            <w:tcW w:w="1380" w:type="dxa"/>
            <w:tcBorders>
              <w:top w:val="nil"/>
              <w:left w:val="nil"/>
              <w:bottom w:val="single" w:sz="4" w:space="0" w:color="auto"/>
              <w:right w:val="nil"/>
            </w:tcBorders>
            <w:shd w:val="clear" w:color="000000" w:fill="FFFFFF"/>
            <w:noWrap/>
            <w:vAlign w:val="center"/>
            <w:hideMark/>
          </w:tcPr>
          <w:p w14:paraId="247D4A33"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PU6</w:t>
            </w:r>
          </w:p>
        </w:tc>
        <w:tc>
          <w:tcPr>
            <w:tcW w:w="888" w:type="dxa"/>
            <w:tcBorders>
              <w:top w:val="nil"/>
              <w:left w:val="nil"/>
              <w:bottom w:val="single" w:sz="4" w:space="0" w:color="auto"/>
              <w:right w:val="nil"/>
            </w:tcBorders>
            <w:shd w:val="clear" w:color="000000" w:fill="FFFFFF"/>
            <w:noWrap/>
            <w:vAlign w:val="center"/>
            <w:hideMark/>
          </w:tcPr>
          <w:p w14:paraId="75945127"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single" w:sz="4" w:space="0" w:color="auto"/>
              <w:right w:val="nil"/>
            </w:tcBorders>
            <w:shd w:val="clear" w:color="000000" w:fill="FFFFFF"/>
            <w:noWrap/>
            <w:vAlign w:val="center"/>
            <w:hideMark/>
          </w:tcPr>
          <w:p w14:paraId="55FA4213"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0,868</w:t>
            </w:r>
          </w:p>
        </w:tc>
        <w:tc>
          <w:tcPr>
            <w:tcW w:w="850" w:type="dxa"/>
            <w:tcBorders>
              <w:top w:val="nil"/>
              <w:left w:val="nil"/>
              <w:bottom w:val="single" w:sz="4" w:space="0" w:color="auto"/>
              <w:right w:val="nil"/>
            </w:tcBorders>
            <w:shd w:val="clear" w:color="000000" w:fill="FFFFFF"/>
            <w:noWrap/>
            <w:vAlign w:val="center"/>
            <w:hideMark/>
          </w:tcPr>
          <w:p w14:paraId="7CC5A4F2"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single" w:sz="4" w:space="0" w:color="auto"/>
              <w:right w:val="nil"/>
            </w:tcBorders>
            <w:shd w:val="clear" w:color="000000" w:fill="FFFFFF"/>
            <w:noWrap/>
            <w:vAlign w:val="center"/>
            <w:hideMark/>
          </w:tcPr>
          <w:p w14:paraId="4555D425"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single" w:sz="4" w:space="0" w:color="auto"/>
              <w:right w:val="nil"/>
            </w:tcBorders>
            <w:shd w:val="clear" w:color="000000" w:fill="FFFFFF"/>
            <w:noWrap/>
            <w:vAlign w:val="center"/>
            <w:hideMark/>
          </w:tcPr>
          <w:p w14:paraId="08B86F94"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single" w:sz="4" w:space="0" w:color="auto"/>
              <w:right w:val="nil"/>
            </w:tcBorders>
            <w:shd w:val="clear" w:color="000000" w:fill="FFFFFF"/>
            <w:noWrap/>
            <w:vAlign w:val="center"/>
            <w:hideMark/>
          </w:tcPr>
          <w:p w14:paraId="269D35F7"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single" w:sz="4" w:space="0" w:color="auto"/>
              <w:right w:val="nil"/>
            </w:tcBorders>
            <w:shd w:val="clear" w:color="000000" w:fill="FFFFFF"/>
            <w:noWrap/>
            <w:vAlign w:val="center"/>
            <w:hideMark/>
          </w:tcPr>
          <w:p w14:paraId="782C1D38"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133A6B85" w14:textId="77777777" w:rsidTr="00752D76">
        <w:trPr>
          <w:trHeight w:val="288"/>
        </w:trPr>
        <w:tc>
          <w:tcPr>
            <w:tcW w:w="1380" w:type="dxa"/>
            <w:tcBorders>
              <w:top w:val="single" w:sz="4" w:space="0" w:color="auto"/>
              <w:left w:val="nil"/>
              <w:bottom w:val="nil"/>
              <w:right w:val="nil"/>
            </w:tcBorders>
            <w:shd w:val="clear" w:color="000000" w:fill="FFFFFF"/>
            <w:noWrap/>
            <w:vAlign w:val="center"/>
            <w:hideMark/>
          </w:tcPr>
          <w:p w14:paraId="2B04E57A"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RI1</w:t>
            </w:r>
          </w:p>
        </w:tc>
        <w:tc>
          <w:tcPr>
            <w:tcW w:w="888" w:type="dxa"/>
            <w:tcBorders>
              <w:top w:val="single" w:sz="4" w:space="0" w:color="auto"/>
              <w:left w:val="nil"/>
              <w:bottom w:val="nil"/>
              <w:right w:val="nil"/>
            </w:tcBorders>
            <w:shd w:val="clear" w:color="000000" w:fill="FFFFFF"/>
            <w:noWrap/>
            <w:vAlign w:val="center"/>
            <w:hideMark/>
          </w:tcPr>
          <w:p w14:paraId="75E440CD"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single" w:sz="4" w:space="0" w:color="auto"/>
              <w:left w:val="nil"/>
              <w:bottom w:val="nil"/>
              <w:right w:val="nil"/>
            </w:tcBorders>
            <w:shd w:val="clear" w:color="000000" w:fill="FFFFFF"/>
            <w:noWrap/>
            <w:vAlign w:val="center"/>
            <w:hideMark/>
          </w:tcPr>
          <w:p w14:paraId="5096DD40"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single" w:sz="4" w:space="0" w:color="auto"/>
              <w:left w:val="nil"/>
              <w:bottom w:val="nil"/>
              <w:right w:val="nil"/>
            </w:tcBorders>
            <w:shd w:val="clear" w:color="000000" w:fill="FFFFFF"/>
            <w:noWrap/>
            <w:vAlign w:val="center"/>
            <w:hideMark/>
          </w:tcPr>
          <w:p w14:paraId="46B2C5ED"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single" w:sz="4" w:space="0" w:color="auto"/>
              <w:left w:val="nil"/>
              <w:bottom w:val="nil"/>
              <w:right w:val="nil"/>
            </w:tcBorders>
            <w:shd w:val="clear" w:color="000000" w:fill="FFFFFF"/>
            <w:noWrap/>
            <w:vAlign w:val="center"/>
            <w:hideMark/>
          </w:tcPr>
          <w:p w14:paraId="53600198"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single" w:sz="4" w:space="0" w:color="auto"/>
              <w:left w:val="nil"/>
              <w:bottom w:val="nil"/>
              <w:right w:val="nil"/>
            </w:tcBorders>
            <w:shd w:val="clear" w:color="000000" w:fill="FFFFFF"/>
            <w:noWrap/>
            <w:vAlign w:val="center"/>
            <w:hideMark/>
          </w:tcPr>
          <w:p w14:paraId="2529FEA9"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0,870</w:t>
            </w:r>
          </w:p>
        </w:tc>
        <w:tc>
          <w:tcPr>
            <w:tcW w:w="851" w:type="dxa"/>
            <w:tcBorders>
              <w:top w:val="single" w:sz="4" w:space="0" w:color="auto"/>
              <w:left w:val="nil"/>
              <w:bottom w:val="nil"/>
              <w:right w:val="nil"/>
            </w:tcBorders>
            <w:shd w:val="clear" w:color="000000" w:fill="FFFFFF"/>
            <w:noWrap/>
            <w:vAlign w:val="center"/>
            <w:hideMark/>
          </w:tcPr>
          <w:p w14:paraId="571B5616"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single" w:sz="4" w:space="0" w:color="auto"/>
              <w:left w:val="nil"/>
              <w:bottom w:val="nil"/>
              <w:right w:val="nil"/>
            </w:tcBorders>
            <w:shd w:val="clear" w:color="000000" w:fill="FFFFFF"/>
            <w:noWrap/>
            <w:vAlign w:val="center"/>
            <w:hideMark/>
          </w:tcPr>
          <w:p w14:paraId="4EC268C7"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53D65E9B" w14:textId="77777777" w:rsidTr="00752D76">
        <w:trPr>
          <w:trHeight w:val="288"/>
        </w:trPr>
        <w:tc>
          <w:tcPr>
            <w:tcW w:w="1380" w:type="dxa"/>
            <w:tcBorders>
              <w:top w:val="nil"/>
              <w:left w:val="nil"/>
              <w:bottom w:val="nil"/>
              <w:right w:val="nil"/>
            </w:tcBorders>
            <w:shd w:val="clear" w:color="000000" w:fill="FFFFFF"/>
            <w:noWrap/>
            <w:vAlign w:val="center"/>
            <w:hideMark/>
          </w:tcPr>
          <w:p w14:paraId="433B7CE5"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RI2</w:t>
            </w:r>
          </w:p>
        </w:tc>
        <w:tc>
          <w:tcPr>
            <w:tcW w:w="888" w:type="dxa"/>
            <w:tcBorders>
              <w:top w:val="nil"/>
              <w:left w:val="nil"/>
              <w:bottom w:val="nil"/>
              <w:right w:val="nil"/>
            </w:tcBorders>
            <w:shd w:val="clear" w:color="000000" w:fill="FFFFFF"/>
            <w:noWrap/>
            <w:vAlign w:val="center"/>
            <w:hideMark/>
          </w:tcPr>
          <w:p w14:paraId="5C334424"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35CA08F2"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22C60D06"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22EE623E"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2E3BADCE"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0,918</w:t>
            </w:r>
          </w:p>
        </w:tc>
        <w:tc>
          <w:tcPr>
            <w:tcW w:w="851" w:type="dxa"/>
            <w:tcBorders>
              <w:top w:val="nil"/>
              <w:left w:val="nil"/>
              <w:bottom w:val="nil"/>
              <w:right w:val="nil"/>
            </w:tcBorders>
            <w:shd w:val="clear" w:color="000000" w:fill="FFFFFF"/>
            <w:noWrap/>
            <w:vAlign w:val="center"/>
            <w:hideMark/>
          </w:tcPr>
          <w:p w14:paraId="4287840A"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nil"/>
              <w:right w:val="nil"/>
            </w:tcBorders>
            <w:shd w:val="clear" w:color="000000" w:fill="FFFFFF"/>
            <w:noWrap/>
            <w:vAlign w:val="center"/>
            <w:hideMark/>
          </w:tcPr>
          <w:p w14:paraId="63E1430E"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6D304FD9" w14:textId="77777777" w:rsidTr="00752D76">
        <w:trPr>
          <w:trHeight w:val="288"/>
        </w:trPr>
        <w:tc>
          <w:tcPr>
            <w:tcW w:w="1380" w:type="dxa"/>
            <w:tcBorders>
              <w:top w:val="nil"/>
              <w:left w:val="nil"/>
              <w:bottom w:val="single" w:sz="4" w:space="0" w:color="auto"/>
              <w:right w:val="nil"/>
            </w:tcBorders>
            <w:shd w:val="clear" w:color="000000" w:fill="FFFFFF"/>
            <w:noWrap/>
            <w:vAlign w:val="center"/>
            <w:hideMark/>
          </w:tcPr>
          <w:p w14:paraId="61F83713"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RI3</w:t>
            </w:r>
          </w:p>
        </w:tc>
        <w:tc>
          <w:tcPr>
            <w:tcW w:w="888" w:type="dxa"/>
            <w:tcBorders>
              <w:top w:val="nil"/>
              <w:left w:val="nil"/>
              <w:bottom w:val="single" w:sz="4" w:space="0" w:color="auto"/>
              <w:right w:val="nil"/>
            </w:tcBorders>
            <w:shd w:val="clear" w:color="000000" w:fill="FFFFFF"/>
            <w:noWrap/>
            <w:vAlign w:val="center"/>
            <w:hideMark/>
          </w:tcPr>
          <w:p w14:paraId="0A65BAC8"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single" w:sz="4" w:space="0" w:color="auto"/>
              <w:right w:val="nil"/>
            </w:tcBorders>
            <w:shd w:val="clear" w:color="000000" w:fill="FFFFFF"/>
            <w:noWrap/>
            <w:vAlign w:val="center"/>
            <w:hideMark/>
          </w:tcPr>
          <w:p w14:paraId="7BBB4D30"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single" w:sz="4" w:space="0" w:color="auto"/>
              <w:right w:val="nil"/>
            </w:tcBorders>
            <w:shd w:val="clear" w:color="000000" w:fill="FFFFFF"/>
            <w:noWrap/>
            <w:vAlign w:val="center"/>
            <w:hideMark/>
          </w:tcPr>
          <w:p w14:paraId="5B8D3607"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single" w:sz="4" w:space="0" w:color="auto"/>
              <w:right w:val="nil"/>
            </w:tcBorders>
            <w:shd w:val="clear" w:color="000000" w:fill="FFFFFF"/>
            <w:noWrap/>
            <w:vAlign w:val="center"/>
            <w:hideMark/>
          </w:tcPr>
          <w:p w14:paraId="535E93AB"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single" w:sz="4" w:space="0" w:color="auto"/>
              <w:right w:val="nil"/>
            </w:tcBorders>
            <w:shd w:val="clear" w:color="000000" w:fill="FFFFFF"/>
            <w:noWrap/>
            <w:vAlign w:val="center"/>
            <w:hideMark/>
          </w:tcPr>
          <w:p w14:paraId="6E53DAE3"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0,924</w:t>
            </w:r>
          </w:p>
        </w:tc>
        <w:tc>
          <w:tcPr>
            <w:tcW w:w="851" w:type="dxa"/>
            <w:tcBorders>
              <w:top w:val="nil"/>
              <w:left w:val="nil"/>
              <w:bottom w:val="single" w:sz="4" w:space="0" w:color="auto"/>
              <w:right w:val="nil"/>
            </w:tcBorders>
            <w:shd w:val="clear" w:color="000000" w:fill="FFFFFF"/>
            <w:noWrap/>
            <w:vAlign w:val="center"/>
            <w:hideMark/>
          </w:tcPr>
          <w:p w14:paraId="22013984"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single" w:sz="4" w:space="0" w:color="auto"/>
              <w:right w:val="nil"/>
            </w:tcBorders>
            <w:shd w:val="clear" w:color="000000" w:fill="FFFFFF"/>
            <w:noWrap/>
            <w:vAlign w:val="center"/>
            <w:hideMark/>
          </w:tcPr>
          <w:p w14:paraId="24084AF5"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486D2197" w14:textId="77777777" w:rsidTr="00752D76">
        <w:trPr>
          <w:trHeight w:val="288"/>
        </w:trPr>
        <w:tc>
          <w:tcPr>
            <w:tcW w:w="1380" w:type="dxa"/>
            <w:tcBorders>
              <w:top w:val="single" w:sz="4" w:space="0" w:color="auto"/>
              <w:left w:val="nil"/>
              <w:bottom w:val="nil"/>
              <w:right w:val="nil"/>
            </w:tcBorders>
            <w:shd w:val="clear" w:color="000000" w:fill="FFFFFF"/>
            <w:noWrap/>
            <w:vAlign w:val="center"/>
            <w:hideMark/>
          </w:tcPr>
          <w:p w14:paraId="71743688"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SC1</w:t>
            </w:r>
          </w:p>
        </w:tc>
        <w:tc>
          <w:tcPr>
            <w:tcW w:w="888" w:type="dxa"/>
            <w:tcBorders>
              <w:top w:val="single" w:sz="4" w:space="0" w:color="auto"/>
              <w:left w:val="nil"/>
              <w:bottom w:val="nil"/>
              <w:right w:val="nil"/>
            </w:tcBorders>
            <w:shd w:val="clear" w:color="000000" w:fill="FFFFFF"/>
            <w:noWrap/>
            <w:vAlign w:val="center"/>
            <w:hideMark/>
          </w:tcPr>
          <w:p w14:paraId="125D059B"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single" w:sz="4" w:space="0" w:color="auto"/>
              <w:left w:val="nil"/>
              <w:bottom w:val="nil"/>
              <w:right w:val="nil"/>
            </w:tcBorders>
            <w:shd w:val="clear" w:color="000000" w:fill="FFFFFF"/>
            <w:noWrap/>
            <w:vAlign w:val="center"/>
            <w:hideMark/>
          </w:tcPr>
          <w:p w14:paraId="15ACCB13"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single" w:sz="4" w:space="0" w:color="auto"/>
              <w:left w:val="nil"/>
              <w:bottom w:val="nil"/>
              <w:right w:val="nil"/>
            </w:tcBorders>
            <w:shd w:val="clear" w:color="000000" w:fill="FFFFFF"/>
            <w:noWrap/>
            <w:vAlign w:val="center"/>
            <w:hideMark/>
          </w:tcPr>
          <w:p w14:paraId="20F7617C"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single" w:sz="4" w:space="0" w:color="auto"/>
              <w:left w:val="nil"/>
              <w:bottom w:val="nil"/>
              <w:right w:val="nil"/>
            </w:tcBorders>
            <w:shd w:val="clear" w:color="000000" w:fill="FFFFFF"/>
            <w:noWrap/>
            <w:vAlign w:val="center"/>
            <w:hideMark/>
          </w:tcPr>
          <w:p w14:paraId="4D6393C2"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single" w:sz="4" w:space="0" w:color="auto"/>
              <w:left w:val="nil"/>
              <w:bottom w:val="nil"/>
              <w:right w:val="nil"/>
            </w:tcBorders>
            <w:shd w:val="clear" w:color="000000" w:fill="FFFFFF"/>
            <w:noWrap/>
            <w:vAlign w:val="center"/>
            <w:hideMark/>
          </w:tcPr>
          <w:p w14:paraId="00285EC9"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single" w:sz="4" w:space="0" w:color="auto"/>
              <w:left w:val="nil"/>
              <w:bottom w:val="nil"/>
              <w:right w:val="nil"/>
            </w:tcBorders>
            <w:shd w:val="clear" w:color="000000" w:fill="FFFFFF"/>
            <w:noWrap/>
            <w:vAlign w:val="center"/>
            <w:hideMark/>
          </w:tcPr>
          <w:p w14:paraId="27C8E850"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0,872</w:t>
            </w:r>
          </w:p>
        </w:tc>
        <w:tc>
          <w:tcPr>
            <w:tcW w:w="992" w:type="dxa"/>
            <w:tcBorders>
              <w:top w:val="single" w:sz="4" w:space="0" w:color="auto"/>
              <w:left w:val="nil"/>
              <w:bottom w:val="nil"/>
              <w:right w:val="nil"/>
            </w:tcBorders>
            <w:shd w:val="clear" w:color="000000" w:fill="FFFFFF"/>
            <w:noWrap/>
            <w:vAlign w:val="center"/>
            <w:hideMark/>
          </w:tcPr>
          <w:p w14:paraId="61850DBE"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06A4F975" w14:textId="77777777" w:rsidTr="00752D76">
        <w:trPr>
          <w:trHeight w:val="288"/>
        </w:trPr>
        <w:tc>
          <w:tcPr>
            <w:tcW w:w="1380" w:type="dxa"/>
            <w:tcBorders>
              <w:top w:val="nil"/>
              <w:left w:val="nil"/>
              <w:bottom w:val="nil"/>
              <w:right w:val="nil"/>
            </w:tcBorders>
            <w:shd w:val="clear" w:color="000000" w:fill="FFFFFF"/>
            <w:noWrap/>
            <w:vAlign w:val="center"/>
            <w:hideMark/>
          </w:tcPr>
          <w:p w14:paraId="1DAE8974"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SC2</w:t>
            </w:r>
          </w:p>
        </w:tc>
        <w:tc>
          <w:tcPr>
            <w:tcW w:w="888" w:type="dxa"/>
            <w:tcBorders>
              <w:top w:val="nil"/>
              <w:left w:val="nil"/>
              <w:bottom w:val="nil"/>
              <w:right w:val="nil"/>
            </w:tcBorders>
            <w:shd w:val="clear" w:color="000000" w:fill="FFFFFF"/>
            <w:noWrap/>
            <w:vAlign w:val="center"/>
            <w:hideMark/>
          </w:tcPr>
          <w:p w14:paraId="4BDBFAAF"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512CF9B8"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4574E222"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30140779"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0B6F6DA0"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4CCD3D3C"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0,867</w:t>
            </w:r>
          </w:p>
        </w:tc>
        <w:tc>
          <w:tcPr>
            <w:tcW w:w="992" w:type="dxa"/>
            <w:tcBorders>
              <w:top w:val="nil"/>
              <w:left w:val="nil"/>
              <w:bottom w:val="nil"/>
              <w:right w:val="nil"/>
            </w:tcBorders>
            <w:shd w:val="clear" w:color="000000" w:fill="FFFFFF"/>
            <w:noWrap/>
            <w:vAlign w:val="center"/>
            <w:hideMark/>
          </w:tcPr>
          <w:p w14:paraId="78B303C8"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7523D477" w14:textId="77777777" w:rsidTr="00752D76">
        <w:trPr>
          <w:trHeight w:val="288"/>
        </w:trPr>
        <w:tc>
          <w:tcPr>
            <w:tcW w:w="1380" w:type="dxa"/>
            <w:tcBorders>
              <w:top w:val="nil"/>
              <w:left w:val="nil"/>
              <w:bottom w:val="nil"/>
              <w:right w:val="nil"/>
            </w:tcBorders>
            <w:shd w:val="clear" w:color="000000" w:fill="FFFFFF"/>
            <w:noWrap/>
            <w:vAlign w:val="center"/>
            <w:hideMark/>
          </w:tcPr>
          <w:p w14:paraId="0202C344"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SC3</w:t>
            </w:r>
          </w:p>
        </w:tc>
        <w:tc>
          <w:tcPr>
            <w:tcW w:w="888" w:type="dxa"/>
            <w:tcBorders>
              <w:top w:val="nil"/>
              <w:left w:val="nil"/>
              <w:bottom w:val="nil"/>
              <w:right w:val="nil"/>
            </w:tcBorders>
            <w:shd w:val="clear" w:color="000000" w:fill="FFFFFF"/>
            <w:noWrap/>
            <w:vAlign w:val="center"/>
            <w:hideMark/>
          </w:tcPr>
          <w:p w14:paraId="3F09BF4D"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73FCBE45"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421C50FB"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535B8706"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7957C2D9"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36DAFE96"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0,763</w:t>
            </w:r>
          </w:p>
        </w:tc>
        <w:tc>
          <w:tcPr>
            <w:tcW w:w="992" w:type="dxa"/>
            <w:tcBorders>
              <w:top w:val="nil"/>
              <w:left w:val="nil"/>
              <w:bottom w:val="nil"/>
              <w:right w:val="nil"/>
            </w:tcBorders>
            <w:shd w:val="clear" w:color="000000" w:fill="FFFFFF"/>
            <w:noWrap/>
            <w:vAlign w:val="center"/>
            <w:hideMark/>
          </w:tcPr>
          <w:p w14:paraId="0A658ECC"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391527C6" w14:textId="77777777" w:rsidTr="00752D76">
        <w:trPr>
          <w:trHeight w:val="288"/>
        </w:trPr>
        <w:tc>
          <w:tcPr>
            <w:tcW w:w="1380" w:type="dxa"/>
            <w:tcBorders>
              <w:top w:val="nil"/>
              <w:left w:val="nil"/>
              <w:bottom w:val="nil"/>
              <w:right w:val="nil"/>
            </w:tcBorders>
            <w:shd w:val="clear" w:color="000000" w:fill="FFFFFF"/>
            <w:noWrap/>
            <w:vAlign w:val="center"/>
            <w:hideMark/>
          </w:tcPr>
          <w:p w14:paraId="7A9AC772"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SC4</w:t>
            </w:r>
          </w:p>
        </w:tc>
        <w:tc>
          <w:tcPr>
            <w:tcW w:w="888" w:type="dxa"/>
            <w:tcBorders>
              <w:top w:val="nil"/>
              <w:left w:val="nil"/>
              <w:bottom w:val="nil"/>
              <w:right w:val="nil"/>
            </w:tcBorders>
            <w:shd w:val="clear" w:color="000000" w:fill="FFFFFF"/>
            <w:noWrap/>
            <w:vAlign w:val="center"/>
            <w:hideMark/>
          </w:tcPr>
          <w:p w14:paraId="1EE2681D"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6EC0D236"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764D4BDD"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0E644D02"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38EAF29C"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286A1CF2"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0,882</w:t>
            </w:r>
          </w:p>
        </w:tc>
        <w:tc>
          <w:tcPr>
            <w:tcW w:w="992" w:type="dxa"/>
            <w:tcBorders>
              <w:top w:val="nil"/>
              <w:left w:val="nil"/>
              <w:bottom w:val="nil"/>
              <w:right w:val="nil"/>
            </w:tcBorders>
            <w:shd w:val="clear" w:color="000000" w:fill="FFFFFF"/>
            <w:noWrap/>
            <w:vAlign w:val="center"/>
            <w:hideMark/>
          </w:tcPr>
          <w:p w14:paraId="09E53454"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7D14CEB2" w14:textId="77777777" w:rsidTr="00752D76">
        <w:trPr>
          <w:trHeight w:val="288"/>
        </w:trPr>
        <w:tc>
          <w:tcPr>
            <w:tcW w:w="1380" w:type="dxa"/>
            <w:tcBorders>
              <w:top w:val="nil"/>
              <w:left w:val="nil"/>
              <w:bottom w:val="single" w:sz="4" w:space="0" w:color="auto"/>
              <w:right w:val="nil"/>
            </w:tcBorders>
            <w:shd w:val="clear" w:color="000000" w:fill="FFFFFF"/>
            <w:noWrap/>
            <w:vAlign w:val="center"/>
            <w:hideMark/>
          </w:tcPr>
          <w:p w14:paraId="7BA3A5AD"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SC5</w:t>
            </w:r>
          </w:p>
        </w:tc>
        <w:tc>
          <w:tcPr>
            <w:tcW w:w="888" w:type="dxa"/>
            <w:tcBorders>
              <w:top w:val="nil"/>
              <w:left w:val="nil"/>
              <w:bottom w:val="single" w:sz="4" w:space="0" w:color="auto"/>
              <w:right w:val="nil"/>
            </w:tcBorders>
            <w:shd w:val="clear" w:color="000000" w:fill="FFFFFF"/>
            <w:noWrap/>
            <w:vAlign w:val="center"/>
            <w:hideMark/>
          </w:tcPr>
          <w:p w14:paraId="5017DA61"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single" w:sz="4" w:space="0" w:color="auto"/>
              <w:right w:val="nil"/>
            </w:tcBorders>
            <w:shd w:val="clear" w:color="000000" w:fill="FFFFFF"/>
            <w:noWrap/>
            <w:vAlign w:val="center"/>
            <w:hideMark/>
          </w:tcPr>
          <w:p w14:paraId="3E2190E2"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single" w:sz="4" w:space="0" w:color="auto"/>
              <w:right w:val="nil"/>
            </w:tcBorders>
            <w:shd w:val="clear" w:color="000000" w:fill="FFFFFF"/>
            <w:noWrap/>
            <w:vAlign w:val="center"/>
            <w:hideMark/>
          </w:tcPr>
          <w:p w14:paraId="28BFF92E"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single" w:sz="4" w:space="0" w:color="auto"/>
              <w:right w:val="nil"/>
            </w:tcBorders>
            <w:shd w:val="clear" w:color="000000" w:fill="FFFFFF"/>
            <w:noWrap/>
            <w:vAlign w:val="center"/>
            <w:hideMark/>
          </w:tcPr>
          <w:p w14:paraId="67C733B3"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single" w:sz="4" w:space="0" w:color="auto"/>
              <w:right w:val="nil"/>
            </w:tcBorders>
            <w:shd w:val="clear" w:color="000000" w:fill="FFFFFF"/>
            <w:noWrap/>
            <w:vAlign w:val="center"/>
            <w:hideMark/>
          </w:tcPr>
          <w:p w14:paraId="601739A2"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single" w:sz="4" w:space="0" w:color="auto"/>
              <w:right w:val="nil"/>
            </w:tcBorders>
            <w:shd w:val="clear" w:color="000000" w:fill="FFFFFF"/>
            <w:noWrap/>
            <w:vAlign w:val="center"/>
            <w:hideMark/>
          </w:tcPr>
          <w:p w14:paraId="760AF35C"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0,835</w:t>
            </w:r>
          </w:p>
        </w:tc>
        <w:tc>
          <w:tcPr>
            <w:tcW w:w="992" w:type="dxa"/>
            <w:tcBorders>
              <w:top w:val="nil"/>
              <w:left w:val="nil"/>
              <w:bottom w:val="single" w:sz="4" w:space="0" w:color="auto"/>
              <w:right w:val="nil"/>
            </w:tcBorders>
            <w:shd w:val="clear" w:color="000000" w:fill="FFFFFF"/>
            <w:noWrap/>
            <w:vAlign w:val="center"/>
            <w:hideMark/>
          </w:tcPr>
          <w:p w14:paraId="1D2705C3" w14:textId="77777777" w:rsidR="00475D06" w:rsidRPr="00F42F80" w:rsidRDefault="00475D06" w:rsidP="00752D76">
            <w:pPr>
              <w:jc w:val="both"/>
              <w:rPr>
                <w:rFonts w:ascii="Lustria" w:eastAsia="Calibri" w:hAnsi="Lustria"/>
                <w:color w:val="000000"/>
                <w:sz w:val="22"/>
                <w:szCs w:val="22"/>
                <w:lang w:val="en-ID"/>
              </w:rPr>
            </w:pPr>
          </w:p>
        </w:tc>
      </w:tr>
      <w:tr w:rsidR="00475D06" w:rsidRPr="00F42F80" w14:paraId="4F32855E" w14:textId="77777777" w:rsidTr="00752D76">
        <w:trPr>
          <w:trHeight w:val="288"/>
        </w:trPr>
        <w:tc>
          <w:tcPr>
            <w:tcW w:w="1380" w:type="dxa"/>
            <w:tcBorders>
              <w:top w:val="single" w:sz="4" w:space="0" w:color="auto"/>
              <w:left w:val="nil"/>
              <w:bottom w:val="nil"/>
              <w:right w:val="nil"/>
            </w:tcBorders>
            <w:shd w:val="clear" w:color="000000" w:fill="FFFFFF"/>
            <w:noWrap/>
            <w:vAlign w:val="center"/>
            <w:hideMark/>
          </w:tcPr>
          <w:p w14:paraId="224A8019"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TO1</w:t>
            </w:r>
          </w:p>
        </w:tc>
        <w:tc>
          <w:tcPr>
            <w:tcW w:w="888" w:type="dxa"/>
            <w:tcBorders>
              <w:top w:val="single" w:sz="4" w:space="0" w:color="auto"/>
              <w:left w:val="nil"/>
              <w:bottom w:val="nil"/>
              <w:right w:val="nil"/>
            </w:tcBorders>
            <w:shd w:val="clear" w:color="000000" w:fill="FFFFFF"/>
            <w:noWrap/>
            <w:vAlign w:val="center"/>
            <w:hideMark/>
          </w:tcPr>
          <w:p w14:paraId="1F20F542"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single" w:sz="4" w:space="0" w:color="auto"/>
              <w:left w:val="nil"/>
              <w:bottom w:val="nil"/>
              <w:right w:val="nil"/>
            </w:tcBorders>
            <w:shd w:val="clear" w:color="000000" w:fill="FFFFFF"/>
            <w:noWrap/>
            <w:vAlign w:val="center"/>
            <w:hideMark/>
          </w:tcPr>
          <w:p w14:paraId="4E6DA4F7"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single" w:sz="4" w:space="0" w:color="auto"/>
              <w:left w:val="nil"/>
              <w:bottom w:val="nil"/>
              <w:right w:val="nil"/>
            </w:tcBorders>
            <w:shd w:val="clear" w:color="000000" w:fill="FFFFFF"/>
            <w:noWrap/>
            <w:vAlign w:val="center"/>
            <w:hideMark/>
          </w:tcPr>
          <w:p w14:paraId="5F5E7637"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single" w:sz="4" w:space="0" w:color="auto"/>
              <w:left w:val="nil"/>
              <w:bottom w:val="nil"/>
              <w:right w:val="nil"/>
            </w:tcBorders>
            <w:shd w:val="clear" w:color="000000" w:fill="FFFFFF"/>
            <w:noWrap/>
            <w:vAlign w:val="center"/>
            <w:hideMark/>
          </w:tcPr>
          <w:p w14:paraId="45E9F7B1"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single" w:sz="4" w:space="0" w:color="auto"/>
              <w:left w:val="nil"/>
              <w:bottom w:val="nil"/>
              <w:right w:val="nil"/>
            </w:tcBorders>
            <w:shd w:val="clear" w:color="000000" w:fill="FFFFFF"/>
            <w:noWrap/>
            <w:vAlign w:val="center"/>
            <w:hideMark/>
          </w:tcPr>
          <w:p w14:paraId="3BD027BA"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single" w:sz="4" w:space="0" w:color="auto"/>
              <w:left w:val="nil"/>
              <w:bottom w:val="nil"/>
              <w:right w:val="nil"/>
            </w:tcBorders>
            <w:shd w:val="clear" w:color="000000" w:fill="FFFFFF"/>
            <w:noWrap/>
            <w:vAlign w:val="center"/>
            <w:hideMark/>
          </w:tcPr>
          <w:p w14:paraId="3B90F006"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single" w:sz="4" w:space="0" w:color="auto"/>
              <w:left w:val="nil"/>
              <w:bottom w:val="nil"/>
              <w:right w:val="nil"/>
            </w:tcBorders>
            <w:shd w:val="clear" w:color="000000" w:fill="FFFFFF"/>
            <w:noWrap/>
            <w:vAlign w:val="center"/>
            <w:hideMark/>
          </w:tcPr>
          <w:p w14:paraId="4254EDC5"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0,872</w:t>
            </w:r>
          </w:p>
        </w:tc>
      </w:tr>
      <w:tr w:rsidR="00475D06" w:rsidRPr="00F42F80" w14:paraId="0BCEE17E" w14:textId="77777777" w:rsidTr="00752D76">
        <w:trPr>
          <w:trHeight w:val="288"/>
        </w:trPr>
        <w:tc>
          <w:tcPr>
            <w:tcW w:w="1380" w:type="dxa"/>
            <w:tcBorders>
              <w:top w:val="nil"/>
              <w:left w:val="nil"/>
              <w:bottom w:val="nil"/>
              <w:right w:val="nil"/>
            </w:tcBorders>
            <w:shd w:val="clear" w:color="000000" w:fill="FFFFFF"/>
            <w:noWrap/>
            <w:vAlign w:val="center"/>
            <w:hideMark/>
          </w:tcPr>
          <w:p w14:paraId="60334914"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TO2</w:t>
            </w:r>
          </w:p>
        </w:tc>
        <w:tc>
          <w:tcPr>
            <w:tcW w:w="888" w:type="dxa"/>
            <w:tcBorders>
              <w:top w:val="nil"/>
              <w:left w:val="nil"/>
              <w:bottom w:val="nil"/>
              <w:right w:val="nil"/>
            </w:tcBorders>
            <w:shd w:val="clear" w:color="000000" w:fill="FFFFFF"/>
            <w:noWrap/>
            <w:vAlign w:val="center"/>
            <w:hideMark/>
          </w:tcPr>
          <w:p w14:paraId="2A876D9E"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288508B6"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12ABFE72"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6B4D0419"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04A32520"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01D401CA"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nil"/>
              <w:right w:val="nil"/>
            </w:tcBorders>
            <w:shd w:val="clear" w:color="000000" w:fill="FFFFFF"/>
            <w:noWrap/>
            <w:vAlign w:val="center"/>
            <w:hideMark/>
          </w:tcPr>
          <w:p w14:paraId="3D554899"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0,908</w:t>
            </w:r>
          </w:p>
        </w:tc>
      </w:tr>
      <w:tr w:rsidR="00475D06" w:rsidRPr="00F42F80" w14:paraId="63F6B01E" w14:textId="77777777" w:rsidTr="00752D76">
        <w:trPr>
          <w:trHeight w:val="288"/>
        </w:trPr>
        <w:tc>
          <w:tcPr>
            <w:tcW w:w="1380" w:type="dxa"/>
            <w:tcBorders>
              <w:top w:val="nil"/>
              <w:left w:val="nil"/>
              <w:bottom w:val="nil"/>
              <w:right w:val="nil"/>
            </w:tcBorders>
            <w:shd w:val="clear" w:color="000000" w:fill="FFFFFF"/>
            <w:noWrap/>
            <w:vAlign w:val="center"/>
            <w:hideMark/>
          </w:tcPr>
          <w:p w14:paraId="1AAD42F7"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TO3</w:t>
            </w:r>
          </w:p>
        </w:tc>
        <w:tc>
          <w:tcPr>
            <w:tcW w:w="888" w:type="dxa"/>
            <w:tcBorders>
              <w:top w:val="nil"/>
              <w:left w:val="nil"/>
              <w:bottom w:val="nil"/>
              <w:right w:val="nil"/>
            </w:tcBorders>
            <w:shd w:val="clear" w:color="000000" w:fill="FFFFFF"/>
            <w:noWrap/>
            <w:vAlign w:val="center"/>
            <w:hideMark/>
          </w:tcPr>
          <w:p w14:paraId="03EECD4F"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7B46FF6D"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6DC1ED7C"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43C095AC"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4E3AC96A"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404DD0DB"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nil"/>
              <w:right w:val="nil"/>
            </w:tcBorders>
            <w:shd w:val="clear" w:color="000000" w:fill="FFFFFF"/>
            <w:noWrap/>
            <w:vAlign w:val="center"/>
            <w:hideMark/>
          </w:tcPr>
          <w:p w14:paraId="04524A3D"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0,855</w:t>
            </w:r>
          </w:p>
        </w:tc>
      </w:tr>
      <w:tr w:rsidR="00475D06" w:rsidRPr="00F42F80" w14:paraId="796C93CB" w14:textId="77777777" w:rsidTr="00752D76">
        <w:trPr>
          <w:trHeight w:val="288"/>
        </w:trPr>
        <w:tc>
          <w:tcPr>
            <w:tcW w:w="1380" w:type="dxa"/>
            <w:tcBorders>
              <w:top w:val="nil"/>
              <w:left w:val="nil"/>
              <w:bottom w:val="nil"/>
              <w:right w:val="nil"/>
            </w:tcBorders>
            <w:shd w:val="clear" w:color="000000" w:fill="FFFFFF"/>
            <w:noWrap/>
            <w:vAlign w:val="center"/>
            <w:hideMark/>
          </w:tcPr>
          <w:p w14:paraId="09CF6451"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TO4</w:t>
            </w:r>
          </w:p>
        </w:tc>
        <w:tc>
          <w:tcPr>
            <w:tcW w:w="888" w:type="dxa"/>
            <w:tcBorders>
              <w:top w:val="nil"/>
              <w:left w:val="nil"/>
              <w:bottom w:val="nil"/>
              <w:right w:val="nil"/>
            </w:tcBorders>
            <w:shd w:val="clear" w:color="000000" w:fill="FFFFFF"/>
            <w:noWrap/>
            <w:vAlign w:val="center"/>
            <w:hideMark/>
          </w:tcPr>
          <w:p w14:paraId="74481CBD"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0D836A09"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058799FD"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3E2B33A9"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nil"/>
              <w:right w:val="nil"/>
            </w:tcBorders>
            <w:shd w:val="clear" w:color="000000" w:fill="FFFFFF"/>
            <w:noWrap/>
            <w:vAlign w:val="center"/>
            <w:hideMark/>
          </w:tcPr>
          <w:p w14:paraId="1A69AF71"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nil"/>
              <w:right w:val="nil"/>
            </w:tcBorders>
            <w:shd w:val="clear" w:color="000000" w:fill="FFFFFF"/>
            <w:noWrap/>
            <w:vAlign w:val="center"/>
            <w:hideMark/>
          </w:tcPr>
          <w:p w14:paraId="637C3BBE"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nil"/>
              <w:right w:val="nil"/>
            </w:tcBorders>
            <w:shd w:val="clear" w:color="000000" w:fill="FFFFFF"/>
            <w:noWrap/>
            <w:vAlign w:val="center"/>
            <w:hideMark/>
          </w:tcPr>
          <w:p w14:paraId="300CE2FB"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0,821</w:t>
            </w:r>
          </w:p>
        </w:tc>
      </w:tr>
      <w:tr w:rsidR="00475D06" w:rsidRPr="00F42F80" w14:paraId="3DD2EF32" w14:textId="77777777" w:rsidTr="00752D76">
        <w:trPr>
          <w:trHeight w:val="288"/>
        </w:trPr>
        <w:tc>
          <w:tcPr>
            <w:tcW w:w="1380" w:type="dxa"/>
            <w:tcBorders>
              <w:top w:val="nil"/>
              <w:left w:val="nil"/>
              <w:bottom w:val="single" w:sz="4" w:space="0" w:color="auto"/>
              <w:right w:val="nil"/>
            </w:tcBorders>
            <w:shd w:val="clear" w:color="000000" w:fill="FFFFFF"/>
            <w:noWrap/>
            <w:vAlign w:val="center"/>
            <w:hideMark/>
          </w:tcPr>
          <w:p w14:paraId="556EC011"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TO5</w:t>
            </w:r>
          </w:p>
        </w:tc>
        <w:tc>
          <w:tcPr>
            <w:tcW w:w="888" w:type="dxa"/>
            <w:tcBorders>
              <w:top w:val="nil"/>
              <w:left w:val="nil"/>
              <w:bottom w:val="single" w:sz="4" w:space="0" w:color="auto"/>
              <w:right w:val="nil"/>
            </w:tcBorders>
            <w:shd w:val="clear" w:color="000000" w:fill="FFFFFF"/>
            <w:noWrap/>
            <w:vAlign w:val="center"/>
            <w:hideMark/>
          </w:tcPr>
          <w:p w14:paraId="14CB269E"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single" w:sz="4" w:space="0" w:color="auto"/>
              <w:right w:val="nil"/>
            </w:tcBorders>
            <w:shd w:val="clear" w:color="000000" w:fill="FFFFFF"/>
            <w:noWrap/>
            <w:vAlign w:val="center"/>
            <w:hideMark/>
          </w:tcPr>
          <w:p w14:paraId="50953817"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single" w:sz="4" w:space="0" w:color="auto"/>
              <w:right w:val="nil"/>
            </w:tcBorders>
            <w:shd w:val="clear" w:color="000000" w:fill="FFFFFF"/>
            <w:noWrap/>
            <w:vAlign w:val="center"/>
            <w:hideMark/>
          </w:tcPr>
          <w:p w14:paraId="0795A925"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single" w:sz="4" w:space="0" w:color="auto"/>
              <w:right w:val="nil"/>
            </w:tcBorders>
            <w:shd w:val="clear" w:color="000000" w:fill="FFFFFF"/>
            <w:noWrap/>
            <w:vAlign w:val="center"/>
            <w:hideMark/>
          </w:tcPr>
          <w:p w14:paraId="13869B4E" w14:textId="77777777" w:rsidR="00475D06" w:rsidRPr="00F42F80" w:rsidRDefault="00475D06" w:rsidP="00752D76">
            <w:pPr>
              <w:jc w:val="both"/>
              <w:rPr>
                <w:rFonts w:ascii="Lustria" w:eastAsia="Calibri" w:hAnsi="Lustria"/>
                <w:color w:val="000000"/>
                <w:sz w:val="22"/>
                <w:szCs w:val="22"/>
                <w:lang w:val="en-ID"/>
              </w:rPr>
            </w:pPr>
          </w:p>
        </w:tc>
        <w:tc>
          <w:tcPr>
            <w:tcW w:w="850" w:type="dxa"/>
            <w:tcBorders>
              <w:top w:val="nil"/>
              <w:left w:val="nil"/>
              <w:bottom w:val="single" w:sz="4" w:space="0" w:color="auto"/>
              <w:right w:val="nil"/>
            </w:tcBorders>
            <w:shd w:val="clear" w:color="000000" w:fill="FFFFFF"/>
            <w:noWrap/>
            <w:vAlign w:val="center"/>
            <w:hideMark/>
          </w:tcPr>
          <w:p w14:paraId="2E00AEEB" w14:textId="77777777" w:rsidR="00475D06" w:rsidRPr="00F42F80" w:rsidRDefault="00475D06" w:rsidP="00752D76">
            <w:pPr>
              <w:jc w:val="both"/>
              <w:rPr>
                <w:rFonts w:ascii="Lustria" w:eastAsia="Calibri" w:hAnsi="Lustria"/>
                <w:color w:val="000000"/>
                <w:sz w:val="22"/>
                <w:szCs w:val="22"/>
                <w:lang w:val="en-ID"/>
              </w:rPr>
            </w:pPr>
          </w:p>
        </w:tc>
        <w:tc>
          <w:tcPr>
            <w:tcW w:w="851" w:type="dxa"/>
            <w:tcBorders>
              <w:top w:val="nil"/>
              <w:left w:val="nil"/>
              <w:bottom w:val="single" w:sz="4" w:space="0" w:color="auto"/>
              <w:right w:val="nil"/>
            </w:tcBorders>
            <w:shd w:val="clear" w:color="000000" w:fill="FFFFFF"/>
            <w:noWrap/>
            <w:vAlign w:val="center"/>
            <w:hideMark/>
          </w:tcPr>
          <w:p w14:paraId="6B432DF5" w14:textId="77777777" w:rsidR="00475D06" w:rsidRPr="00F42F80" w:rsidRDefault="00475D06" w:rsidP="00752D76">
            <w:pPr>
              <w:jc w:val="both"/>
              <w:rPr>
                <w:rFonts w:ascii="Lustria" w:eastAsia="Calibri" w:hAnsi="Lustria"/>
                <w:color w:val="000000"/>
                <w:sz w:val="22"/>
                <w:szCs w:val="22"/>
                <w:lang w:val="en-ID"/>
              </w:rPr>
            </w:pPr>
          </w:p>
        </w:tc>
        <w:tc>
          <w:tcPr>
            <w:tcW w:w="992" w:type="dxa"/>
            <w:tcBorders>
              <w:top w:val="nil"/>
              <w:left w:val="nil"/>
              <w:bottom w:val="single" w:sz="4" w:space="0" w:color="auto"/>
              <w:right w:val="nil"/>
            </w:tcBorders>
            <w:shd w:val="clear" w:color="000000" w:fill="FFFFFF"/>
            <w:noWrap/>
            <w:vAlign w:val="center"/>
            <w:hideMark/>
          </w:tcPr>
          <w:p w14:paraId="0B46FFE0" w14:textId="77777777" w:rsidR="00475D06" w:rsidRPr="00F42F80" w:rsidRDefault="00475D06" w:rsidP="00752D76">
            <w:pPr>
              <w:jc w:val="both"/>
              <w:rPr>
                <w:rFonts w:ascii="Lustria" w:eastAsia="Calibri" w:hAnsi="Lustria"/>
                <w:color w:val="000000"/>
                <w:sz w:val="22"/>
                <w:szCs w:val="22"/>
                <w:lang w:val="en-ID"/>
              </w:rPr>
            </w:pPr>
            <w:r w:rsidRPr="00F42F80">
              <w:rPr>
                <w:rFonts w:ascii="Lustria" w:eastAsia="Calibri" w:hAnsi="Lustria"/>
                <w:color w:val="000000"/>
                <w:sz w:val="22"/>
                <w:szCs w:val="22"/>
                <w:lang w:val="en-ID"/>
              </w:rPr>
              <w:t>0,819</w:t>
            </w:r>
          </w:p>
        </w:tc>
      </w:tr>
    </w:tbl>
    <w:p w14:paraId="051B68E9" w14:textId="7EA9E351" w:rsidR="00475D06" w:rsidRPr="00F42F80" w:rsidRDefault="00475D06" w:rsidP="00475D06">
      <w:pPr>
        <w:ind w:firstLine="709"/>
        <w:jc w:val="both"/>
        <w:rPr>
          <w:rFonts w:ascii="Lustria" w:hAnsi="Lustria"/>
          <w:sz w:val="22"/>
          <w:szCs w:val="22"/>
        </w:rPr>
      </w:pPr>
    </w:p>
    <w:p w14:paraId="23EB92B8" w14:textId="77777777" w:rsidR="00752D76" w:rsidRPr="00F42F80" w:rsidRDefault="00475D06" w:rsidP="00475D06">
      <w:pPr>
        <w:pStyle w:val="Heading1"/>
        <w:spacing w:line="240" w:lineRule="auto"/>
        <w:ind w:right="6" w:firstLine="720"/>
        <w:jc w:val="both"/>
        <w:rPr>
          <w:rFonts w:ascii="Lustria" w:hAnsi="Lustria"/>
          <w:b w:val="0"/>
          <w:bCs w:val="0"/>
          <w:sz w:val="22"/>
          <w:szCs w:val="22"/>
        </w:rPr>
      </w:pPr>
      <w:r w:rsidRPr="00F42F80">
        <w:rPr>
          <w:rFonts w:ascii="Lustria" w:hAnsi="Lustria"/>
          <w:b w:val="0"/>
          <w:bCs w:val="0"/>
          <w:sz w:val="22"/>
          <w:szCs w:val="22"/>
        </w:rPr>
        <w:t xml:space="preserve">In the final </w:t>
      </w:r>
      <w:bookmarkEnd w:id="5"/>
      <w:r w:rsidRPr="00F42F80">
        <w:rPr>
          <w:rFonts w:ascii="Lustria" w:hAnsi="Lustria"/>
          <w:b w:val="0"/>
          <w:bCs w:val="0"/>
          <w:sz w:val="22"/>
          <w:szCs w:val="22"/>
        </w:rPr>
        <w:t xml:space="preserve">section of construct validity, this study examines the data's reliability using Cronbach's alpha and composite reliability. Consistency of internal data reliability requires at least 0.6 for </w:t>
      </w:r>
      <w:r w:rsidRPr="00F42F80">
        <w:rPr>
          <w:rFonts w:ascii="Lustria" w:hAnsi="Lustria"/>
          <w:b w:val="0"/>
          <w:bCs w:val="0"/>
          <w:sz w:val="22"/>
          <w:szCs w:val="22"/>
        </w:rPr>
        <w:lastRenderedPageBreak/>
        <w:t xml:space="preserve">Cronbach's alpha value and composite reliability </w:t>
      </w:r>
      <w:r w:rsidRPr="00F42F80">
        <w:rPr>
          <w:rFonts w:ascii="Lustria" w:hAnsi="Lustria"/>
          <w:b w:val="0"/>
          <w:bCs w:val="0"/>
          <w:sz w:val="22"/>
          <w:szCs w:val="22"/>
        </w:rPr>
        <w:fldChar w:fldCharType="begin" w:fldLock="1"/>
      </w:r>
      <w:r w:rsidRPr="00F42F80">
        <w:rPr>
          <w:rFonts w:ascii="Lustria" w:hAnsi="Lustria"/>
          <w:b w:val="0"/>
          <w:bCs w:val="0"/>
          <w:sz w:val="22"/>
          <w:szCs w:val="22"/>
        </w:rPr>
        <w:instrText>ADDIN CSL_CITATION {"citationItems":[{"id":"ITEM-1","itemData":{"author":[{"dropping-particle":"","family":"Hair","given":"J F","non-dropping-particle":"","parse-names":false,"suffix":""},{"dropping-particle":"","family":"Black","given":"W C","non-dropping-particle":"","parse-names":false,"suffix":""},{"dropping-particle":"","family":"Babin","given":"B J","non-dropping-particle":"","parse-names":false,"suffix":""},{"dropping-particle":"","family":"Anderson","given":"R E","non-dropping-particle":"","parse-names":false,"suffix":""}],"id":"ITEM-1","issued":{"date-parts":[["2009"]]},"publisher":"JOUR","title":"Multivariate Data Analysis 7th Edition Pearson Prentice Hall","type":"article"},"uris":["http://www.mendeley.com/documents/?uuid=fbd24a9e-1d36-4780-b259-4e77bcf784f4"]}],"mendeley":{"formattedCitation":"(Hair et al., 2009)","plainTextFormattedCitation":"(Hair et al., 2009)","previouslyFormattedCitation":"(Hair et al., 2009)"},"properties":{"noteIndex":0},"schema":"https://github.com/citation-style-language/schema/raw/master/csl-citation.json"}</w:instrText>
      </w:r>
      <w:r w:rsidRPr="00F42F80">
        <w:rPr>
          <w:rFonts w:ascii="Lustria" w:hAnsi="Lustria"/>
          <w:b w:val="0"/>
          <w:bCs w:val="0"/>
          <w:sz w:val="22"/>
          <w:szCs w:val="22"/>
        </w:rPr>
        <w:fldChar w:fldCharType="separate"/>
      </w:r>
      <w:r w:rsidRPr="00F42F80">
        <w:rPr>
          <w:rFonts w:ascii="Lustria" w:hAnsi="Lustria"/>
          <w:b w:val="0"/>
          <w:bCs w:val="0"/>
          <w:noProof/>
          <w:sz w:val="22"/>
          <w:szCs w:val="22"/>
        </w:rPr>
        <w:t>(Hair et al., 2009)</w:t>
      </w:r>
      <w:r w:rsidRPr="00F42F80">
        <w:rPr>
          <w:rFonts w:ascii="Lustria" w:hAnsi="Lustria"/>
          <w:b w:val="0"/>
          <w:bCs w:val="0"/>
          <w:sz w:val="22"/>
          <w:szCs w:val="22"/>
        </w:rPr>
        <w:fldChar w:fldCharType="end"/>
      </w:r>
      <w:r w:rsidRPr="00F42F80">
        <w:rPr>
          <w:rFonts w:ascii="Lustria" w:hAnsi="Lustria"/>
          <w:b w:val="0"/>
          <w:bCs w:val="0"/>
          <w:sz w:val="22"/>
          <w:szCs w:val="22"/>
        </w:rPr>
        <w:t xml:space="preserve">. </w:t>
      </w:r>
    </w:p>
    <w:p w14:paraId="01201CFB" w14:textId="77777777" w:rsidR="00752D76" w:rsidRPr="00F42F80" w:rsidRDefault="00752D76" w:rsidP="00475D06">
      <w:pPr>
        <w:pStyle w:val="Heading1"/>
        <w:spacing w:line="240" w:lineRule="auto"/>
        <w:ind w:right="6" w:firstLine="720"/>
        <w:jc w:val="both"/>
        <w:rPr>
          <w:rFonts w:ascii="Lustria" w:hAnsi="Lustria"/>
          <w:b w:val="0"/>
          <w:bCs w:val="0"/>
          <w:sz w:val="22"/>
          <w:szCs w:val="22"/>
        </w:rPr>
      </w:pPr>
    </w:p>
    <w:p w14:paraId="6EEFF3E9" w14:textId="77777777" w:rsidR="00752D76" w:rsidRPr="00F42F80" w:rsidRDefault="00752D76" w:rsidP="00475D06">
      <w:pPr>
        <w:pStyle w:val="Heading1"/>
        <w:spacing w:line="240" w:lineRule="auto"/>
        <w:ind w:right="6" w:firstLine="720"/>
        <w:jc w:val="both"/>
        <w:rPr>
          <w:rFonts w:ascii="Lustria" w:hAnsi="Lustria"/>
          <w:b w:val="0"/>
          <w:bCs w:val="0"/>
          <w:sz w:val="22"/>
          <w:szCs w:val="22"/>
        </w:rPr>
      </w:pPr>
    </w:p>
    <w:p w14:paraId="241B9AA8" w14:textId="77777777" w:rsidR="00752D76" w:rsidRPr="00F42F80" w:rsidRDefault="00752D76" w:rsidP="00475D06">
      <w:pPr>
        <w:pStyle w:val="Heading1"/>
        <w:spacing w:line="240" w:lineRule="auto"/>
        <w:ind w:right="6" w:firstLine="720"/>
        <w:jc w:val="both"/>
        <w:rPr>
          <w:rFonts w:ascii="Lustria" w:hAnsi="Lustria"/>
          <w:b w:val="0"/>
          <w:bCs w:val="0"/>
          <w:sz w:val="22"/>
          <w:szCs w:val="22"/>
        </w:rPr>
      </w:pPr>
    </w:p>
    <w:p w14:paraId="21358B26" w14:textId="05FFF392" w:rsidR="00475D06" w:rsidRPr="00F42F80" w:rsidRDefault="00475D06" w:rsidP="00475D06">
      <w:pPr>
        <w:pStyle w:val="Heading1"/>
        <w:spacing w:line="240" w:lineRule="auto"/>
        <w:ind w:right="6" w:firstLine="720"/>
        <w:jc w:val="both"/>
        <w:rPr>
          <w:rFonts w:ascii="Lustria" w:hAnsi="Lustria"/>
          <w:b w:val="0"/>
          <w:bCs w:val="0"/>
          <w:sz w:val="22"/>
          <w:szCs w:val="22"/>
          <w:lang w:val="en-US"/>
        </w:rPr>
      </w:pPr>
      <w:r w:rsidRPr="00F42F80">
        <w:rPr>
          <w:rFonts w:ascii="Lustria" w:hAnsi="Lustria"/>
          <w:b w:val="0"/>
          <w:bCs w:val="0"/>
          <w:sz w:val="22"/>
          <w:szCs w:val="22"/>
        </w:rPr>
        <w:t>The lowest Cronbach's alpha value for each variable in this study was mor</w:t>
      </w:r>
      <w:r w:rsidR="00752D76" w:rsidRPr="00F42F80">
        <w:rPr>
          <w:rFonts w:ascii="Lustria" w:hAnsi="Lustria"/>
          <w:b w:val="0"/>
          <w:bCs w:val="0"/>
          <w:sz w:val="22"/>
          <w:szCs w:val="22"/>
        </w:rPr>
        <w:t xml:space="preserve">e </w:t>
      </w:r>
      <w:r w:rsidRPr="00F42F80">
        <w:rPr>
          <w:rFonts w:ascii="Lustria" w:hAnsi="Lustria"/>
          <w:b w:val="0"/>
          <w:bCs w:val="0"/>
          <w:sz w:val="22"/>
          <w:szCs w:val="22"/>
        </w:rPr>
        <w:t>than 0.80, as shown in Table 3. These results are consistent with the results of convergent and discriminant validity that have been tested previously. In the final section of construct validity, this study examines the data's reliability using Cronbach's alpha and composite reliability. Consistency of internal data reliability requires at least 0.6 for Cronbach's alpha value and composite reliability</w:t>
      </w:r>
      <w:r w:rsidRPr="00F42F80">
        <w:rPr>
          <w:rFonts w:ascii="Lustria" w:hAnsi="Lustria"/>
          <w:b w:val="0"/>
          <w:bCs w:val="0"/>
          <w:sz w:val="22"/>
          <w:szCs w:val="22"/>
          <w:lang w:val="en-US"/>
        </w:rPr>
        <w:t xml:space="preserve"> </w:t>
      </w:r>
      <w:r w:rsidRPr="00F42F80">
        <w:rPr>
          <w:rFonts w:ascii="Lustria" w:hAnsi="Lustria"/>
          <w:b w:val="0"/>
          <w:bCs w:val="0"/>
          <w:sz w:val="22"/>
          <w:szCs w:val="22"/>
        </w:rPr>
        <w:fldChar w:fldCharType="begin" w:fldLock="1"/>
      </w:r>
      <w:r w:rsidRPr="00F42F80">
        <w:rPr>
          <w:rFonts w:ascii="Lustria" w:hAnsi="Lustria"/>
          <w:b w:val="0"/>
          <w:bCs w:val="0"/>
          <w:sz w:val="22"/>
          <w:szCs w:val="22"/>
        </w:rPr>
        <w:instrText>ADDIN CSL_CITATION {"citationItems":[{"id":"ITEM-1","itemData":{"author":[{"dropping-particle":"","family":"Hair","given":"J F","non-dropping-particle":"","parse-names":false,"suffix":""},{"dropping-particle":"","family":"Black","given":"W C","non-dropping-particle":"","parse-names":false,"suffix":""},{"dropping-particle":"","family":"Babin","given":"B J","non-dropping-particle":"","parse-names":false,"suffix":""},{"dropping-particle":"","family":"Anderson","given":"R E","non-dropping-particle":"","parse-names":false,"suffix":""}],"id":"ITEM-1","issued":{"date-parts":[["2009"]]},"publisher":"JOUR","title":"Multivariate Data Analysis 7th Edition Pearson Prentice Hall","type":"article"},"uris":["http://www.mendeley.com/documents/?uuid=fbd24a9e-1d36-4780-b259-4e77bcf784f4"]}],"mendeley":{"formattedCitation":"(Hair et al., 2009)","plainTextFormattedCitation":"(Hair et al., 2009)","previouslyFormattedCitation":"(Hair et al., 2009)"},"properties":{"noteIndex":0},"schema":"https://github.com/citation-style-language/schema/raw/master/csl-citation.json"}</w:instrText>
      </w:r>
      <w:r w:rsidRPr="00F42F80">
        <w:rPr>
          <w:rFonts w:ascii="Lustria" w:hAnsi="Lustria"/>
          <w:b w:val="0"/>
          <w:bCs w:val="0"/>
          <w:sz w:val="22"/>
          <w:szCs w:val="22"/>
        </w:rPr>
        <w:fldChar w:fldCharType="separate"/>
      </w:r>
      <w:r w:rsidRPr="00F42F80">
        <w:rPr>
          <w:rFonts w:ascii="Lustria" w:hAnsi="Lustria"/>
          <w:b w:val="0"/>
          <w:bCs w:val="0"/>
          <w:noProof/>
          <w:sz w:val="22"/>
          <w:szCs w:val="22"/>
        </w:rPr>
        <w:t>(Hair et al., 2009)</w:t>
      </w:r>
      <w:r w:rsidRPr="00F42F80">
        <w:rPr>
          <w:rFonts w:ascii="Lustria" w:hAnsi="Lustria"/>
          <w:b w:val="0"/>
          <w:bCs w:val="0"/>
          <w:sz w:val="22"/>
          <w:szCs w:val="22"/>
        </w:rPr>
        <w:fldChar w:fldCharType="end"/>
      </w:r>
      <w:r w:rsidRPr="00F42F80">
        <w:rPr>
          <w:rFonts w:ascii="Lustria" w:hAnsi="Lustria"/>
          <w:b w:val="0"/>
          <w:bCs w:val="0"/>
          <w:sz w:val="22"/>
          <w:szCs w:val="22"/>
        </w:rPr>
        <w:t>. The lowest Cronbach's alpha value for each variable in this study was more than 0.80, as shown in Table 3. These results are consistent with the results of convergent and discriminant validity that have been tested previously.</w:t>
      </w:r>
    </w:p>
    <w:p w14:paraId="0B9F4663" w14:textId="77777777" w:rsidR="00752D76" w:rsidRPr="00F42F80" w:rsidRDefault="00752D76" w:rsidP="00752D76">
      <w:pPr>
        <w:rPr>
          <w:rFonts w:ascii="Lustria" w:hAnsi="Lustria"/>
          <w:lang w:val="en-US"/>
        </w:rPr>
      </w:pPr>
    </w:p>
    <w:p w14:paraId="2D019CC6" w14:textId="624CF393" w:rsidR="00752D76" w:rsidRPr="00F42F80" w:rsidRDefault="00752D76" w:rsidP="00752D76">
      <w:pPr>
        <w:pStyle w:val="Heading1"/>
        <w:spacing w:line="240" w:lineRule="auto"/>
        <w:ind w:right="6"/>
        <w:jc w:val="left"/>
        <w:rPr>
          <w:rFonts w:ascii="Lustria" w:hAnsi="Lustria"/>
          <w:b w:val="0"/>
          <w:bCs w:val="0"/>
          <w:sz w:val="22"/>
          <w:szCs w:val="22"/>
          <w:lang w:val="en-US"/>
        </w:rPr>
      </w:pPr>
      <w:r w:rsidRPr="00F42F80">
        <w:rPr>
          <w:rFonts w:ascii="Lustria" w:hAnsi="Lustria"/>
          <w:sz w:val="22"/>
          <w:szCs w:val="22"/>
          <w:lang w:val="en-US"/>
        </w:rPr>
        <w:t>Table 3.</w:t>
      </w:r>
      <w:r w:rsidRPr="00F42F80">
        <w:rPr>
          <w:rFonts w:ascii="Lustria" w:hAnsi="Lustria"/>
          <w:b w:val="0"/>
          <w:bCs w:val="0"/>
          <w:sz w:val="22"/>
          <w:szCs w:val="22"/>
          <w:lang w:val="en-US"/>
        </w:rPr>
        <w:t xml:space="preserve"> Reliability and Discriminant Validity</w:t>
      </w:r>
    </w:p>
    <w:tbl>
      <w:tblPr>
        <w:tblpPr w:leftFromText="180" w:rightFromText="180" w:vertAnchor="text" w:tblpX="284" w:tblpY="1"/>
        <w:tblOverlap w:val="never"/>
        <w:tblW w:w="8182" w:type="dxa"/>
        <w:tblLook w:val="04A0" w:firstRow="1" w:lastRow="0" w:firstColumn="1" w:lastColumn="0" w:noHBand="0" w:noVBand="1"/>
      </w:tblPr>
      <w:tblGrid>
        <w:gridCol w:w="1240"/>
        <w:gridCol w:w="707"/>
        <w:gridCol w:w="888"/>
        <w:gridCol w:w="667"/>
        <w:gridCol w:w="666"/>
        <w:gridCol w:w="666"/>
        <w:gridCol w:w="666"/>
        <w:gridCol w:w="719"/>
        <w:gridCol w:w="666"/>
        <w:gridCol w:w="671"/>
        <w:gridCol w:w="626"/>
      </w:tblGrid>
      <w:tr w:rsidR="00752D76" w:rsidRPr="00F42F80" w14:paraId="0478E6C2" w14:textId="77777777" w:rsidTr="00752D76">
        <w:trPr>
          <w:trHeight w:val="288"/>
        </w:trPr>
        <w:tc>
          <w:tcPr>
            <w:tcW w:w="1240" w:type="dxa"/>
            <w:tcBorders>
              <w:top w:val="single" w:sz="4" w:space="0" w:color="auto"/>
              <w:left w:val="nil"/>
              <w:bottom w:val="single" w:sz="4" w:space="0" w:color="auto"/>
              <w:right w:val="nil"/>
            </w:tcBorders>
            <w:shd w:val="clear" w:color="000000" w:fill="FFFFFF"/>
            <w:noWrap/>
            <w:vAlign w:val="center"/>
            <w:hideMark/>
          </w:tcPr>
          <w:p w14:paraId="31E81034"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Construct</w:t>
            </w:r>
          </w:p>
        </w:tc>
        <w:tc>
          <w:tcPr>
            <w:tcW w:w="707" w:type="dxa"/>
            <w:tcBorders>
              <w:top w:val="single" w:sz="4" w:space="0" w:color="auto"/>
              <w:left w:val="nil"/>
              <w:bottom w:val="single" w:sz="4" w:space="0" w:color="auto"/>
              <w:right w:val="nil"/>
            </w:tcBorders>
            <w:shd w:val="clear" w:color="000000" w:fill="FFFFFF"/>
            <w:noWrap/>
            <w:vAlign w:val="center"/>
            <w:hideMark/>
          </w:tcPr>
          <w:p w14:paraId="2EC25E2D"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 xml:space="preserve">CA </w:t>
            </w:r>
          </w:p>
          <w:p w14:paraId="71A3C288"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w:t>
            </w:r>
            <w:r w:rsidRPr="00F42F80">
              <w:rPr>
                <w:rFonts w:ascii="Lustria" w:hAnsi="Lustria" w:cs="Cambria"/>
                <w:color w:val="000000"/>
                <w:sz w:val="22"/>
                <w:szCs w:val="22"/>
                <w:lang w:val="en-ID"/>
              </w:rPr>
              <w:t>α</w:t>
            </w:r>
            <w:r w:rsidRPr="00F42F80">
              <w:rPr>
                <w:rFonts w:ascii="Lustria" w:hAnsi="Lustria"/>
                <w:color w:val="000000"/>
                <w:sz w:val="22"/>
                <w:szCs w:val="22"/>
                <w:lang w:val="en-ID"/>
              </w:rPr>
              <w:t>)</w:t>
            </w:r>
          </w:p>
        </w:tc>
        <w:tc>
          <w:tcPr>
            <w:tcW w:w="888" w:type="dxa"/>
            <w:tcBorders>
              <w:top w:val="single" w:sz="4" w:space="0" w:color="auto"/>
              <w:left w:val="nil"/>
              <w:bottom w:val="single" w:sz="4" w:space="0" w:color="auto"/>
              <w:right w:val="nil"/>
            </w:tcBorders>
            <w:shd w:val="clear" w:color="000000" w:fill="FFFFFF"/>
            <w:noWrap/>
            <w:vAlign w:val="center"/>
            <w:hideMark/>
          </w:tcPr>
          <w:p w14:paraId="326AC19C"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Comp. Relia-bility</w:t>
            </w:r>
          </w:p>
        </w:tc>
        <w:tc>
          <w:tcPr>
            <w:tcW w:w="667" w:type="dxa"/>
            <w:tcBorders>
              <w:top w:val="single" w:sz="4" w:space="0" w:color="auto"/>
              <w:left w:val="nil"/>
              <w:bottom w:val="single" w:sz="4" w:space="0" w:color="auto"/>
              <w:right w:val="nil"/>
            </w:tcBorders>
            <w:shd w:val="clear" w:color="000000" w:fill="FFFFFF"/>
            <w:noWrap/>
            <w:vAlign w:val="center"/>
            <w:hideMark/>
          </w:tcPr>
          <w:p w14:paraId="44924E38"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AVE</w:t>
            </w:r>
          </w:p>
        </w:tc>
        <w:tc>
          <w:tcPr>
            <w:tcW w:w="666" w:type="dxa"/>
            <w:tcBorders>
              <w:top w:val="single" w:sz="4" w:space="0" w:color="auto"/>
              <w:left w:val="nil"/>
              <w:bottom w:val="single" w:sz="4" w:space="0" w:color="auto"/>
              <w:right w:val="nil"/>
            </w:tcBorders>
            <w:shd w:val="clear" w:color="000000" w:fill="FFFFFF"/>
            <w:noWrap/>
            <w:vAlign w:val="center"/>
            <w:hideMark/>
          </w:tcPr>
          <w:p w14:paraId="3BCF9E4C"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INT</w:t>
            </w:r>
          </w:p>
        </w:tc>
        <w:tc>
          <w:tcPr>
            <w:tcW w:w="666" w:type="dxa"/>
            <w:tcBorders>
              <w:top w:val="single" w:sz="4" w:space="0" w:color="auto"/>
              <w:left w:val="nil"/>
              <w:bottom w:val="single" w:sz="4" w:space="0" w:color="auto"/>
              <w:right w:val="nil"/>
            </w:tcBorders>
            <w:shd w:val="clear" w:color="000000" w:fill="FFFFFF"/>
            <w:noWrap/>
            <w:vAlign w:val="center"/>
            <w:hideMark/>
          </w:tcPr>
          <w:p w14:paraId="26F8AF4A"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PE</w:t>
            </w:r>
          </w:p>
        </w:tc>
        <w:tc>
          <w:tcPr>
            <w:tcW w:w="666" w:type="dxa"/>
            <w:tcBorders>
              <w:top w:val="single" w:sz="4" w:space="0" w:color="auto"/>
              <w:left w:val="nil"/>
              <w:bottom w:val="single" w:sz="4" w:space="0" w:color="auto"/>
              <w:right w:val="nil"/>
            </w:tcBorders>
            <w:shd w:val="clear" w:color="000000" w:fill="FFFFFF"/>
            <w:noWrap/>
            <w:vAlign w:val="center"/>
            <w:hideMark/>
          </w:tcPr>
          <w:p w14:paraId="2D697004"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PEU</w:t>
            </w:r>
          </w:p>
        </w:tc>
        <w:tc>
          <w:tcPr>
            <w:tcW w:w="719" w:type="dxa"/>
            <w:tcBorders>
              <w:top w:val="single" w:sz="4" w:space="0" w:color="auto"/>
              <w:left w:val="nil"/>
              <w:bottom w:val="single" w:sz="4" w:space="0" w:color="auto"/>
              <w:right w:val="nil"/>
            </w:tcBorders>
            <w:shd w:val="clear" w:color="000000" w:fill="FFFFFF"/>
            <w:noWrap/>
            <w:vAlign w:val="center"/>
            <w:hideMark/>
          </w:tcPr>
          <w:p w14:paraId="40FB23E4"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PU</w:t>
            </w:r>
          </w:p>
        </w:tc>
        <w:tc>
          <w:tcPr>
            <w:tcW w:w="666" w:type="dxa"/>
            <w:tcBorders>
              <w:top w:val="single" w:sz="4" w:space="0" w:color="auto"/>
              <w:left w:val="nil"/>
              <w:bottom w:val="single" w:sz="4" w:space="0" w:color="auto"/>
              <w:right w:val="nil"/>
            </w:tcBorders>
            <w:shd w:val="clear" w:color="000000" w:fill="FFFFFF"/>
            <w:noWrap/>
            <w:vAlign w:val="center"/>
            <w:hideMark/>
          </w:tcPr>
          <w:p w14:paraId="7D9CC4E1"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RI</w:t>
            </w:r>
          </w:p>
        </w:tc>
        <w:tc>
          <w:tcPr>
            <w:tcW w:w="671" w:type="dxa"/>
            <w:tcBorders>
              <w:top w:val="single" w:sz="4" w:space="0" w:color="auto"/>
              <w:left w:val="nil"/>
              <w:bottom w:val="single" w:sz="4" w:space="0" w:color="auto"/>
              <w:right w:val="nil"/>
            </w:tcBorders>
            <w:shd w:val="clear" w:color="000000" w:fill="FFFFFF"/>
            <w:noWrap/>
            <w:vAlign w:val="center"/>
            <w:hideMark/>
          </w:tcPr>
          <w:p w14:paraId="0239F0E4"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SC</w:t>
            </w:r>
          </w:p>
        </w:tc>
        <w:tc>
          <w:tcPr>
            <w:tcW w:w="626" w:type="dxa"/>
            <w:tcBorders>
              <w:top w:val="single" w:sz="4" w:space="0" w:color="auto"/>
              <w:left w:val="nil"/>
              <w:bottom w:val="single" w:sz="4" w:space="0" w:color="auto"/>
              <w:right w:val="nil"/>
            </w:tcBorders>
            <w:shd w:val="clear" w:color="000000" w:fill="FFFFFF"/>
            <w:noWrap/>
            <w:vAlign w:val="center"/>
            <w:hideMark/>
          </w:tcPr>
          <w:p w14:paraId="03DB05C4"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TO</w:t>
            </w:r>
          </w:p>
        </w:tc>
      </w:tr>
      <w:tr w:rsidR="00752D76" w:rsidRPr="00F42F80" w14:paraId="59A3809D" w14:textId="77777777" w:rsidTr="00752D76">
        <w:trPr>
          <w:trHeight w:val="288"/>
        </w:trPr>
        <w:tc>
          <w:tcPr>
            <w:tcW w:w="1240" w:type="dxa"/>
            <w:tcBorders>
              <w:top w:val="single" w:sz="4" w:space="0" w:color="auto"/>
              <w:left w:val="nil"/>
              <w:bottom w:val="nil"/>
              <w:right w:val="nil"/>
            </w:tcBorders>
            <w:shd w:val="clear" w:color="000000" w:fill="FFFFFF"/>
            <w:noWrap/>
            <w:vAlign w:val="center"/>
            <w:hideMark/>
          </w:tcPr>
          <w:p w14:paraId="2D394D93"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INT</w:t>
            </w:r>
          </w:p>
        </w:tc>
        <w:tc>
          <w:tcPr>
            <w:tcW w:w="707" w:type="dxa"/>
            <w:tcBorders>
              <w:top w:val="single" w:sz="4" w:space="0" w:color="auto"/>
              <w:left w:val="nil"/>
              <w:bottom w:val="nil"/>
              <w:right w:val="nil"/>
            </w:tcBorders>
            <w:shd w:val="clear" w:color="000000" w:fill="FFFFFF"/>
            <w:noWrap/>
            <w:vAlign w:val="center"/>
            <w:hideMark/>
          </w:tcPr>
          <w:p w14:paraId="0A61D853"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0,90</w:t>
            </w:r>
          </w:p>
        </w:tc>
        <w:tc>
          <w:tcPr>
            <w:tcW w:w="888" w:type="dxa"/>
            <w:tcBorders>
              <w:top w:val="single" w:sz="4" w:space="0" w:color="auto"/>
              <w:left w:val="nil"/>
              <w:bottom w:val="nil"/>
              <w:right w:val="nil"/>
            </w:tcBorders>
            <w:shd w:val="clear" w:color="000000" w:fill="FFFFFF"/>
            <w:noWrap/>
            <w:vAlign w:val="center"/>
            <w:hideMark/>
          </w:tcPr>
          <w:p w14:paraId="66B4A584"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0,92</w:t>
            </w:r>
          </w:p>
        </w:tc>
        <w:tc>
          <w:tcPr>
            <w:tcW w:w="667" w:type="dxa"/>
            <w:tcBorders>
              <w:top w:val="single" w:sz="4" w:space="0" w:color="auto"/>
              <w:left w:val="nil"/>
              <w:bottom w:val="nil"/>
              <w:right w:val="nil"/>
            </w:tcBorders>
            <w:shd w:val="clear" w:color="000000" w:fill="FFFFFF"/>
            <w:noWrap/>
            <w:vAlign w:val="center"/>
            <w:hideMark/>
          </w:tcPr>
          <w:p w14:paraId="3B3EB017"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0,72</w:t>
            </w:r>
          </w:p>
        </w:tc>
        <w:tc>
          <w:tcPr>
            <w:tcW w:w="666" w:type="dxa"/>
            <w:tcBorders>
              <w:top w:val="single" w:sz="4" w:space="0" w:color="auto"/>
              <w:left w:val="nil"/>
              <w:bottom w:val="nil"/>
              <w:right w:val="nil"/>
            </w:tcBorders>
            <w:shd w:val="clear" w:color="000000" w:fill="FFFFFF"/>
            <w:noWrap/>
            <w:vAlign w:val="center"/>
            <w:hideMark/>
          </w:tcPr>
          <w:p w14:paraId="6EF634D9"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0,84</w:t>
            </w:r>
          </w:p>
        </w:tc>
        <w:tc>
          <w:tcPr>
            <w:tcW w:w="666" w:type="dxa"/>
            <w:tcBorders>
              <w:top w:val="single" w:sz="4" w:space="0" w:color="auto"/>
              <w:left w:val="nil"/>
              <w:bottom w:val="nil"/>
              <w:right w:val="nil"/>
            </w:tcBorders>
            <w:shd w:val="clear" w:color="000000" w:fill="FFFFFF"/>
            <w:noWrap/>
            <w:vAlign w:val="center"/>
            <w:hideMark/>
          </w:tcPr>
          <w:p w14:paraId="76566882" w14:textId="77777777" w:rsidR="00752D76" w:rsidRPr="00F42F80" w:rsidRDefault="00752D76" w:rsidP="00752D76">
            <w:pPr>
              <w:jc w:val="center"/>
              <w:rPr>
                <w:rFonts w:ascii="Lustria" w:hAnsi="Lustria"/>
                <w:color w:val="000000"/>
                <w:sz w:val="22"/>
                <w:szCs w:val="22"/>
                <w:lang w:val="en-ID"/>
              </w:rPr>
            </w:pPr>
          </w:p>
        </w:tc>
        <w:tc>
          <w:tcPr>
            <w:tcW w:w="666" w:type="dxa"/>
            <w:tcBorders>
              <w:top w:val="single" w:sz="4" w:space="0" w:color="auto"/>
              <w:left w:val="nil"/>
              <w:bottom w:val="nil"/>
              <w:right w:val="nil"/>
            </w:tcBorders>
            <w:shd w:val="clear" w:color="000000" w:fill="FFFFFF"/>
            <w:noWrap/>
            <w:vAlign w:val="center"/>
            <w:hideMark/>
          </w:tcPr>
          <w:p w14:paraId="6BF430D8" w14:textId="77777777" w:rsidR="00752D76" w:rsidRPr="00F42F80" w:rsidRDefault="00752D76" w:rsidP="00752D76">
            <w:pPr>
              <w:jc w:val="center"/>
              <w:rPr>
                <w:rFonts w:ascii="Lustria" w:hAnsi="Lustria"/>
                <w:color w:val="000000"/>
                <w:sz w:val="22"/>
                <w:szCs w:val="22"/>
                <w:lang w:val="en-ID"/>
              </w:rPr>
            </w:pPr>
          </w:p>
        </w:tc>
        <w:tc>
          <w:tcPr>
            <w:tcW w:w="719" w:type="dxa"/>
            <w:tcBorders>
              <w:top w:val="single" w:sz="4" w:space="0" w:color="auto"/>
              <w:left w:val="nil"/>
              <w:bottom w:val="nil"/>
              <w:right w:val="nil"/>
            </w:tcBorders>
            <w:shd w:val="clear" w:color="000000" w:fill="FFFFFF"/>
            <w:noWrap/>
            <w:vAlign w:val="center"/>
            <w:hideMark/>
          </w:tcPr>
          <w:p w14:paraId="1202C4C9" w14:textId="77777777" w:rsidR="00752D76" w:rsidRPr="00F42F80" w:rsidRDefault="00752D76" w:rsidP="00752D76">
            <w:pPr>
              <w:jc w:val="center"/>
              <w:rPr>
                <w:rFonts w:ascii="Lustria" w:hAnsi="Lustria"/>
                <w:color w:val="000000"/>
                <w:sz w:val="22"/>
                <w:szCs w:val="22"/>
                <w:lang w:val="en-ID"/>
              </w:rPr>
            </w:pPr>
          </w:p>
        </w:tc>
        <w:tc>
          <w:tcPr>
            <w:tcW w:w="666" w:type="dxa"/>
            <w:tcBorders>
              <w:top w:val="single" w:sz="4" w:space="0" w:color="auto"/>
              <w:left w:val="nil"/>
              <w:bottom w:val="nil"/>
              <w:right w:val="nil"/>
            </w:tcBorders>
            <w:shd w:val="clear" w:color="000000" w:fill="FFFFFF"/>
            <w:noWrap/>
            <w:vAlign w:val="center"/>
            <w:hideMark/>
          </w:tcPr>
          <w:p w14:paraId="0F43FF4E" w14:textId="77777777" w:rsidR="00752D76" w:rsidRPr="00F42F80" w:rsidRDefault="00752D76" w:rsidP="00752D76">
            <w:pPr>
              <w:jc w:val="center"/>
              <w:rPr>
                <w:rFonts w:ascii="Lustria" w:hAnsi="Lustria"/>
                <w:color w:val="000000"/>
                <w:sz w:val="22"/>
                <w:szCs w:val="22"/>
                <w:lang w:val="en-ID"/>
              </w:rPr>
            </w:pPr>
          </w:p>
        </w:tc>
        <w:tc>
          <w:tcPr>
            <w:tcW w:w="671" w:type="dxa"/>
            <w:tcBorders>
              <w:top w:val="single" w:sz="4" w:space="0" w:color="auto"/>
              <w:left w:val="nil"/>
              <w:bottom w:val="nil"/>
              <w:right w:val="nil"/>
            </w:tcBorders>
            <w:shd w:val="clear" w:color="000000" w:fill="FFFFFF"/>
            <w:noWrap/>
            <w:vAlign w:val="center"/>
            <w:hideMark/>
          </w:tcPr>
          <w:p w14:paraId="3EA61439" w14:textId="77777777" w:rsidR="00752D76" w:rsidRPr="00F42F80" w:rsidRDefault="00752D76" w:rsidP="00752D76">
            <w:pPr>
              <w:jc w:val="center"/>
              <w:rPr>
                <w:rFonts w:ascii="Lustria" w:hAnsi="Lustria"/>
                <w:color w:val="000000"/>
                <w:sz w:val="22"/>
                <w:szCs w:val="22"/>
                <w:lang w:val="en-ID"/>
              </w:rPr>
            </w:pPr>
          </w:p>
        </w:tc>
        <w:tc>
          <w:tcPr>
            <w:tcW w:w="626" w:type="dxa"/>
            <w:tcBorders>
              <w:top w:val="single" w:sz="4" w:space="0" w:color="auto"/>
              <w:left w:val="nil"/>
              <w:bottom w:val="nil"/>
              <w:right w:val="nil"/>
            </w:tcBorders>
            <w:shd w:val="clear" w:color="000000" w:fill="FFFFFF"/>
            <w:noWrap/>
            <w:vAlign w:val="center"/>
            <w:hideMark/>
          </w:tcPr>
          <w:p w14:paraId="0462B417" w14:textId="77777777" w:rsidR="00752D76" w:rsidRPr="00F42F80" w:rsidRDefault="00752D76" w:rsidP="00752D76">
            <w:pPr>
              <w:jc w:val="center"/>
              <w:rPr>
                <w:rFonts w:ascii="Lustria" w:hAnsi="Lustria"/>
                <w:color w:val="000000"/>
                <w:sz w:val="22"/>
                <w:szCs w:val="22"/>
                <w:lang w:val="en-ID"/>
              </w:rPr>
            </w:pPr>
          </w:p>
        </w:tc>
      </w:tr>
      <w:tr w:rsidR="00752D76" w:rsidRPr="00F42F80" w14:paraId="1234DED1" w14:textId="77777777" w:rsidTr="00752D76">
        <w:trPr>
          <w:trHeight w:val="288"/>
        </w:trPr>
        <w:tc>
          <w:tcPr>
            <w:tcW w:w="1240" w:type="dxa"/>
            <w:tcBorders>
              <w:top w:val="nil"/>
              <w:left w:val="nil"/>
              <w:bottom w:val="nil"/>
              <w:right w:val="nil"/>
            </w:tcBorders>
            <w:shd w:val="clear" w:color="000000" w:fill="FFFFFF"/>
            <w:noWrap/>
            <w:vAlign w:val="center"/>
            <w:hideMark/>
          </w:tcPr>
          <w:p w14:paraId="7089F1F5"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PE</w:t>
            </w:r>
          </w:p>
        </w:tc>
        <w:tc>
          <w:tcPr>
            <w:tcW w:w="707" w:type="dxa"/>
            <w:tcBorders>
              <w:top w:val="nil"/>
              <w:left w:val="nil"/>
              <w:bottom w:val="nil"/>
              <w:right w:val="nil"/>
            </w:tcBorders>
            <w:shd w:val="clear" w:color="000000" w:fill="FFFFFF"/>
            <w:noWrap/>
            <w:vAlign w:val="center"/>
            <w:hideMark/>
          </w:tcPr>
          <w:p w14:paraId="7714258F"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0,95</w:t>
            </w:r>
          </w:p>
        </w:tc>
        <w:tc>
          <w:tcPr>
            <w:tcW w:w="888" w:type="dxa"/>
            <w:tcBorders>
              <w:top w:val="nil"/>
              <w:left w:val="nil"/>
              <w:bottom w:val="nil"/>
              <w:right w:val="nil"/>
            </w:tcBorders>
            <w:shd w:val="clear" w:color="000000" w:fill="FFFFFF"/>
            <w:noWrap/>
            <w:vAlign w:val="center"/>
            <w:hideMark/>
          </w:tcPr>
          <w:p w14:paraId="5AF1CBF8"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0,96</w:t>
            </w:r>
          </w:p>
        </w:tc>
        <w:tc>
          <w:tcPr>
            <w:tcW w:w="667" w:type="dxa"/>
            <w:tcBorders>
              <w:top w:val="nil"/>
              <w:left w:val="nil"/>
              <w:bottom w:val="nil"/>
              <w:right w:val="nil"/>
            </w:tcBorders>
            <w:shd w:val="clear" w:color="000000" w:fill="FFFFFF"/>
            <w:noWrap/>
            <w:vAlign w:val="center"/>
            <w:hideMark/>
          </w:tcPr>
          <w:p w14:paraId="092ACE07"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0,81</w:t>
            </w:r>
          </w:p>
        </w:tc>
        <w:tc>
          <w:tcPr>
            <w:tcW w:w="666" w:type="dxa"/>
            <w:tcBorders>
              <w:top w:val="nil"/>
              <w:left w:val="nil"/>
              <w:bottom w:val="nil"/>
              <w:right w:val="nil"/>
            </w:tcBorders>
            <w:shd w:val="clear" w:color="000000" w:fill="FFFFFF"/>
            <w:noWrap/>
            <w:vAlign w:val="center"/>
            <w:hideMark/>
          </w:tcPr>
          <w:p w14:paraId="4A2E895B"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0,55</w:t>
            </w:r>
          </w:p>
        </w:tc>
        <w:tc>
          <w:tcPr>
            <w:tcW w:w="666" w:type="dxa"/>
            <w:tcBorders>
              <w:top w:val="nil"/>
              <w:left w:val="nil"/>
              <w:bottom w:val="nil"/>
              <w:right w:val="nil"/>
            </w:tcBorders>
            <w:shd w:val="clear" w:color="000000" w:fill="FFFFFF"/>
            <w:noWrap/>
            <w:vAlign w:val="center"/>
            <w:hideMark/>
          </w:tcPr>
          <w:p w14:paraId="76584557"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0,90</w:t>
            </w:r>
          </w:p>
        </w:tc>
        <w:tc>
          <w:tcPr>
            <w:tcW w:w="666" w:type="dxa"/>
            <w:tcBorders>
              <w:top w:val="nil"/>
              <w:left w:val="nil"/>
              <w:bottom w:val="nil"/>
              <w:right w:val="nil"/>
            </w:tcBorders>
            <w:shd w:val="clear" w:color="000000" w:fill="FFFFFF"/>
            <w:noWrap/>
            <w:vAlign w:val="center"/>
            <w:hideMark/>
          </w:tcPr>
          <w:p w14:paraId="33692047" w14:textId="77777777" w:rsidR="00752D76" w:rsidRPr="00F42F80" w:rsidRDefault="00752D76" w:rsidP="00752D76">
            <w:pPr>
              <w:jc w:val="center"/>
              <w:rPr>
                <w:rFonts w:ascii="Lustria" w:hAnsi="Lustria"/>
                <w:color w:val="000000"/>
                <w:sz w:val="22"/>
                <w:szCs w:val="22"/>
                <w:lang w:val="en-ID"/>
              </w:rPr>
            </w:pPr>
          </w:p>
        </w:tc>
        <w:tc>
          <w:tcPr>
            <w:tcW w:w="719" w:type="dxa"/>
            <w:tcBorders>
              <w:top w:val="nil"/>
              <w:left w:val="nil"/>
              <w:bottom w:val="nil"/>
              <w:right w:val="nil"/>
            </w:tcBorders>
            <w:shd w:val="clear" w:color="000000" w:fill="FFFFFF"/>
            <w:noWrap/>
            <w:vAlign w:val="center"/>
            <w:hideMark/>
          </w:tcPr>
          <w:p w14:paraId="63081F6E" w14:textId="77777777" w:rsidR="00752D76" w:rsidRPr="00F42F80" w:rsidRDefault="00752D76" w:rsidP="00752D76">
            <w:pPr>
              <w:jc w:val="center"/>
              <w:rPr>
                <w:rFonts w:ascii="Lustria" w:hAnsi="Lustria"/>
                <w:color w:val="000000"/>
                <w:sz w:val="22"/>
                <w:szCs w:val="22"/>
                <w:lang w:val="en-ID"/>
              </w:rPr>
            </w:pPr>
          </w:p>
        </w:tc>
        <w:tc>
          <w:tcPr>
            <w:tcW w:w="666" w:type="dxa"/>
            <w:tcBorders>
              <w:top w:val="nil"/>
              <w:left w:val="nil"/>
              <w:bottom w:val="nil"/>
              <w:right w:val="nil"/>
            </w:tcBorders>
            <w:shd w:val="clear" w:color="000000" w:fill="FFFFFF"/>
            <w:noWrap/>
            <w:vAlign w:val="center"/>
            <w:hideMark/>
          </w:tcPr>
          <w:p w14:paraId="49AA9E6B" w14:textId="77777777" w:rsidR="00752D76" w:rsidRPr="00F42F80" w:rsidRDefault="00752D76" w:rsidP="00752D76">
            <w:pPr>
              <w:jc w:val="center"/>
              <w:rPr>
                <w:rFonts w:ascii="Lustria" w:hAnsi="Lustria"/>
                <w:color w:val="000000"/>
                <w:sz w:val="22"/>
                <w:szCs w:val="22"/>
                <w:lang w:val="en-ID"/>
              </w:rPr>
            </w:pPr>
          </w:p>
        </w:tc>
        <w:tc>
          <w:tcPr>
            <w:tcW w:w="671" w:type="dxa"/>
            <w:tcBorders>
              <w:top w:val="nil"/>
              <w:left w:val="nil"/>
              <w:bottom w:val="nil"/>
              <w:right w:val="nil"/>
            </w:tcBorders>
            <w:shd w:val="clear" w:color="000000" w:fill="FFFFFF"/>
            <w:noWrap/>
            <w:vAlign w:val="center"/>
            <w:hideMark/>
          </w:tcPr>
          <w:p w14:paraId="318C5872" w14:textId="77777777" w:rsidR="00752D76" w:rsidRPr="00F42F80" w:rsidRDefault="00752D76" w:rsidP="00752D76">
            <w:pPr>
              <w:jc w:val="center"/>
              <w:rPr>
                <w:rFonts w:ascii="Lustria" w:hAnsi="Lustria"/>
                <w:color w:val="000000"/>
                <w:sz w:val="22"/>
                <w:szCs w:val="22"/>
                <w:lang w:val="en-ID"/>
              </w:rPr>
            </w:pPr>
          </w:p>
        </w:tc>
        <w:tc>
          <w:tcPr>
            <w:tcW w:w="626" w:type="dxa"/>
            <w:tcBorders>
              <w:top w:val="nil"/>
              <w:left w:val="nil"/>
              <w:bottom w:val="nil"/>
              <w:right w:val="nil"/>
            </w:tcBorders>
            <w:shd w:val="clear" w:color="000000" w:fill="FFFFFF"/>
            <w:noWrap/>
            <w:vAlign w:val="center"/>
            <w:hideMark/>
          </w:tcPr>
          <w:p w14:paraId="7029E4A1" w14:textId="77777777" w:rsidR="00752D76" w:rsidRPr="00F42F80" w:rsidRDefault="00752D76" w:rsidP="00752D76">
            <w:pPr>
              <w:jc w:val="center"/>
              <w:rPr>
                <w:rFonts w:ascii="Lustria" w:hAnsi="Lustria"/>
                <w:color w:val="000000"/>
                <w:sz w:val="22"/>
                <w:szCs w:val="22"/>
                <w:lang w:val="en-ID"/>
              </w:rPr>
            </w:pPr>
          </w:p>
        </w:tc>
      </w:tr>
      <w:tr w:rsidR="00752D76" w:rsidRPr="00F42F80" w14:paraId="6D309A08" w14:textId="77777777" w:rsidTr="00752D76">
        <w:trPr>
          <w:trHeight w:val="288"/>
        </w:trPr>
        <w:tc>
          <w:tcPr>
            <w:tcW w:w="1240" w:type="dxa"/>
            <w:tcBorders>
              <w:top w:val="nil"/>
              <w:left w:val="nil"/>
              <w:bottom w:val="nil"/>
              <w:right w:val="nil"/>
            </w:tcBorders>
            <w:shd w:val="clear" w:color="000000" w:fill="FFFFFF"/>
            <w:noWrap/>
            <w:vAlign w:val="center"/>
            <w:hideMark/>
          </w:tcPr>
          <w:p w14:paraId="1154A1D0"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PEU</w:t>
            </w:r>
          </w:p>
        </w:tc>
        <w:tc>
          <w:tcPr>
            <w:tcW w:w="707" w:type="dxa"/>
            <w:tcBorders>
              <w:top w:val="nil"/>
              <w:left w:val="nil"/>
              <w:bottom w:val="nil"/>
              <w:right w:val="nil"/>
            </w:tcBorders>
            <w:shd w:val="clear" w:color="000000" w:fill="FFFFFF"/>
            <w:noWrap/>
            <w:vAlign w:val="center"/>
            <w:hideMark/>
          </w:tcPr>
          <w:p w14:paraId="76D070A4"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0,89</w:t>
            </w:r>
          </w:p>
        </w:tc>
        <w:tc>
          <w:tcPr>
            <w:tcW w:w="888" w:type="dxa"/>
            <w:tcBorders>
              <w:top w:val="nil"/>
              <w:left w:val="nil"/>
              <w:bottom w:val="nil"/>
              <w:right w:val="nil"/>
            </w:tcBorders>
            <w:shd w:val="clear" w:color="000000" w:fill="FFFFFF"/>
            <w:noWrap/>
            <w:vAlign w:val="center"/>
            <w:hideMark/>
          </w:tcPr>
          <w:p w14:paraId="357E39BE"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0,92</w:t>
            </w:r>
          </w:p>
        </w:tc>
        <w:tc>
          <w:tcPr>
            <w:tcW w:w="667" w:type="dxa"/>
            <w:tcBorders>
              <w:top w:val="nil"/>
              <w:left w:val="nil"/>
              <w:bottom w:val="nil"/>
              <w:right w:val="nil"/>
            </w:tcBorders>
            <w:shd w:val="clear" w:color="000000" w:fill="FFFFFF"/>
            <w:noWrap/>
            <w:vAlign w:val="center"/>
            <w:hideMark/>
          </w:tcPr>
          <w:p w14:paraId="4679F2BC"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0,66</w:t>
            </w:r>
          </w:p>
        </w:tc>
        <w:tc>
          <w:tcPr>
            <w:tcW w:w="666" w:type="dxa"/>
            <w:tcBorders>
              <w:top w:val="nil"/>
              <w:left w:val="nil"/>
              <w:bottom w:val="nil"/>
              <w:right w:val="nil"/>
            </w:tcBorders>
            <w:shd w:val="clear" w:color="000000" w:fill="FFFFFF"/>
            <w:noWrap/>
            <w:vAlign w:val="center"/>
            <w:hideMark/>
          </w:tcPr>
          <w:p w14:paraId="4F61DF6D"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0,67</w:t>
            </w:r>
          </w:p>
        </w:tc>
        <w:tc>
          <w:tcPr>
            <w:tcW w:w="666" w:type="dxa"/>
            <w:tcBorders>
              <w:top w:val="nil"/>
              <w:left w:val="nil"/>
              <w:bottom w:val="nil"/>
              <w:right w:val="nil"/>
            </w:tcBorders>
            <w:shd w:val="clear" w:color="000000" w:fill="FFFFFF"/>
            <w:noWrap/>
            <w:vAlign w:val="center"/>
            <w:hideMark/>
          </w:tcPr>
          <w:p w14:paraId="78C53D39"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0,79</w:t>
            </w:r>
          </w:p>
        </w:tc>
        <w:tc>
          <w:tcPr>
            <w:tcW w:w="666" w:type="dxa"/>
            <w:tcBorders>
              <w:top w:val="nil"/>
              <w:left w:val="nil"/>
              <w:bottom w:val="nil"/>
              <w:right w:val="nil"/>
            </w:tcBorders>
            <w:shd w:val="clear" w:color="000000" w:fill="FFFFFF"/>
            <w:noWrap/>
            <w:vAlign w:val="center"/>
            <w:hideMark/>
          </w:tcPr>
          <w:p w14:paraId="41CAB1BD"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0,81</w:t>
            </w:r>
          </w:p>
        </w:tc>
        <w:tc>
          <w:tcPr>
            <w:tcW w:w="719" w:type="dxa"/>
            <w:tcBorders>
              <w:top w:val="nil"/>
              <w:left w:val="nil"/>
              <w:bottom w:val="nil"/>
              <w:right w:val="nil"/>
            </w:tcBorders>
            <w:shd w:val="clear" w:color="000000" w:fill="FFFFFF"/>
            <w:noWrap/>
            <w:vAlign w:val="center"/>
            <w:hideMark/>
          </w:tcPr>
          <w:p w14:paraId="18116738" w14:textId="77777777" w:rsidR="00752D76" w:rsidRPr="00F42F80" w:rsidRDefault="00752D76" w:rsidP="00752D76">
            <w:pPr>
              <w:jc w:val="center"/>
              <w:rPr>
                <w:rFonts w:ascii="Lustria" w:hAnsi="Lustria"/>
                <w:color w:val="000000"/>
                <w:sz w:val="22"/>
                <w:szCs w:val="22"/>
                <w:lang w:val="en-ID"/>
              </w:rPr>
            </w:pPr>
          </w:p>
        </w:tc>
        <w:tc>
          <w:tcPr>
            <w:tcW w:w="666" w:type="dxa"/>
            <w:tcBorders>
              <w:top w:val="nil"/>
              <w:left w:val="nil"/>
              <w:bottom w:val="nil"/>
              <w:right w:val="nil"/>
            </w:tcBorders>
            <w:shd w:val="clear" w:color="000000" w:fill="FFFFFF"/>
            <w:noWrap/>
            <w:vAlign w:val="center"/>
            <w:hideMark/>
          </w:tcPr>
          <w:p w14:paraId="6EB194BA" w14:textId="77777777" w:rsidR="00752D76" w:rsidRPr="00F42F80" w:rsidRDefault="00752D76" w:rsidP="00752D76">
            <w:pPr>
              <w:jc w:val="center"/>
              <w:rPr>
                <w:rFonts w:ascii="Lustria" w:hAnsi="Lustria"/>
                <w:color w:val="000000"/>
                <w:sz w:val="22"/>
                <w:szCs w:val="22"/>
                <w:lang w:val="en-ID"/>
              </w:rPr>
            </w:pPr>
          </w:p>
        </w:tc>
        <w:tc>
          <w:tcPr>
            <w:tcW w:w="671" w:type="dxa"/>
            <w:tcBorders>
              <w:top w:val="nil"/>
              <w:left w:val="nil"/>
              <w:bottom w:val="nil"/>
              <w:right w:val="nil"/>
            </w:tcBorders>
            <w:shd w:val="clear" w:color="000000" w:fill="FFFFFF"/>
            <w:noWrap/>
            <w:vAlign w:val="center"/>
            <w:hideMark/>
          </w:tcPr>
          <w:p w14:paraId="2DA3850E" w14:textId="77777777" w:rsidR="00752D76" w:rsidRPr="00F42F80" w:rsidRDefault="00752D76" w:rsidP="00752D76">
            <w:pPr>
              <w:jc w:val="center"/>
              <w:rPr>
                <w:rFonts w:ascii="Lustria" w:hAnsi="Lustria"/>
                <w:color w:val="000000"/>
                <w:sz w:val="22"/>
                <w:szCs w:val="22"/>
                <w:lang w:val="en-ID"/>
              </w:rPr>
            </w:pPr>
          </w:p>
        </w:tc>
        <w:tc>
          <w:tcPr>
            <w:tcW w:w="626" w:type="dxa"/>
            <w:tcBorders>
              <w:top w:val="nil"/>
              <w:left w:val="nil"/>
              <w:bottom w:val="nil"/>
              <w:right w:val="nil"/>
            </w:tcBorders>
            <w:shd w:val="clear" w:color="000000" w:fill="FFFFFF"/>
            <w:noWrap/>
            <w:vAlign w:val="center"/>
            <w:hideMark/>
          </w:tcPr>
          <w:p w14:paraId="753429B2" w14:textId="77777777" w:rsidR="00752D76" w:rsidRPr="00F42F80" w:rsidRDefault="00752D76" w:rsidP="00752D76">
            <w:pPr>
              <w:jc w:val="center"/>
              <w:rPr>
                <w:rFonts w:ascii="Lustria" w:hAnsi="Lustria"/>
                <w:color w:val="000000"/>
                <w:sz w:val="22"/>
                <w:szCs w:val="22"/>
                <w:lang w:val="en-ID"/>
              </w:rPr>
            </w:pPr>
          </w:p>
        </w:tc>
      </w:tr>
      <w:tr w:rsidR="00752D76" w:rsidRPr="00F42F80" w14:paraId="2CD483D6" w14:textId="77777777" w:rsidTr="00752D76">
        <w:trPr>
          <w:trHeight w:val="288"/>
        </w:trPr>
        <w:tc>
          <w:tcPr>
            <w:tcW w:w="1240" w:type="dxa"/>
            <w:tcBorders>
              <w:top w:val="nil"/>
              <w:left w:val="nil"/>
              <w:bottom w:val="nil"/>
              <w:right w:val="nil"/>
            </w:tcBorders>
            <w:shd w:val="clear" w:color="000000" w:fill="FFFFFF"/>
            <w:noWrap/>
            <w:vAlign w:val="center"/>
            <w:hideMark/>
          </w:tcPr>
          <w:p w14:paraId="7C921538"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PU</w:t>
            </w:r>
          </w:p>
        </w:tc>
        <w:tc>
          <w:tcPr>
            <w:tcW w:w="707" w:type="dxa"/>
            <w:tcBorders>
              <w:top w:val="nil"/>
              <w:left w:val="nil"/>
              <w:bottom w:val="nil"/>
              <w:right w:val="nil"/>
            </w:tcBorders>
            <w:shd w:val="clear" w:color="000000" w:fill="FFFFFF"/>
            <w:noWrap/>
            <w:vAlign w:val="center"/>
            <w:hideMark/>
          </w:tcPr>
          <w:p w14:paraId="0B451057"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0,92</w:t>
            </w:r>
          </w:p>
        </w:tc>
        <w:tc>
          <w:tcPr>
            <w:tcW w:w="888" w:type="dxa"/>
            <w:tcBorders>
              <w:top w:val="nil"/>
              <w:left w:val="nil"/>
              <w:bottom w:val="nil"/>
              <w:right w:val="nil"/>
            </w:tcBorders>
            <w:shd w:val="clear" w:color="000000" w:fill="FFFFFF"/>
            <w:noWrap/>
            <w:vAlign w:val="center"/>
            <w:hideMark/>
          </w:tcPr>
          <w:p w14:paraId="73908AFB"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0,94</w:t>
            </w:r>
          </w:p>
        </w:tc>
        <w:tc>
          <w:tcPr>
            <w:tcW w:w="667" w:type="dxa"/>
            <w:tcBorders>
              <w:top w:val="nil"/>
              <w:left w:val="nil"/>
              <w:bottom w:val="nil"/>
              <w:right w:val="nil"/>
            </w:tcBorders>
            <w:shd w:val="clear" w:color="000000" w:fill="FFFFFF"/>
            <w:noWrap/>
            <w:vAlign w:val="center"/>
            <w:hideMark/>
          </w:tcPr>
          <w:p w14:paraId="0B30B3ED"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0,77</w:t>
            </w:r>
          </w:p>
        </w:tc>
        <w:tc>
          <w:tcPr>
            <w:tcW w:w="666" w:type="dxa"/>
            <w:tcBorders>
              <w:top w:val="nil"/>
              <w:left w:val="nil"/>
              <w:bottom w:val="nil"/>
              <w:right w:val="nil"/>
            </w:tcBorders>
            <w:shd w:val="clear" w:color="000000" w:fill="FFFFFF"/>
            <w:noWrap/>
            <w:vAlign w:val="center"/>
            <w:hideMark/>
          </w:tcPr>
          <w:p w14:paraId="66733E92"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0,57</w:t>
            </w:r>
          </w:p>
        </w:tc>
        <w:tc>
          <w:tcPr>
            <w:tcW w:w="666" w:type="dxa"/>
            <w:tcBorders>
              <w:top w:val="nil"/>
              <w:left w:val="nil"/>
              <w:bottom w:val="nil"/>
              <w:right w:val="nil"/>
            </w:tcBorders>
            <w:shd w:val="clear" w:color="000000" w:fill="FFFFFF"/>
            <w:noWrap/>
            <w:vAlign w:val="center"/>
            <w:hideMark/>
          </w:tcPr>
          <w:p w14:paraId="6E345F12"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0,66</w:t>
            </w:r>
          </w:p>
        </w:tc>
        <w:tc>
          <w:tcPr>
            <w:tcW w:w="666" w:type="dxa"/>
            <w:tcBorders>
              <w:top w:val="nil"/>
              <w:left w:val="nil"/>
              <w:bottom w:val="nil"/>
              <w:right w:val="nil"/>
            </w:tcBorders>
            <w:shd w:val="clear" w:color="000000" w:fill="FFFFFF"/>
            <w:noWrap/>
            <w:vAlign w:val="center"/>
            <w:hideMark/>
          </w:tcPr>
          <w:p w14:paraId="6A30354A"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0,74</w:t>
            </w:r>
          </w:p>
        </w:tc>
        <w:tc>
          <w:tcPr>
            <w:tcW w:w="719" w:type="dxa"/>
            <w:tcBorders>
              <w:top w:val="nil"/>
              <w:left w:val="nil"/>
              <w:bottom w:val="nil"/>
              <w:right w:val="nil"/>
            </w:tcBorders>
            <w:shd w:val="clear" w:color="000000" w:fill="FFFFFF"/>
            <w:noWrap/>
            <w:vAlign w:val="center"/>
            <w:hideMark/>
          </w:tcPr>
          <w:p w14:paraId="56794C8C"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0,87</w:t>
            </w:r>
          </w:p>
        </w:tc>
        <w:tc>
          <w:tcPr>
            <w:tcW w:w="666" w:type="dxa"/>
            <w:tcBorders>
              <w:top w:val="nil"/>
              <w:left w:val="nil"/>
              <w:bottom w:val="nil"/>
              <w:right w:val="nil"/>
            </w:tcBorders>
            <w:shd w:val="clear" w:color="000000" w:fill="FFFFFF"/>
            <w:noWrap/>
            <w:vAlign w:val="center"/>
            <w:hideMark/>
          </w:tcPr>
          <w:p w14:paraId="067A6996" w14:textId="77777777" w:rsidR="00752D76" w:rsidRPr="00F42F80" w:rsidRDefault="00752D76" w:rsidP="00752D76">
            <w:pPr>
              <w:jc w:val="center"/>
              <w:rPr>
                <w:rFonts w:ascii="Lustria" w:hAnsi="Lustria"/>
                <w:color w:val="000000"/>
                <w:sz w:val="22"/>
                <w:szCs w:val="22"/>
                <w:lang w:val="en-ID"/>
              </w:rPr>
            </w:pPr>
          </w:p>
        </w:tc>
        <w:tc>
          <w:tcPr>
            <w:tcW w:w="671" w:type="dxa"/>
            <w:tcBorders>
              <w:top w:val="nil"/>
              <w:left w:val="nil"/>
              <w:bottom w:val="nil"/>
              <w:right w:val="nil"/>
            </w:tcBorders>
            <w:shd w:val="clear" w:color="000000" w:fill="FFFFFF"/>
            <w:noWrap/>
            <w:vAlign w:val="center"/>
            <w:hideMark/>
          </w:tcPr>
          <w:p w14:paraId="213140FD" w14:textId="77777777" w:rsidR="00752D76" w:rsidRPr="00F42F80" w:rsidRDefault="00752D76" w:rsidP="00752D76">
            <w:pPr>
              <w:jc w:val="center"/>
              <w:rPr>
                <w:rFonts w:ascii="Lustria" w:hAnsi="Lustria"/>
                <w:color w:val="000000"/>
                <w:sz w:val="22"/>
                <w:szCs w:val="22"/>
                <w:lang w:val="en-ID"/>
              </w:rPr>
            </w:pPr>
          </w:p>
        </w:tc>
        <w:tc>
          <w:tcPr>
            <w:tcW w:w="626" w:type="dxa"/>
            <w:tcBorders>
              <w:top w:val="nil"/>
              <w:left w:val="nil"/>
              <w:bottom w:val="nil"/>
              <w:right w:val="nil"/>
            </w:tcBorders>
            <w:shd w:val="clear" w:color="000000" w:fill="FFFFFF"/>
            <w:noWrap/>
            <w:vAlign w:val="center"/>
            <w:hideMark/>
          </w:tcPr>
          <w:p w14:paraId="7996E4CD" w14:textId="77777777" w:rsidR="00752D76" w:rsidRPr="00F42F80" w:rsidRDefault="00752D76" w:rsidP="00752D76">
            <w:pPr>
              <w:jc w:val="center"/>
              <w:rPr>
                <w:rFonts w:ascii="Lustria" w:hAnsi="Lustria"/>
                <w:color w:val="000000"/>
                <w:sz w:val="22"/>
                <w:szCs w:val="22"/>
                <w:lang w:val="en-ID"/>
              </w:rPr>
            </w:pPr>
          </w:p>
        </w:tc>
      </w:tr>
      <w:tr w:rsidR="00752D76" w:rsidRPr="00F42F80" w14:paraId="2CC904FD" w14:textId="77777777" w:rsidTr="00752D76">
        <w:trPr>
          <w:trHeight w:val="288"/>
        </w:trPr>
        <w:tc>
          <w:tcPr>
            <w:tcW w:w="1240" w:type="dxa"/>
            <w:tcBorders>
              <w:top w:val="nil"/>
              <w:left w:val="nil"/>
              <w:bottom w:val="nil"/>
              <w:right w:val="nil"/>
            </w:tcBorders>
            <w:shd w:val="clear" w:color="000000" w:fill="FFFFFF"/>
            <w:noWrap/>
            <w:vAlign w:val="center"/>
            <w:hideMark/>
          </w:tcPr>
          <w:p w14:paraId="6FD269DA"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RI</w:t>
            </w:r>
          </w:p>
        </w:tc>
        <w:tc>
          <w:tcPr>
            <w:tcW w:w="707" w:type="dxa"/>
            <w:tcBorders>
              <w:top w:val="nil"/>
              <w:left w:val="nil"/>
              <w:bottom w:val="nil"/>
              <w:right w:val="nil"/>
            </w:tcBorders>
            <w:shd w:val="clear" w:color="000000" w:fill="FFFFFF"/>
            <w:noWrap/>
            <w:vAlign w:val="center"/>
            <w:hideMark/>
          </w:tcPr>
          <w:p w14:paraId="7633CA7A"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0,88</w:t>
            </w:r>
          </w:p>
        </w:tc>
        <w:tc>
          <w:tcPr>
            <w:tcW w:w="888" w:type="dxa"/>
            <w:tcBorders>
              <w:top w:val="nil"/>
              <w:left w:val="nil"/>
              <w:bottom w:val="nil"/>
              <w:right w:val="nil"/>
            </w:tcBorders>
            <w:shd w:val="clear" w:color="000000" w:fill="FFFFFF"/>
            <w:noWrap/>
            <w:vAlign w:val="center"/>
            <w:hideMark/>
          </w:tcPr>
          <w:p w14:paraId="3BEB94F2"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0,93</w:t>
            </w:r>
          </w:p>
        </w:tc>
        <w:tc>
          <w:tcPr>
            <w:tcW w:w="667" w:type="dxa"/>
            <w:tcBorders>
              <w:top w:val="nil"/>
              <w:left w:val="nil"/>
              <w:bottom w:val="nil"/>
              <w:right w:val="nil"/>
            </w:tcBorders>
            <w:shd w:val="clear" w:color="000000" w:fill="FFFFFF"/>
            <w:noWrap/>
            <w:vAlign w:val="center"/>
            <w:hideMark/>
          </w:tcPr>
          <w:p w14:paraId="57BDCDAC"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0,82</w:t>
            </w:r>
          </w:p>
        </w:tc>
        <w:tc>
          <w:tcPr>
            <w:tcW w:w="666" w:type="dxa"/>
            <w:tcBorders>
              <w:top w:val="nil"/>
              <w:left w:val="nil"/>
              <w:bottom w:val="nil"/>
              <w:right w:val="nil"/>
            </w:tcBorders>
            <w:shd w:val="clear" w:color="000000" w:fill="FFFFFF"/>
            <w:noWrap/>
            <w:vAlign w:val="center"/>
            <w:hideMark/>
          </w:tcPr>
          <w:p w14:paraId="27881D72"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0,44</w:t>
            </w:r>
          </w:p>
        </w:tc>
        <w:tc>
          <w:tcPr>
            <w:tcW w:w="666" w:type="dxa"/>
            <w:tcBorders>
              <w:top w:val="nil"/>
              <w:left w:val="nil"/>
              <w:bottom w:val="nil"/>
              <w:right w:val="nil"/>
            </w:tcBorders>
            <w:shd w:val="clear" w:color="000000" w:fill="FFFFFF"/>
            <w:noWrap/>
            <w:vAlign w:val="center"/>
            <w:hideMark/>
          </w:tcPr>
          <w:p w14:paraId="2BDE6FB6"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0,52</w:t>
            </w:r>
          </w:p>
        </w:tc>
        <w:tc>
          <w:tcPr>
            <w:tcW w:w="666" w:type="dxa"/>
            <w:tcBorders>
              <w:top w:val="nil"/>
              <w:left w:val="nil"/>
              <w:bottom w:val="nil"/>
              <w:right w:val="nil"/>
            </w:tcBorders>
            <w:shd w:val="clear" w:color="000000" w:fill="FFFFFF"/>
            <w:noWrap/>
            <w:vAlign w:val="center"/>
            <w:hideMark/>
          </w:tcPr>
          <w:p w14:paraId="0F707608"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0,47</w:t>
            </w:r>
          </w:p>
        </w:tc>
        <w:tc>
          <w:tcPr>
            <w:tcW w:w="719" w:type="dxa"/>
            <w:tcBorders>
              <w:top w:val="nil"/>
              <w:left w:val="nil"/>
              <w:bottom w:val="nil"/>
              <w:right w:val="nil"/>
            </w:tcBorders>
            <w:shd w:val="clear" w:color="000000" w:fill="FFFFFF"/>
            <w:noWrap/>
            <w:vAlign w:val="center"/>
            <w:hideMark/>
          </w:tcPr>
          <w:p w14:paraId="686CCD5F"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0,46</w:t>
            </w:r>
          </w:p>
        </w:tc>
        <w:tc>
          <w:tcPr>
            <w:tcW w:w="666" w:type="dxa"/>
            <w:tcBorders>
              <w:top w:val="nil"/>
              <w:left w:val="nil"/>
              <w:bottom w:val="nil"/>
              <w:right w:val="nil"/>
            </w:tcBorders>
            <w:shd w:val="clear" w:color="000000" w:fill="FFFFFF"/>
            <w:noWrap/>
            <w:vAlign w:val="center"/>
            <w:hideMark/>
          </w:tcPr>
          <w:p w14:paraId="310FA5C1"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0,90</w:t>
            </w:r>
          </w:p>
        </w:tc>
        <w:tc>
          <w:tcPr>
            <w:tcW w:w="671" w:type="dxa"/>
            <w:tcBorders>
              <w:top w:val="nil"/>
              <w:left w:val="nil"/>
              <w:bottom w:val="nil"/>
              <w:right w:val="nil"/>
            </w:tcBorders>
            <w:shd w:val="clear" w:color="000000" w:fill="FFFFFF"/>
            <w:noWrap/>
            <w:vAlign w:val="center"/>
            <w:hideMark/>
          </w:tcPr>
          <w:p w14:paraId="4056BAB3" w14:textId="77777777" w:rsidR="00752D76" w:rsidRPr="00F42F80" w:rsidRDefault="00752D76" w:rsidP="00752D76">
            <w:pPr>
              <w:jc w:val="center"/>
              <w:rPr>
                <w:rFonts w:ascii="Lustria" w:hAnsi="Lustria"/>
                <w:color w:val="000000"/>
                <w:sz w:val="22"/>
                <w:szCs w:val="22"/>
                <w:lang w:val="en-ID"/>
              </w:rPr>
            </w:pPr>
          </w:p>
        </w:tc>
        <w:tc>
          <w:tcPr>
            <w:tcW w:w="626" w:type="dxa"/>
            <w:tcBorders>
              <w:top w:val="nil"/>
              <w:left w:val="nil"/>
              <w:bottom w:val="nil"/>
              <w:right w:val="nil"/>
            </w:tcBorders>
            <w:shd w:val="clear" w:color="000000" w:fill="FFFFFF"/>
            <w:noWrap/>
            <w:vAlign w:val="center"/>
            <w:hideMark/>
          </w:tcPr>
          <w:p w14:paraId="5A4539D8" w14:textId="77777777" w:rsidR="00752D76" w:rsidRPr="00F42F80" w:rsidRDefault="00752D76" w:rsidP="00752D76">
            <w:pPr>
              <w:jc w:val="center"/>
              <w:rPr>
                <w:rFonts w:ascii="Lustria" w:hAnsi="Lustria"/>
                <w:color w:val="000000"/>
                <w:sz w:val="22"/>
                <w:szCs w:val="22"/>
                <w:lang w:val="en-ID"/>
              </w:rPr>
            </w:pPr>
          </w:p>
        </w:tc>
      </w:tr>
      <w:tr w:rsidR="00752D76" w:rsidRPr="00F42F80" w14:paraId="64ACEC0C" w14:textId="77777777" w:rsidTr="00752D76">
        <w:trPr>
          <w:trHeight w:val="288"/>
        </w:trPr>
        <w:tc>
          <w:tcPr>
            <w:tcW w:w="1240" w:type="dxa"/>
            <w:tcBorders>
              <w:top w:val="nil"/>
              <w:left w:val="nil"/>
              <w:right w:val="nil"/>
            </w:tcBorders>
            <w:shd w:val="clear" w:color="000000" w:fill="FFFFFF"/>
            <w:noWrap/>
            <w:vAlign w:val="center"/>
            <w:hideMark/>
          </w:tcPr>
          <w:p w14:paraId="36D11881"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SC</w:t>
            </w:r>
          </w:p>
        </w:tc>
        <w:tc>
          <w:tcPr>
            <w:tcW w:w="707" w:type="dxa"/>
            <w:tcBorders>
              <w:top w:val="nil"/>
              <w:left w:val="nil"/>
              <w:right w:val="nil"/>
            </w:tcBorders>
            <w:shd w:val="clear" w:color="000000" w:fill="FFFFFF"/>
            <w:noWrap/>
            <w:vAlign w:val="center"/>
            <w:hideMark/>
          </w:tcPr>
          <w:p w14:paraId="0EA5E85B"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0,89</w:t>
            </w:r>
          </w:p>
        </w:tc>
        <w:tc>
          <w:tcPr>
            <w:tcW w:w="888" w:type="dxa"/>
            <w:tcBorders>
              <w:top w:val="nil"/>
              <w:left w:val="nil"/>
              <w:right w:val="nil"/>
            </w:tcBorders>
            <w:shd w:val="clear" w:color="000000" w:fill="FFFFFF"/>
            <w:noWrap/>
            <w:vAlign w:val="center"/>
            <w:hideMark/>
          </w:tcPr>
          <w:p w14:paraId="0DCF9638"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0,92</w:t>
            </w:r>
          </w:p>
        </w:tc>
        <w:tc>
          <w:tcPr>
            <w:tcW w:w="667" w:type="dxa"/>
            <w:tcBorders>
              <w:top w:val="nil"/>
              <w:left w:val="nil"/>
              <w:right w:val="nil"/>
            </w:tcBorders>
            <w:shd w:val="clear" w:color="000000" w:fill="FFFFFF"/>
            <w:noWrap/>
            <w:vAlign w:val="center"/>
            <w:hideMark/>
          </w:tcPr>
          <w:p w14:paraId="6FC2ADCB"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0,71</w:t>
            </w:r>
          </w:p>
        </w:tc>
        <w:tc>
          <w:tcPr>
            <w:tcW w:w="666" w:type="dxa"/>
            <w:tcBorders>
              <w:top w:val="nil"/>
              <w:left w:val="nil"/>
              <w:right w:val="nil"/>
            </w:tcBorders>
            <w:shd w:val="clear" w:color="000000" w:fill="FFFFFF"/>
            <w:noWrap/>
            <w:vAlign w:val="center"/>
            <w:hideMark/>
          </w:tcPr>
          <w:p w14:paraId="1A924194"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0,74</w:t>
            </w:r>
          </w:p>
        </w:tc>
        <w:tc>
          <w:tcPr>
            <w:tcW w:w="666" w:type="dxa"/>
            <w:tcBorders>
              <w:top w:val="nil"/>
              <w:left w:val="nil"/>
              <w:right w:val="nil"/>
            </w:tcBorders>
            <w:shd w:val="clear" w:color="000000" w:fill="FFFFFF"/>
            <w:noWrap/>
            <w:vAlign w:val="center"/>
            <w:hideMark/>
          </w:tcPr>
          <w:p w14:paraId="77EA95EA"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0,53</w:t>
            </w:r>
          </w:p>
        </w:tc>
        <w:tc>
          <w:tcPr>
            <w:tcW w:w="666" w:type="dxa"/>
            <w:tcBorders>
              <w:top w:val="nil"/>
              <w:left w:val="nil"/>
              <w:right w:val="nil"/>
            </w:tcBorders>
            <w:shd w:val="clear" w:color="000000" w:fill="FFFFFF"/>
            <w:noWrap/>
            <w:vAlign w:val="center"/>
            <w:hideMark/>
          </w:tcPr>
          <w:p w14:paraId="7D863953"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0,52</w:t>
            </w:r>
          </w:p>
        </w:tc>
        <w:tc>
          <w:tcPr>
            <w:tcW w:w="719" w:type="dxa"/>
            <w:tcBorders>
              <w:top w:val="nil"/>
              <w:left w:val="nil"/>
              <w:right w:val="nil"/>
            </w:tcBorders>
            <w:shd w:val="clear" w:color="000000" w:fill="FFFFFF"/>
            <w:noWrap/>
            <w:vAlign w:val="center"/>
            <w:hideMark/>
          </w:tcPr>
          <w:p w14:paraId="21522728"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0,39</w:t>
            </w:r>
          </w:p>
        </w:tc>
        <w:tc>
          <w:tcPr>
            <w:tcW w:w="666" w:type="dxa"/>
            <w:tcBorders>
              <w:top w:val="nil"/>
              <w:left w:val="nil"/>
              <w:right w:val="nil"/>
            </w:tcBorders>
            <w:shd w:val="clear" w:color="000000" w:fill="FFFFFF"/>
            <w:noWrap/>
            <w:vAlign w:val="center"/>
            <w:hideMark/>
          </w:tcPr>
          <w:p w14:paraId="67B4E2B3"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0,45</w:t>
            </w:r>
          </w:p>
        </w:tc>
        <w:tc>
          <w:tcPr>
            <w:tcW w:w="671" w:type="dxa"/>
            <w:tcBorders>
              <w:top w:val="nil"/>
              <w:left w:val="nil"/>
              <w:right w:val="nil"/>
            </w:tcBorders>
            <w:shd w:val="clear" w:color="000000" w:fill="FFFFFF"/>
            <w:noWrap/>
            <w:vAlign w:val="center"/>
            <w:hideMark/>
          </w:tcPr>
          <w:p w14:paraId="2169DD92"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0,84</w:t>
            </w:r>
          </w:p>
        </w:tc>
        <w:tc>
          <w:tcPr>
            <w:tcW w:w="626" w:type="dxa"/>
            <w:tcBorders>
              <w:top w:val="nil"/>
              <w:left w:val="nil"/>
              <w:right w:val="nil"/>
            </w:tcBorders>
            <w:shd w:val="clear" w:color="000000" w:fill="FFFFFF"/>
            <w:noWrap/>
            <w:vAlign w:val="center"/>
            <w:hideMark/>
          </w:tcPr>
          <w:p w14:paraId="7565FD22" w14:textId="77777777" w:rsidR="00752D76" w:rsidRPr="00F42F80" w:rsidRDefault="00752D76" w:rsidP="00752D76">
            <w:pPr>
              <w:jc w:val="center"/>
              <w:rPr>
                <w:rFonts w:ascii="Lustria" w:hAnsi="Lustria"/>
                <w:color w:val="000000"/>
                <w:sz w:val="22"/>
                <w:szCs w:val="22"/>
                <w:lang w:val="en-ID"/>
              </w:rPr>
            </w:pPr>
          </w:p>
        </w:tc>
      </w:tr>
      <w:tr w:rsidR="00752D76" w:rsidRPr="00F42F80" w14:paraId="0E7C5854" w14:textId="77777777" w:rsidTr="00752D76">
        <w:trPr>
          <w:trHeight w:val="288"/>
        </w:trPr>
        <w:tc>
          <w:tcPr>
            <w:tcW w:w="1240" w:type="dxa"/>
            <w:tcBorders>
              <w:top w:val="nil"/>
              <w:left w:val="nil"/>
              <w:bottom w:val="single" w:sz="4" w:space="0" w:color="auto"/>
              <w:right w:val="nil"/>
            </w:tcBorders>
            <w:shd w:val="clear" w:color="000000" w:fill="FFFFFF"/>
            <w:noWrap/>
            <w:vAlign w:val="center"/>
            <w:hideMark/>
          </w:tcPr>
          <w:p w14:paraId="58E87B60"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TO</w:t>
            </w:r>
          </w:p>
        </w:tc>
        <w:tc>
          <w:tcPr>
            <w:tcW w:w="707" w:type="dxa"/>
            <w:tcBorders>
              <w:top w:val="nil"/>
              <w:left w:val="nil"/>
              <w:bottom w:val="single" w:sz="4" w:space="0" w:color="auto"/>
              <w:right w:val="nil"/>
            </w:tcBorders>
            <w:shd w:val="clear" w:color="000000" w:fill="FFFFFF"/>
            <w:noWrap/>
            <w:vAlign w:val="center"/>
            <w:hideMark/>
          </w:tcPr>
          <w:p w14:paraId="69D1E4BE"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0,90</w:t>
            </w:r>
          </w:p>
        </w:tc>
        <w:tc>
          <w:tcPr>
            <w:tcW w:w="888" w:type="dxa"/>
            <w:tcBorders>
              <w:top w:val="nil"/>
              <w:left w:val="nil"/>
              <w:bottom w:val="single" w:sz="4" w:space="0" w:color="auto"/>
              <w:right w:val="nil"/>
            </w:tcBorders>
            <w:shd w:val="clear" w:color="000000" w:fill="FFFFFF"/>
            <w:noWrap/>
            <w:vAlign w:val="center"/>
            <w:hideMark/>
          </w:tcPr>
          <w:p w14:paraId="3441492E"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0,93</w:t>
            </w:r>
          </w:p>
        </w:tc>
        <w:tc>
          <w:tcPr>
            <w:tcW w:w="667" w:type="dxa"/>
            <w:tcBorders>
              <w:top w:val="nil"/>
              <w:left w:val="nil"/>
              <w:bottom w:val="single" w:sz="4" w:space="0" w:color="auto"/>
              <w:right w:val="nil"/>
            </w:tcBorders>
            <w:shd w:val="clear" w:color="000000" w:fill="FFFFFF"/>
            <w:noWrap/>
            <w:vAlign w:val="center"/>
            <w:hideMark/>
          </w:tcPr>
          <w:p w14:paraId="47A142BA"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0,73</w:t>
            </w:r>
          </w:p>
        </w:tc>
        <w:tc>
          <w:tcPr>
            <w:tcW w:w="666" w:type="dxa"/>
            <w:tcBorders>
              <w:top w:val="nil"/>
              <w:left w:val="nil"/>
              <w:bottom w:val="single" w:sz="4" w:space="0" w:color="auto"/>
              <w:right w:val="nil"/>
            </w:tcBorders>
            <w:shd w:val="clear" w:color="000000" w:fill="FFFFFF"/>
            <w:noWrap/>
            <w:vAlign w:val="center"/>
            <w:hideMark/>
          </w:tcPr>
          <w:p w14:paraId="1089AB52"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0,81</w:t>
            </w:r>
          </w:p>
        </w:tc>
        <w:tc>
          <w:tcPr>
            <w:tcW w:w="666" w:type="dxa"/>
            <w:tcBorders>
              <w:top w:val="nil"/>
              <w:left w:val="nil"/>
              <w:bottom w:val="single" w:sz="4" w:space="0" w:color="auto"/>
              <w:right w:val="nil"/>
            </w:tcBorders>
            <w:shd w:val="clear" w:color="000000" w:fill="FFFFFF"/>
            <w:noWrap/>
            <w:vAlign w:val="center"/>
            <w:hideMark/>
          </w:tcPr>
          <w:p w14:paraId="0C7E22C9"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0,65</w:t>
            </w:r>
          </w:p>
        </w:tc>
        <w:tc>
          <w:tcPr>
            <w:tcW w:w="666" w:type="dxa"/>
            <w:tcBorders>
              <w:top w:val="nil"/>
              <w:left w:val="nil"/>
              <w:bottom w:val="single" w:sz="4" w:space="0" w:color="auto"/>
              <w:right w:val="nil"/>
            </w:tcBorders>
            <w:shd w:val="clear" w:color="000000" w:fill="FFFFFF"/>
            <w:noWrap/>
            <w:vAlign w:val="center"/>
            <w:hideMark/>
          </w:tcPr>
          <w:p w14:paraId="5E09431F"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0,65</w:t>
            </w:r>
          </w:p>
        </w:tc>
        <w:tc>
          <w:tcPr>
            <w:tcW w:w="719" w:type="dxa"/>
            <w:tcBorders>
              <w:top w:val="nil"/>
              <w:left w:val="nil"/>
              <w:bottom w:val="single" w:sz="4" w:space="0" w:color="auto"/>
              <w:right w:val="nil"/>
            </w:tcBorders>
            <w:shd w:val="clear" w:color="000000" w:fill="FFFFFF"/>
            <w:noWrap/>
            <w:vAlign w:val="center"/>
            <w:hideMark/>
          </w:tcPr>
          <w:p w14:paraId="2460EEC1"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0,55</w:t>
            </w:r>
          </w:p>
        </w:tc>
        <w:tc>
          <w:tcPr>
            <w:tcW w:w="666" w:type="dxa"/>
            <w:tcBorders>
              <w:top w:val="nil"/>
              <w:left w:val="nil"/>
              <w:bottom w:val="single" w:sz="4" w:space="0" w:color="auto"/>
              <w:right w:val="nil"/>
            </w:tcBorders>
            <w:shd w:val="clear" w:color="000000" w:fill="FFFFFF"/>
            <w:noWrap/>
            <w:vAlign w:val="center"/>
            <w:hideMark/>
          </w:tcPr>
          <w:p w14:paraId="35B42A92"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0,54</w:t>
            </w:r>
          </w:p>
        </w:tc>
        <w:tc>
          <w:tcPr>
            <w:tcW w:w="671" w:type="dxa"/>
            <w:tcBorders>
              <w:top w:val="nil"/>
              <w:left w:val="nil"/>
              <w:bottom w:val="single" w:sz="4" w:space="0" w:color="auto"/>
              <w:right w:val="nil"/>
            </w:tcBorders>
            <w:shd w:val="clear" w:color="000000" w:fill="FFFFFF"/>
            <w:noWrap/>
            <w:vAlign w:val="center"/>
            <w:hideMark/>
          </w:tcPr>
          <w:p w14:paraId="5BD1EF51"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0,74</w:t>
            </w:r>
          </w:p>
        </w:tc>
        <w:tc>
          <w:tcPr>
            <w:tcW w:w="626" w:type="dxa"/>
            <w:tcBorders>
              <w:top w:val="nil"/>
              <w:left w:val="nil"/>
              <w:bottom w:val="single" w:sz="4" w:space="0" w:color="auto"/>
              <w:right w:val="nil"/>
            </w:tcBorders>
            <w:shd w:val="clear" w:color="000000" w:fill="FFFFFF"/>
            <w:noWrap/>
            <w:vAlign w:val="center"/>
            <w:hideMark/>
          </w:tcPr>
          <w:p w14:paraId="1FD6CCD2" w14:textId="77777777" w:rsidR="00752D76" w:rsidRPr="00F42F80" w:rsidRDefault="00752D76" w:rsidP="00752D76">
            <w:pPr>
              <w:jc w:val="center"/>
              <w:rPr>
                <w:rFonts w:ascii="Lustria" w:hAnsi="Lustria"/>
                <w:color w:val="000000"/>
                <w:sz w:val="22"/>
                <w:szCs w:val="22"/>
                <w:lang w:val="en-ID"/>
              </w:rPr>
            </w:pPr>
            <w:r w:rsidRPr="00F42F80">
              <w:rPr>
                <w:rFonts w:ascii="Lustria" w:hAnsi="Lustria"/>
                <w:color w:val="000000"/>
                <w:sz w:val="22"/>
                <w:szCs w:val="22"/>
                <w:lang w:val="en-ID"/>
              </w:rPr>
              <w:t>0,85</w:t>
            </w:r>
          </w:p>
        </w:tc>
      </w:tr>
    </w:tbl>
    <w:p w14:paraId="53553F4B" w14:textId="77777777" w:rsidR="00752D76" w:rsidRPr="00F42F80" w:rsidRDefault="00752D76" w:rsidP="00752D76">
      <w:pPr>
        <w:pStyle w:val="Heading1"/>
        <w:ind w:right="6"/>
        <w:jc w:val="both"/>
        <w:rPr>
          <w:rFonts w:ascii="Lustria" w:hAnsi="Lustria"/>
          <w:b w:val="0"/>
          <w:bCs w:val="0"/>
          <w:i/>
          <w:iCs/>
          <w:lang w:val="en-US"/>
        </w:rPr>
      </w:pPr>
    </w:p>
    <w:p w14:paraId="0085B05A" w14:textId="77777777" w:rsidR="00752D76" w:rsidRPr="00F42F80" w:rsidRDefault="00752D76" w:rsidP="00752D76">
      <w:pPr>
        <w:pStyle w:val="Heading1"/>
        <w:spacing w:line="240" w:lineRule="auto"/>
        <w:ind w:left="425" w:right="6" w:hanging="425"/>
        <w:jc w:val="left"/>
        <w:rPr>
          <w:rFonts w:ascii="Lustria" w:hAnsi="Lustria"/>
          <w:b w:val="0"/>
          <w:bCs w:val="0"/>
          <w:i/>
          <w:iCs/>
          <w:color w:val="000000" w:themeColor="text1"/>
          <w:sz w:val="22"/>
          <w:szCs w:val="22"/>
        </w:rPr>
      </w:pPr>
      <w:r w:rsidRPr="00F42F80">
        <w:rPr>
          <w:rFonts w:ascii="Lustria" w:hAnsi="Lustria"/>
          <w:b w:val="0"/>
          <w:bCs w:val="0"/>
          <w:i/>
          <w:iCs/>
          <w:color w:val="000000" w:themeColor="text1"/>
          <w:sz w:val="22"/>
          <w:szCs w:val="22"/>
          <w:lang w:val="en-US"/>
        </w:rPr>
        <w:t>Second-Order Factor Analysis</w:t>
      </w:r>
    </w:p>
    <w:p w14:paraId="7B24D2B8" w14:textId="77777777" w:rsidR="00752D76" w:rsidRPr="00F42F80" w:rsidRDefault="00752D76" w:rsidP="00752D76">
      <w:pPr>
        <w:pStyle w:val="Heading1"/>
        <w:widowControl w:val="0"/>
        <w:autoSpaceDE w:val="0"/>
        <w:autoSpaceDN w:val="0"/>
        <w:spacing w:line="240" w:lineRule="auto"/>
        <w:ind w:right="6" w:firstLine="567"/>
        <w:jc w:val="both"/>
        <w:rPr>
          <w:rFonts w:ascii="Lustria" w:hAnsi="Lustria"/>
          <w:b w:val="0"/>
          <w:bCs w:val="0"/>
          <w:color w:val="000000" w:themeColor="text1"/>
          <w:sz w:val="22"/>
          <w:szCs w:val="22"/>
        </w:rPr>
      </w:pPr>
      <w:r w:rsidRPr="00F42F80">
        <w:rPr>
          <w:rFonts w:ascii="Lustria" w:hAnsi="Lustria"/>
          <w:b w:val="0"/>
          <w:bCs w:val="0"/>
          <w:color w:val="000000" w:themeColor="text1"/>
          <w:sz w:val="22"/>
          <w:szCs w:val="22"/>
        </w:rPr>
        <w:t>Furthermore, the researchers carried out a second-order factor analysis to review the dimensions of the construct of Attitude Toward Computer-Based Statistics in the Faculty of Economics's learning community. Second-order factor analysis was performed to assess which dimensions were essential in establishing attitude toward computer-based statistics</w:t>
      </w:r>
      <w:r w:rsidRPr="00F42F80">
        <w:rPr>
          <w:rFonts w:ascii="Lustria" w:hAnsi="Lustria"/>
          <w:b w:val="0"/>
          <w:bCs w:val="0"/>
          <w:color w:val="000000" w:themeColor="text1"/>
          <w:sz w:val="22"/>
          <w:szCs w:val="22"/>
          <w:lang w:val="en-US"/>
        </w:rPr>
        <w:t xml:space="preserve"> </w:t>
      </w:r>
      <w:r w:rsidRPr="00F42F80">
        <w:rPr>
          <w:rFonts w:ascii="Lustria" w:hAnsi="Lustria"/>
          <w:b w:val="0"/>
          <w:bCs w:val="0"/>
          <w:color w:val="000000" w:themeColor="text1"/>
          <w:sz w:val="22"/>
          <w:szCs w:val="22"/>
          <w:lang w:val="en-US"/>
        </w:rPr>
        <w:fldChar w:fldCharType="begin" w:fldLock="1"/>
      </w:r>
      <w:r w:rsidRPr="00F42F80">
        <w:rPr>
          <w:rFonts w:ascii="Lustria" w:hAnsi="Lustria"/>
          <w:b w:val="0"/>
          <w:bCs w:val="0"/>
          <w:color w:val="000000" w:themeColor="text1"/>
          <w:sz w:val="22"/>
          <w:szCs w:val="22"/>
          <w:lang w:val="en-US"/>
        </w:rPr>
        <w:instrText>ADDIN CSL_CITATION {"citationItems":[{"id":"ITEM-1","itemData":{"author":[{"dropping-particle":"","family":"Rindskopf","given":"David","non-dropping-particle":"","parse-names":false,"suffix":""},{"dropping-particle":"","family":"Rose","given":"Tedd","non-dropping-particle":"","parse-names":false,"suffix":""}],"container-title":"Multivariate behavioral research","id":"ITEM-1","issue":"1","issued":{"date-parts":[["1988"]]},"page":"51-67","publisher":"Taylor &amp; Francis","title":"Some theory and applications of confirmatory second-order factor analysis","type":"article-journal","volume":"23"},"uris":["http://www.mendeley.com/documents/?uuid=7706a9f0-b85f-42fc-b848-12ffb9115e4c"]}],"mendeley":{"formattedCitation":"(Rindskopf &amp; Rose, 1988)","plainTextFormattedCitation":"(Rindskopf &amp; Rose, 1988)","previouslyFormattedCitation":"(Rindskopf &amp; Rose, 1988)"},"properties":{"noteIndex":0},"schema":"https://github.com/citation-style-language/schema/raw/master/csl-citation.json"}</w:instrText>
      </w:r>
      <w:r w:rsidRPr="00F42F80">
        <w:rPr>
          <w:rFonts w:ascii="Lustria" w:hAnsi="Lustria"/>
          <w:b w:val="0"/>
          <w:bCs w:val="0"/>
          <w:color w:val="000000" w:themeColor="text1"/>
          <w:sz w:val="22"/>
          <w:szCs w:val="22"/>
          <w:lang w:val="en-US"/>
        </w:rPr>
        <w:fldChar w:fldCharType="separate"/>
      </w:r>
      <w:r w:rsidRPr="00F42F80">
        <w:rPr>
          <w:rFonts w:ascii="Lustria" w:hAnsi="Lustria"/>
          <w:b w:val="0"/>
          <w:bCs w:val="0"/>
          <w:noProof/>
          <w:color w:val="000000" w:themeColor="text1"/>
          <w:sz w:val="22"/>
          <w:szCs w:val="22"/>
          <w:lang w:val="en-US"/>
        </w:rPr>
        <w:t>(Rindskopf &amp; Rose, 1988)</w:t>
      </w:r>
      <w:r w:rsidRPr="00F42F80">
        <w:rPr>
          <w:rFonts w:ascii="Lustria" w:hAnsi="Lustria"/>
          <w:b w:val="0"/>
          <w:bCs w:val="0"/>
          <w:color w:val="000000" w:themeColor="text1"/>
          <w:sz w:val="22"/>
          <w:szCs w:val="22"/>
          <w:lang w:val="en-US"/>
        </w:rPr>
        <w:fldChar w:fldCharType="end"/>
      </w:r>
      <w:r w:rsidRPr="00F42F80">
        <w:rPr>
          <w:rFonts w:ascii="Lustria" w:hAnsi="Lustria"/>
          <w:b w:val="0"/>
          <w:bCs w:val="0"/>
          <w:color w:val="000000" w:themeColor="text1"/>
          <w:sz w:val="22"/>
          <w:szCs w:val="22"/>
        </w:rPr>
        <w:t xml:space="preserve">. The factor analysis used was Confirmatory Factor Analysis (CFA) </w:t>
      </w:r>
      <w:r w:rsidRPr="00F42F80">
        <w:rPr>
          <w:rFonts w:ascii="Lustria" w:hAnsi="Lustria"/>
          <w:b w:val="0"/>
          <w:bCs w:val="0"/>
          <w:color w:val="000000" w:themeColor="text1"/>
          <w:sz w:val="22"/>
          <w:szCs w:val="22"/>
        </w:rPr>
        <w:fldChar w:fldCharType="begin" w:fldLock="1"/>
      </w:r>
      <w:r w:rsidRPr="00F42F80">
        <w:rPr>
          <w:rFonts w:ascii="Lustria" w:hAnsi="Lustria"/>
          <w:b w:val="0"/>
          <w:bCs w:val="0"/>
          <w:color w:val="000000" w:themeColor="text1"/>
          <w:sz w:val="22"/>
          <w:szCs w:val="22"/>
        </w:rPr>
        <w:instrText>ADDIN CSL_CITATION {"citationItems":[{"id":"ITEM-1","itemData":{"author":[{"dropping-particle":"","family":"Hair","given":"J F","non-dropping-particle":"","parse-names":false,"suffix":""},{"dropping-particle":"","family":"Black","given":"W C","non-dropping-particle":"","parse-names":false,"suffix":""},{"dropping-particle":"","family":"Babin","given":"B J","non-dropping-particle":"","parse-names":false,"suffix":""},{"dropping-particle":"","family":"Anderson","given":"R E","non-dropping-particle":"","parse-names":false,"suffix":""}],"id":"ITEM-1","issued":{"date-parts":[["2009"]]},"publisher":"JOUR","title":"Multivariate Data Analysis 7th Edition Pearson Prentice Hall","type":"article"},"uris":["http://www.mendeley.com/documents/?uuid=fbd24a9e-1d36-4780-b259-4e77bcf784f4"]},{"id":"ITEM-2","itemData":{"author":[{"dropping-particle":"","family":"Rindskopf","given":"David","non-dropping-particle":"","parse-names":false,"suffix":""},{"dropping-particle":"","family":"Rose","given":"Tedd","non-dropping-particle":"","parse-names":false,"suffix":""}],"container-title":"Multivariate behavioral research","id":"ITEM-2","issue":"1","issued":{"date-parts":[["1988"]]},"page":"51-67","publisher":"Taylor &amp; Francis","title":"Some theory and applications of confirmatory second-order factor analysis","type":"article-journal","volume":"23"},"uris":["http://www.mendeley.com/documents/?uuid=7706a9f0-b85f-42fc-b848-12ffb9115e4c"]}],"mendeley":{"formattedCitation":"(Hair et al., 2009; Rindskopf &amp; Rose, 1988)","plainTextFormattedCitation":"(Hair et al., 2009; Rindskopf &amp; Rose, 1988)","previouslyFormattedCitation":"(Hair et al., 2009; Rindskopf &amp; Rose, 1988)"},"properties":{"noteIndex":0},"schema":"https://github.com/citation-style-language/schema/raw/master/csl-citation.json"}</w:instrText>
      </w:r>
      <w:r w:rsidRPr="00F42F80">
        <w:rPr>
          <w:rFonts w:ascii="Lustria" w:hAnsi="Lustria"/>
          <w:b w:val="0"/>
          <w:bCs w:val="0"/>
          <w:color w:val="000000" w:themeColor="text1"/>
          <w:sz w:val="22"/>
          <w:szCs w:val="22"/>
        </w:rPr>
        <w:fldChar w:fldCharType="separate"/>
      </w:r>
      <w:r w:rsidRPr="00F42F80">
        <w:rPr>
          <w:rFonts w:ascii="Lustria" w:hAnsi="Lustria"/>
          <w:b w:val="0"/>
          <w:bCs w:val="0"/>
          <w:noProof/>
          <w:color w:val="000000" w:themeColor="text1"/>
          <w:sz w:val="22"/>
          <w:szCs w:val="22"/>
        </w:rPr>
        <w:t>(Hair et al., 2009; Rindskopf &amp; Rose, 1988)</w:t>
      </w:r>
      <w:r w:rsidRPr="00F42F80">
        <w:rPr>
          <w:rFonts w:ascii="Lustria" w:hAnsi="Lustria"/>
          <w:b w:val="0"/>
          <w:bCs w:val="0"/>
          <w:color w:val="000000" w:themeColor="text1"/>
          <w:sz w:val="22"/>
          <w:szCs w:val="22"/>
        </w:rPr>
        <w:fldChar w:fldCharType="end"/>
      </w:r>
      <w:r w:rsidRPr="00F42F80">
        <w:rPr>
          <w:rFonts w:ascii="Lustria" w:hAnsi="Lustria"/>
          <w:b w:val="0"/>
          <w:bCs w:val="0"/>
          <w:color w:val="000000" w:themeColor="text1"/>
          <w:sz w:val="22"/>
          <w:szCs w:val="22"/>
        </w:rPr>
        <w:t xml:space="preserve">. CFA was chosen because the constructs used had been built by previous </w:t>
      </w:r>
      <w:r w:rsidRPr="00F42F80">
        <w:rPr>
          <w:rFonts w:ascii="Lustria" w:hAnsi="Lustria"/>
          <w:b w:val="0"/>
          <w:bCs w:val="0"/>
          <w:color w:val="000000" w:themeColor="text1"/>
          <w:sz w:val="22"/>
          <w:szCs w:val="22"/>
        </w:rPr>
        <w:t xml:space="preserve">researchers </w:t>
      </w:r>
      <w:r w:rsidRPr="00F42F80">
        <w:rPr>
          <w:rFonts w:ascii="Lustria" w:hAnsi="Lustria"/>
          <w:b w:val="0"/>
          <w:bCs w:val="0"/>
          <w:color w:val="000000" w:themeColor="text1"/>
          <w:sz w:val="22"/>
          <w:szCs w:val="22"/>
        </w:rPr>
        <w:fldChar w:fldCharType="begin" w:fldLock="1"/>
      </w:r>
      <w:r w:rsidRPr="00F42F80">
        <w:rPr>
          <w:rFonts w:ascii="Lustria" w:hAnsi="Lustria"/>
          <w:b w:val="0"/>
          <w:bCs w:val="0"/>
          <w:color w:val="000000" w:themeColor="text1"/>
          <w:sz w:val="22"/>
          <w:szCs w:val="22"/>
        </w:rPr>
        <w:instrText>ADDIN CSL_CITATION {"citationItems":[{"id":"ITEM-1","itemData":{"author":[{"dropping-particle":"","family":"Nguyen","given":"ThuyUyen H","non-dropping-particle":"","parse-names":false,"suffix":""},{"dropping-particle":"","family":"Charity","given":"Ian","non-dropping-particle":"","parse-names":false,"suffix":""},{"dropping-particle":"","family":"Robson","given":"Andrew","non-dropping-particle":"","parse-names":false,"suffix":""}],"container-title":"Studies in Higher Education","id":"ITEM-1","issue":"4","issued":{"date-parts":[["2016"]]},"page":"734-755","publisher":"Taylor &amp; Francis","title":"Students' perceptions of computer-based learning environments, their attitude towards business statistics, and their academic achievement: implications from a UK university","type":"article-journal","volume":"41"},"uris":["http://www.mendeley.com/documents/?uuid=c7ebb98c-7b7b-49b8-8159-0a28f1576373"]}],"mendeley":{"formattedCitation":"(Nguyen et al., 2016)","plainTextFormattedCitation":"(Nguyen et al., 2016)","previouslyFormattedCitation":"(Nguyen et al., 2016)"},"properties":{"noteIndex":0},"schema":"https://github.com/citation-style-language/schema/raw/master/csl-citation.json"}</w:instrText>
      </w:r>
      <w:r w:rsidRPr="00F42F80">
        <w:rPr>
          <w:rFonts w:ascii="Lustria" w:hAnsi="Lustria"/>
          <w:b w:val="0"/>
          <w:bCs w:val="0"/>
          <w:color w:val="000000" w:themeColor="text1"/>
          <w:sz w:val="22"/>
          <w:szCs w:val="22"/>
        </w:rPr>
        <w:fldChar w:fldCharType="separate"/>
      </w:r>
      <w:r w:rsidRPr="00F42F80">
        <w:rPr>
          <w:rFonts w:ascii="Lustria" w:hAnsi="Lustria"/>
          <w:b w:val="0"/>
          <w:bCs w:val="0"/>
          <w:noProof/>
          <w:color w:val="000000" w:themeColor="text1"/>
          <w:sz w:val="22"/>
          <w:szCs w:val="22"/>
        </w:rPr>
        <w:t>(Nguyen et al., 2016)</w:t>
      </w:r>
      <w:r w:rsidRPr="00F42F80">
        <w:rPr>
          <w:rFonts w:ascii="Lustria" w:hAnsi="Lustria"/>
          <w:b w:val="0"/>
          <w:bCs w:val="0"/>
          <w:color w:val="000000" w:themeColor="text1"/>
          <w:sz w:val="22"/>
          <w:szCs w:val="22"/>
        </w:rPr>
        <w:fldChar w:fldCharType="end"/>
      </w:r>
      <w:r w:rsidRPr="00F42F80">
        <w:rPr>
          <w:rFonts w:ascii="Lustria" w:hAnsi="Lustria"/>
          <w:b w:val="0"/>
          <w:bCs w:val="0"/>
          <w:color w:val="000000" w:themeColor="text1"/>
          <w:sz w:val="22"/>
          <w:szCs w:val="22"/>
        </w:rPr>
        <w:t>, while this study further confirmed its suitability with the situation at the Faculty of Economics, State University of Medan.</w:t>
      </w:r>
    </w:p>
    <w:p w14:paraId="7DC87DD8" w14:textId="77777777" w:rsidR="00752D76" w:rsidRPr="00F42F80" w:rsidRDefault="00752D76" w:rsidP="00752D76">
      <w:pPr>
        <w:pStyle w:val="Heading1"/>
        <w:widowControl w:val="0"/>
        <w:autoSpaceDE w:val="0"/>
        <w:autoSpaceDN w:val="0"/>
        <w:spacing w:line="240" w:lineRule="auto"/>
        <w:ind w:right="6" w:firstLine="567"/>
        <w:jc w:val="both"/>
        <w:rPr>
          <w:rFonts w:ascii="Lustria" w:hAnsi="Lustria"/>
          <w:b w:val="0"/>
          <w:bCs w:val="0"/>
          <w:color w:val="000000" w:themeColor="text1"/>
          <w:sz w:val="22"/>
          <w:szCs w:val="22"/>
        </w:rPr>
      </w:pPr>
      <w:r w:rsidRPr="00F42F80">
        <w:rPr>
          <w:rFonts w:ascii="Lustria" w:hAnsi="Lustria"/>
          <w:b w:val="0"/>
          <w:bCs w:val="0"/>
          <w:color w:val="000000" w:themeColor="text1"/>
          <w:sz w:val="22"/>
          <w:szCs w:val="22"/>
        </w:rPr>
        <w:t xml:space="preserve">The results of the second-order factor analysis can be seen in Figure 1. In the second-order factor analysis, each dimension's coefficient is treated as a loading factor </w:t>
      </w:r>
      <w:r w:rsidRPr="00F42F80">
        <w:rPr>
          <w:rFonts w:ascii="Lustria" w:hAnsi="Lustria"/>
          <w:b w:val="0"/>
          <w:bCs w:val="0"/>
          <w:color w:val="000000" w:themeColor="text1"/>
          <w:sz w:val="22"/>
          <w:szCs w:val="22"/>
        </w:rPr>
        <w:fldChar w:fldCharType="begin" w:fldLock="1"/>
      </w:r>
      <w:r w:rsidRPr="00F42F80">
        <w:rPr>
          <w:rFonts w:ascii="Lustria" w:hAnsi="Lustria"/>
          <w:b w:val="0"/>
          <w:bCs w:val="0"/>
          <w:color w:val="000000" w:themeColor="text1"/>
          <w:sz w:val="22"/>
          <w:szCs w:val="22"/>
        </w:rPr>
        <w:instrText>ADDIN CSL_CITATION {"citationItems":[{"id":"ITEM-1","itemData":{"author":[{"dropping-particle":"","family":"Rindskopf","given":"David","non-dropping-particle":"","parse-names":false,"suffix":""},{"dropping-particle":"","family":"Rose","given":"Tedd","non-dropping-particle":"","parse-names":false,"suffix":""}],"container-title":"Multivariate behavioral research","id":"ITEM-1","issue":"1","issued":{"date-parts":[["1988"]]},"page":"51-67","publisher":"Taylor &amp; Francis","title":"Some theory and applications of confirmatory second-order factor analysis","type":"article-journal","volume":"23"},"uris":["http://www.mendeley.com/documents/?uuid=7706a9f0-b85f-42fc-b848-12ffb9115e4c"]}],"mendeley":{"formattedCitation":"(Rindskopf &amp; Rose, 1988)","plainTextFormattedCitation":"(Rindskopf &amp; Rose, 1988)","previouslyFormattedCitation":"(Rindskopf &amp; Rose, 1988)"},"properties":{"noteIndex":0},"schema":"https://github.com/citation-style-language/schema/raw/master/csl-citation.json"}</w:instrText>
      </w:r>
      <w:r w:rsidRPr="00F42F80">
        <w:rPr>
          <w:rFonts w:ascii="Lustria" w:hAnsi="Lustria"/>
          <w:b w:val="0"/>
          <w:bCs w:val="0"/>
          <w:color w:val="000000" w:themeColor="text1"/>
          <w:sz w:val="22"/>
          <w:szCs w:val="22"/>
        </w:rPr>
        <w:fldChar w:fldCharType="separate"/>
      </w:r>
      <w:r w:rsidRPr="00F42F80">
        <w:rPr>
          <w:rFonts w:ascii="Lustria" w:hAnsi="Lustria"/>
          <w:b w:val="0"/>
          <w:bCs w:val="0"/>
          <w:noProof/>
          <w:color w:val="000000" w:themeColor="text1"/>
          <w:sz w:val="22"/>
          <w:szCs w:val="22"/>
        </w:rPr>
        <w:t>(Rindskopf &amp; Rose, 1988)</w:t>
      </w:r>
      <w:r w:rsidRPr="00F42F80">
        <w:rPr>
          <w:rFonts w:ascii="Lustria" w:hAnsi="Lustria"/>
          <w:b w:val="0"/>
          <w:bCs w:val="0"/>
          <w:color w:val="000000" w:themeColor="text1"/>
          <w:sz w:val="22"/>
          <w:szCs w:val="22"/>
        </w:rPr>
        <w:fldChar w:fldCharType="end"/>
      </w:r>
      <w:r w:rsidRPr="00F42F80">
        <w:rPr>
          <w:rFonts w:ascii="Lustria" w:hAnsi="Lustria"/>
          <w:b w:val="0"/>
          <w:bCs w:val="0"/>
          <w:color w:val="000000" w:themeColor="text1"/>
          <w:sz w:val="22"/>
          <w:szCs w:val="22"/>
        </w:rPr>
        <w:t xml:space="preserve">. Figure 1 shows that the dimensional coefficient is both perceived usefulness, perceived ease of use, and perceived enjoyment have a loading value of&gt; 0.8. </w:t>
      </w:r>
    </w:p>
    <w:p w14:paraId="414B9798" w14:textId="77777777" w:rsidR="00752D76" w:rsidRPr="00F42F80" w:rsidRDefault="00752D76" w:rsidP="00752D76">
      <w:pPr>
        <w:pStyle w:val="Heading1"/>
        <w:widowControl w:val="0"/>
        <w:autoSpaceDE w:val="0"/>
        <w:autoSpaceDN w:val="0"/>
        <w:spacing w:line="240" w:lineRule="auto"/>
        <w:ind w:right="6" w:firstLine="567"/>
        <w:jc w:val="both"/>
        <w:rPr>
          <w:rFonts w:ascii="Lustria" w:hAnsi="Lustria"/>
          <w:b w:val="0"/>
          <w:bCs w:val="0"/>
          <w:color w:val="000000" w:themeColor="text1"/>
          <w:sz w:val="22"/>
          <w:szCs w:val="22"/>
        </w:rPr>
      </w:pPr>
    </w:p>
    <w:p w14:paraId="79DE1E19" w14:textId="77F4DF30" w:rsidR="00752D76" w:rsidRPr="00F42F80" w:rsidRDefault="00752D76" w:rsidP="00752D76">
      <w:pPr>
        <w:pStyle w:val="Heading1"/>
        <w:widowControl w:val="0"/>
        <w:autoSpaceDE w:val="0"/>
        <w:autoSpaceDN w:val="0"/>
        <w:spacing w:line="240" w:lineRule="auto"/>
        <w:ind w:right="6" w:firstLine="567"/>
        <w:jc w:val="both"/>
        <w:rPr>
          <w:rFonts w:ascii="Lustria" w:hAnsi="Lustria"/>
          <w:b w:val="0"/>
          <w:bCs w:val="0"/>
          <w:color w:val="000000" w:themeColor="text1"/>
          <w:sz w:val="22"/>
          <w:szCs w:val="22"/>
        </w:rPr>
      </w:pPr>
    </w:p>
    <w:p w14:paraId="76837C56" w14:textId="6A328FEF" w:rsidR="00752D76" w:rsidRPr="00F42F80" w:rsidRDefault="006B308A" w:rsidP="00752D76">
      <w:pPr>
        <w:pStyle w:val="Heading1"/>
        <w:widowControl w:val="0"/>
        <w:autoSpaceDE w:val="0"/>
        <w:autoSpaceDN w:val="0"/>
        <w:spacing w:line="240" w:lineRule="auto"/>
        <w:ind w:right="6" w:firstLine="567"/>
        <w:jc w:val="both"/>
        <w:rPr>
          <w:rFonts w:ascii="Lustria" w:hAnsi="Lustria"/>
          <w:b w:val="0"/>
          <w:bCs w:val="0"/>
          <w:color w:val="000000" w:themeColor="text1"/>
          <w:sz w:val="22"/>
          <w:szCs w:val="22"/>
        </w:rPr>
      </w:pPr>
      <w:r w:rsidRPr="00F42F80">
        <w:rPr>
          <w:rFonts w:ascii="Lustria" w:hAnsi="Lustria"/>
          <w:noProof/>
          <w:color w:val="000000" w:themeColor="text1"/>
          <w:sz w:val="22"/>
          <w:szCs w:val="22"/>
        </w:rPr>
        <w:drawing>
          <wp:anchor distT="0" distB="0" distL="114300" distR="114300" simplePos="0" relativeHeight="251672576" behindDoc="0" locked="0" layoutInCell="1" allowOverlap="1" wp14:anchorId="5D3B7A9E" wp14:editId="5D4C20BD">
            <wp:simplePos x="0" y="0"/>
            <wp:positionH relativeFrom="column">
              <wp:posOffset>0</wp:posOffset>
            </wp:positionH>
            <wp:positionV relativeFrom="paragraph">
              <wp:posOffset>2073910</wp:posOffset>
            </wp:positionV>
            <wp:extent cx="2537147" cy="3026335"/>
            <wp:effectExtent l="0" t="0" r="0" b="317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rcRect l="40769" t="22628"/>
                    <a:stretch/>
                  </pic:blipFill>
                  <pic:spPr bwMode="auto">
                    <a:xfrm>
                      <a:off x="0" y="0"/>
                      <a:ext cx="2537147" cy="3026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9301AE" w14:textId="0AAEAD14" w:rsidR="00752D76" w:rsidRPr="00F42F80" w:rsidRDefault="00752D76" w:rsidP="00752D76">
      <w:pPr>
        <w:pStyle w:val="Heading1"/>
        <w:widowControl w:val="0"/>
        <w:autoSpaceDE w:val="0"/>
        <w:autoSpaceDN w:val="0"/>
        <w:spacing w:line="240" w:lineRule="auto"/>
        <w:ind w:right="6" w:firstLine="567"/>
        <w:jc w:val="both"/>
        <w:rPr>
          <w:rFonts w:ascii="Lustria" w:hAnsi="Lustria"/>
          <w:b w:val="0"/>
          <w:bCs w:val="0"/>
          <w:color w:val="000000" w:themeColor="text1"/>
          <w:sz w:val="22"/>
          <w:szCs w:val="22"/>
        </w:rPr>
      </w:pPr>
    </w:p>
    <w:p w14:paraId="3EEB3AC2" w14:textId="596C6324" w:rsidR="006B308A" w:rsidRPr="00F42F80" w:rsidRDefault="006B308A" w:rsidP="006B308A">
      <w:pPr>
        <w:pStyle w:val="Heading1"/>
        <w:spacing w:line="240" w:lineRule="auto"/>
        <w:ind w:right="6" w:firstLine="709"/>
        <w:jc w:val="both"/>
        <w:rPr>
          <w:rFonts w:ascii="Lustria" w:hAnsi="Lustria"/>
          <w:color w:val="000000" w:themeColor="text1"/>
          <w:sz w:val="22"/>
          <w:szCs w:val="22"/>
        </w:rPr>
      </w:pPr>
    </w:p>
    <w:p w14:paraId="613A0402" w14:textId="77777777" w:rsidR="006B308A" w:rsidRPr="00F42F80" w:rsidRDefault="006B308A" w:rsidP="006B308A">
      <w:pPr>
        <w:pStyle w:val="Heading1"/>
        <w:spacing w:line="240" w:lineRule="auto"/>
        <w:ind w:right="6"/>
        <w:rPr>
          <w:rFonts w:ascii="Lustria" w:hAnsi="Lustria"/>
          <w:color w:val="000000" w:themeColor="text1"/>
          <w:sz w:val="22"/>
          <w:szCs w:val="22"/>
        </w:rPr>
      </w:pPr>
    </w:p>
    <w:p w14:paraId="09B8B146" w14:textId="77777777" w:rsidR="006B308A" w:rsidRPr="00F42F80" w:rsidRDefault="006B308A" w:rsidP="006B308A">
      <w:pPr>
        <w:pStyle w:val="Heading1"/>
        <w:spacing w:line="240" w:lineRule="auto"/>
        <w:ind w:right="4"/>
        <w:rPr>
          <w:rFonts w:ascii="Lustria" w:hAnsi="Lustria"/>
          <w:color w:val="000000" w:themeColor="text1"/>
          <w:sz w:val="22"/>
          <w:szCs w:val="22"/>
        </w:rPr>
      </w:pPr>
    </w:p>
    <w:p w14:paraId="0D75772A" w14:textId="77777777" w:rsidR="006B308A" w:rsidRPr="00F42F80" w:rsidRDefault="006B308A" w:rsidP="006B308A">
      <w:pPr>
        <w:pStyle w:val="Heading1"/>
        <w:spacing w:line="240" w:lineRule="auto"/>
        <w:ind w:right="4"/>
        <w:rPr>
          <w:rFonts w:ascii="Lustria" w:hAnsi="Lustria"/>
          <w:color w:val="000000" w:themeColor="text1"/>
          <w:sz w:val="22"/>
          <w:szCs w:val="22"/>
        </w:rPr>
      </w:pPr>
    </w:p>
    <w:p w14:paraId="6E694A97" w14:textId="77777777" w:rsidR="006B308A" w:rsidRPr="00F42F80" w:rsidRDefault="006B308A" w:rsidP="006B308A">
      <w:pPr>
        <w:pStyle w:val="Heading1"/>
        <w:spacing w:line="240" w:lineRule="auto"/>
        <w:ind w:right="4"/>
        <w:rPr>
          <w:rFonts w:ascii="Lustria" w:hAnsi="Lustria"/>
          <w:color w:val="000000" w:themeColor="text1"/>
          <w:sz w:val="22"/>
          <w:szCs w:val="22"/>
        </w:rPr>
      </w:pPr>
    </w:p>
    <w:p w14:paraId="585F75DF" w14:textId="77777777" w:rsidR="006B308A" w:rsidRPr="00F42F80" w:rsidRDefault="006B308A" w:rsidP="006B308A">
      <w:pPr>
        <w:pStyle w:val="Heading1"/>
        <w:spacing w:line="240" w:lineRule="auto"/>
        <w:ind w:right="4"/>
        <w:rPr>
          <w:rFonts w:ascii="Lustria" w:hAnsi="Lustria"/>
          <w:color w:val="000000" w:themeColor="text1"/>
          <w:sz w:val="22"/>
          <w:szCs w:val="22"/>
        </w:rPr>
      </w:pPr>
    </w:p>
    <w:p w14:paraId="6139BEF5" w14:textId="77777777" w:rsidR="006B308A" w:rsidRPr="00F42F80" w:rsidRDefault="006B308A" w:rsidP="006B308A">
      <w:pPr>
        <w:pStyle w:val="Heading1"/>
        <w:spacing w:line="240" w:lineRule="auto"/>
        <w:ind w:right="4"/>
        <w:rPr>
          <w:rFonts w:ascii="Lustria" w:hAnsi="Lustria"/>
          <w:color w:val="000000" w:themeColor="text1"/>
          <w:sz w:val="22"/>
          <w:szCs w:val="22"/>
        </w:rPr>
      </w:pPr>
    </w:p>
    <w:p w14:paraId="7F5F99C3" w14:textId="77777777" w:rsidR="006B308A" w:rsidRPr="00F42F80" w:rsidRDefault="006B308A" w:rsidP="006B308A">
      <w:pPr>
        <w:pStyle w:val="Heading1"/>
        <w:spacing w:line="240" w:lineRule="auto"/>
        <w:ind w:right="4"/>
        <w:rPr>
          <w:rFonts w:ascii="Lustria" w:hAnsi="Lustria"/>
          <w:color w:val="000000" w:themeColor="text1"/>
          <w:sz w:val="22"/>
          <w:szCs w:val="22"/>
        </w:rPr>
      </w:pPr>
    </w:p>
    <w:p w14:paraId="119AC91A" w14:textId="77777777" w:rsidR="006B308A" w:rsidRPr="00F42F80" w:rsidRDefault="006B308A" w:rsidP="006B308A">
      <w:pPr>
        <w:pStyle w:val="Heading1"/>
        <w:spacing w:line="240" w:lineRule="auto"/>
        <w:ind w:right="4"/>
        <w:rPr>
          <w:rFonts w:ascii="Lustria" w:hAnsi="Lustria"/>
          <w:color w:val="000000" w:themeColor="text1"/>
          <w:sz w:val="22"/>
          <w:szCs w:val="22"/>
        </w:rPr>
      </w:pPr>
    </w:p>
    <w:p w14:paraId="7A219646" w14:textId="77777777" w:rsidR="006B308A" w:rsidRPr="00F42F80" w:rsidRDefault="006B308A" w:rsidP="006B308A">
      <w:pPr>
        <w:pStyle w:val="Heading1"/>
        <w:spacing w:line="240" w:lineRule="auto"/>
        <w:ind w:right="4"/>
        <w:rPr>
          <w:rFonts w:ascii="Lustria" w:hAnsi="Lustria"/>
          <w:color w:val="000000" w:themeColor="text1"/>
          <w:sz w:val="22"/>
          <w:szCs w:val="22"/>
        </w:rPr>
      </w:pPr>
    </w:p>
    <w:p w14:paraId="758F0598" w14:textId="77777777" w:rsidR="006B308A" w:rsidRPr="00F42F80" w:rsidRDefault="006B308A" w:rsidP="006B308A">
      <w:pPr>
        <w:pStyle w:val="Heading1"/>
        <w:spacing w:line="240" w:lineRule="auto"/>
        <w:ind w:right="4"/>
        <w:rPr>
          <w:rFonts w:ascii="Lustria" w:hAnsi="Lustria"/>
          <w:color w:val="000000" w:themeColor="text1"/>
          <w:sz w:val="22"/>
          <w:szCs w:val="22"/>
        </w:rPr>
      </w:pPr>
    </w:p>
    <w:p w14:paraId="0AD69654" w14:textId="77777777" w:rsidR="006B308A" w:rsidRPr="00F42F80" w:rsidRDefault="006B308A" w:rsidP="006B308A">
      <w:pPr>
        <w:pStyle w:val="Heading1"/>
        <w:spacing w:line="240" w:lineRule="auto"/>
        <w:ind w:left="890" w:right="6"/>
        <w:rPr>
          <w:rFonts w:ascii="Lustria" w:hAnsi="Lustria"/>
          <w:b w:val="0"/>
          <w:bCs w:val="0"/>
          <w:color w:val="000000" w:themeColor="text1"/>
          <w:sz w:val="22"/>
          <w:szCs w:val="22"/>
          <w:lang w:val="en-US"/>
        </w:rPr>
      </w:pPr>
    </w:p>
    <w:p w14:paraId="6551BC9A" w14:textId="77777777" w:rsidR="006B308A" w:rsidRPr="00F42F80" w:rsidRDefault="006B308A" w:rsidP="006B308A">
      <w:pPr>
        <w:rPr>
          <w:rFonts w:ascii="Lustria" w:hAnsi="Lustria"/>
          <w:lang w:val="en-US"/>
        </w:rPr>
      </w:pPr>
    </w:p>
    <w:p w14:paraId="0BBD409B" w14:textId="77777777" w:rsidR="006B308A" w:rsidRPr="00F42F80" w:rsidRDefault="006B308A" w:rsidP="006B308A">
      <w:pPr>
        <w:rPr>
          <w:rFonts w:ascii="Lustria" w:hAnsi="Lustria"/>
          <w:lang w:val="en-US"/>
        </w:rPr>
      </w:pPr>
    </w:p>
    <w:p w14:paraId="766439EB" w14:textId="77777777" w:rsidR="006B308A" w:rsidRPr="00F42F80" w:rsidRDefault="006B308A" w:rsidP="006B308A">
      <w:pPr>
        <w:rPr>
          <w:rFonts w:ascii="Lustria" w:hAnsi="Lustria"/>
          <w:lang w:val="en-US"/>
        </w:rPr>
      </w:pPr>
    </w:p>
    <w:p w14:paraId="14713EA6" w14:textId="77777777" w:rsidR="006B308A" w:rsidRPr="00F42F80" w:rsidRDefault="006B308A" w:rsidP="006B308A">
      <w:pPr>
        <w:pStyle w:val="Heading1"/>
        <w:spacing w:line="240" w:lineRule="auto"/>
        <w:ind w:right="6"/>
        <w:jc w:val="left"/>
        <w:rPr>
          <w:rFonts w:ascii="Lustria" w:hAnsi="Lustria"/>
          <w:color w:val="000000" w:themeColor="text1"/>
          <w:sz w:val="22"/>
          <w:szCs w:val="22"/>
          <w:lang w:val="en-US"/>
        </w:rPr>
      </w:pPr>
    </w:p>
    <w:p w14:paraId="3DF4B872" w14:textId="3BF5E7AF" w:rsidR="006B308A" w:rsidRPr="00F42F80" w:rsidRDefault="006B308A" w:rsidP="006B308A">
      <w:pPr>
        <w:pStyle w:val="Heading1"/>
        <w:spacing w:line="240" w:lineRule="auto"/>
        <w:ind w:right="6"/>
        <w:jc w:val="left"/>
        <w:rPr>
          <w:rFonts w:ascii="Lustria" w:hAnsi="Lustria"/>
          <w:b w:val="0"/>
          <w:bCs w:val="0"/>
          <w:color w:val="000000" w:themeColor="text1"/>
          <w:sz w:val="22"/>
          <w:szCs w:val="22"/>
          <w:lang w:val="en-US"/>
        </w:rPr>
      </w:pPr>
      <w:r w:rsidRPr="00F42F80">
        <w:rPr>
          <w:rFonts w:ascii="Lustria" w:hAnsi="Lustria"/>
          <w:color w:val="000000" w:themeColor="text1"/>
          <w:sz w:val="22"/>
          <w:szCs w:val="22"/>
          <w:lang w:val="en-US"/>
        </w:rPr>
        <w:t>Figure 1.</w:t>
      </w:r>
      <w:r w:rsidRPr="00F42F80">
        <w:rPr>
          <w:rFonts w:ascii="Lustria" w:hAnsi="Lustria"/>
          <w:b w:val="0"/>
          <w:bCs w:val="0"/>
          <w:color w:val="000000" w:themeColor="text1"/>
          <w:sz w:val="22"/>
          <w:szCs w:val="22"/>
          <w:lang w:val="en-US"/>
        </w:rPr>
        <w:t xml:space="preserve"> Second-Order Factor Analysis for Attitude Toward CBS</w:t>
      </w:r>
    </w:p>
    <w:p w14:paraId="1D1CB4FD" w14:textId="71580EA5" w:rsidR="006B308A" w:rsidRPr="00F42F80" w:rsidRDefault="006B308A" w:rsidP="006B308A">
      <w:pPr>
        <w:rPr>
          <w:rFonts w:ascii="Lustria" w:hAnsi="Lustria"/>
          <w:lang w:val="en-US"/>
        </w:rPr>
      </w:pPr>
    </w:p>
    <w:p w14:paraId="40F1BCED" w14:textId="5469A00C" w:rsidR="00752D76" w:rsidRPr="00F42F80" w:rsidRDefault="00752D76" w:rsidP="00752D76">
      <w:pPr>
        <w:pStyle w:val="Heading1"/>
        <w:widowControl w:val="0"/>
        <w:autoSpaceDE w:val="0"/>
        <w:autoSpaceDN w:val="0"/>
        <w:spacing w:line="240" w:lineRule="auto"/>
        <w:ind w:right="6" w:firstLine="567"/>
        <w:jc w:val="both"/>
        <w:rPr>
          <w:rFonts w:ascii="Lustria" w:hAnsi="Lustria"/>
          <w:b w:val="0"/>
          <w:bCs w:val="0"/>
          <w:color w:val="000000" w:themeColor="text1"/>
          <w:sz w:val="22"/>
          <w:szCs w:val="22"/>
        </w:rPr>
      </w:pPr>
      <w:r w:rsidRPr="00F42F80">
        <w:rPr>
          <w:rFonts w:ascii="Lustria" w:hAnsi="Lustria"/>
          <w:b w:val="0"/>
          <w:bCs w:val="0"/>
          <w:color w:val="000000" w:themeColor="text1"/>
          <w:sz w:val="22"/>
          <w:szCs w:val="22"/>
        </w:rPr>
        <w:t xml:space="preserve">Thus, the three dimensions have good validity to form the construct of Attitude Toward Computer-Based Statistics. </w:t>
      </w:r>
      <w:r w:rsidRPr="00F42F80">
        <w:rPr>
          <w:rFonts w:ascii="Lustria" w:hAnsi="Lustria"/>
          <w:b w:val="0"/>
          <w:bCs w:val="0"/>
          <w:color w:val="000000" w:themeColor="text1"/>
          <w:sz w:val="22"/>
          <w:szCs w:val="22"/>
        </w:rPr>
        <w:lastRenderedPageBreak/>
        <w:t>Furthermore, in terms of coefficient weights, the Perceived Ease of Use dimension has the highest loading number, followed by the dimensions of Perceived Usefulness and Perceived Enjoyment. This figure is not far away. However, this figure can still be given attention to what aspects become a priority in optimizing the use of Computer-Based Statistics.</w:t>
      </w:r>
    </w:p>
    <w:p w14:paraId="7B80EC67" w14:textId="29724106" w:rsidR="006B308A" w:rsidRPr="00F42F80" w:rsidRDefault="006B308A" w:rsidP="006B308A">
      <w:pPr>
        <w:pStyle w:val="Heading1"/>
        <w:spacing w:line="240" w:lineRule="auto"/>
        <w:ind w:right="6" w:firstLine="709"/>
        <w:jc w:val="both"/>
        <w:rPr>
          <w:rFonts w:ascii="Lustria" w:hAnsi="Lustria"/>
          <w:lang w:val="en-US"/>
        </w:rPr>
      </w:pPr>
    </w:p>
    <w:p w14:paraId="1E2307E2" w14:textId="77777777" w:rsidR="006B308A" w:rsidRPr="00F42F80" w:rsidRDefault="006B308A" w:rsidP="006B308A">
      <w:pPr>
        <w:pStyle w:val="Heading1"/>
        <w:spacing w:line="240" w:lineRule="auto"/>
        <w:ind w:right="6"/>
        <w:jc w:val="left"/>
        <w:rPr>
          <w:rFonts w:ascii="Lustria" w:hAnsi="Lustria"/>
          <w:b w:val="0"/>
          <w:bCs w:val="0"/>
          <w:sz w:val="22"/>
          <w:szCs w:val="22"/>
          <w:lang w:val="en-US"/>
        </w:rPr>
      </w:pPr>
      <w:r w:rsidRPr="00F42F80">
        <w:rPr>
          <w:rFonts w:ascii="Lustria" w:hAnsi="Lustria"/>
          <w:sz w:val="22"/>
          <w:szCs w:val="22"/>
          <w:lang w:val="en-US"/>
        </w:rPr>
        <w:t>Table 4.</w:t>
      </w:r>
      <w:r w:rsidRPr="00F42F80">
        <w:rPr>
          <w:rFonts w:ascii="Lustria" w:hAnsi="Lustria"/>
          <w:b w:val="0"/>
          <w:bCs w:val="0"/>
          <w:sz w:val="22"/>
          <w:szCs w:val="22"/>
          <w:lang w:val="en-US"/>
        </w:rPr>
        <w:t xml:space="preserve"> Result of Hypothesis Testing</w:t>
      </w:r>
    </w:p>
    <w:tbl>
      <w:tblPr>
        <w:tblpPr w:leftFromText="180" w:rightFromText="180" w:vertAnchor="text" w:tblpX="-567" w:tblpY="1"/>
        <w:tblOverlap w:val="never"/>
        <w:tblW w:w="9630" w:type="dxa"/>
        <w:tblLook w:val="04A0" w:firstRow="1" w:lastRow="0" w:firstColumn="1" w:lastColumn="0" w:noHBand="0" w:noVBand="1"/>
      </w:tblPr>
      <w:tblGrid>
        <w:gridCol w:w="572"/>
        <w:gridCol w:w="4422"/>
        <w:gridCol w:w="960"/>
        <w:gridCol w:w="960"/>
        <w:gridCol w:w="1056"/>
        <w:gridCol w:w="1660"/>
      </w:tblGrid>
      <w:tr w:rsidR="006B308A" w:rsidRPr="00F42F80" w14:paraId="115164F0" w14:textId="77777777" w:rsidTr="006B308A">
        <w:trPr>
          <w:trHeight w:val="288"/>
        </w:trPr>
        <w:tc>
          <w:tcPr>
            <w:tcW w:w="572" w:type="dxa"/>
            <w:tcBorders>
              <w:top w:val="single" w:sz="4" w:space="0" w:color="auto"/>
              <w:left w:val="nil"/>
              <w:bottom w:val="single" w:sz="4" w:space="0" w:color="auto"/>
              <w:right w:val="nil"/>
            </w:tcBorders>
            <w:shd w:val="clear" w:color="auto" w:fill="auto"/>
            <w:noWrap/>
            <w:vAlign w:val="center"/>
            <w:hideMark/>
          </w:tcPr>
          <w:p w14:paraId="40F21BD4" w14:textId="77777777" w:rsidR="006B308A" w:rsidRPr="00F42F80" w:rsidRDefault="006B308A" w:rsidP="006B308A">
            <w:pPr>
              <w:rPr>
                <w:rFonts w:ascii="Lustria" w:hAnsi="Lustria"/>
                <w:b/>
                <w:bCs/>
                <w:color w:val="000000"/>
                <w:sz w:val="22"/>
                <w:szCs w:val="22"/>
                <w:lang w:val="en-ID"/>
              </w:rPr>
            </w:pPr>
            <w:r w:rsidRPr="00F42F80">
              <w:rPr>
                <w:rFonts w:ascii="Lustria" w:hAnsi="Lustria"/>
                <w:b/>
                <w:bCs/>
                <w:color w:val="000000"/>
                <w:sz w:val="22"/>
                <w:szCs w:val="22"/>
                <w:lang w:val="en-ID"/>
              </w:rPr>
              <w:t>No.</w:t>
            </w:r>
          </w:p>
        </w:tc>
        <w:tc>
          <w:tcPr>
            <w:tcW w:w="4422" w:type="dxa"/>
            <w:tcBorders>
              <w:top w:val="single" w:sz="4" w:space="0" w:color="auto"/>
              <w:left w:val="nil"/>
              <w:bottom w:val="single" w:sz="4" w:space="0" w:color="auto"/>
              <w:right w:val="nil"/>
            </w:tcBorders>
            <w:shd w:val="clear" w:color="000000" w:fill="FFFFFF"/>
            <w:noWrap/>
            <w:vAlign w:val="center"/>
            <w:hideMark/>
          </w:tcPr>
          <w:p w14:paraId="23226CBC" w14:textId="77777777" w:rsidR="006B308A" w:rsidRPr="00F42F80" w:rsidRDefault="006B308A" w:rsidP="006B308A">
            <w:pPr>
              <w:jc w:val="center"/>
              <w:rPr>
                <w:rFonts w:ascii="Lustria" w:hAnsi="Lustria"/>
                <w:b/>
                <w:bCs/>
                <w:color w:val="000000"/>
                <w:sz w:val="22"/>
                <w:szCs w:val="22"/>
                <w:lang w:val="en-ID"/>
              </w:rPr>
            </w:pPr>
            <w:r w:rsidRPr="00F42F80">
              <w:rPr>
                <w:rFonts w:ascii="Lustria" w:hAnsi="Lustria"/>
                <w:b/>
                <w:bCs/>
                <w:color w:val="000000"/>
                <w:sz w:val="22"/>
                <w:szCs w:val="22"/>
                <w:lang w:val="en-ID"/>
              </w:rPr>
              <w:t>Path Coefficient</w:t>
            </w:r>
          </w:p>
        </w:tc>
        <w:tc>
          <w:tcPr>
            <w:tcW w:w="960" w:type="dxa"/>
            <w:tcBorders>
              <w:top w:val="single" w:sz="4" w:space="0" w:color="auto"/>
              <w:left w:val="nil"/>
              <w:bottom w:val="single" w:sz="4" w:space="0" w:color="auto"/>
              <w:right w:val="nil"/>
            </w:tcBorders>
            <w:shd w:val="clear" w:color="000000" w:fill="FFFFFF"/>
            <w:noWrap/>
            <w:vAlign w:val="center"/>
            <w:hideMark/>
          </w:tcPr>
          <w:p w14:paraId="7AB21E2B" w14:textId="77777777" w:rsidR="006B308A" w:rsidRPr="00F42F80" w:rsidRDefault="006B308A" w:rsidP="006B308A">
            <w:pPr>
              <w:jc w:val="center"/>
              <w:rPr>
                <w:rFonts w:ascii="Lustria" w:hAnsi="Lustria"/>
                <w:b/>
                <w:bCs/>
                <w:color w:val="000000"/>
                <w:sz w:val="22"/>
                <w:szCs w:val="22"/>
                <w:lang w:val="en-ID"/>
              </w:rPr>
            </w:pPr>
            <w:r w:rsidRPr="00F42F80">
              <w:rPr>
                <w:rFonts w:ascii="Lustria" w:hAnsi="Lustria"/>
                <w:b/>
                <w:bCs/>
                <w:color w:val="000000"/>
                <w:sz w:val="22"/>
                <w:szCs w:val="22"/>
                <w:lang w:val="en-ID"/>
              </w:rPr>
              <w:t>coef.</w:t>
            </w:r>
          </w:p>
        </w:tc>
        <w:tc>
          <w:tcPr>
            <w:tcW w:w="960" w:type="dxa"/>
            <w:tcBorders>
              <w:top w:val="single" w:sz="4" w:space="0" w:color="auto"/>
              <w:left w:val="nil"/>
              <w:bottom w:val="single" w:sz="4" w:space="0" w:color="auto"/>
              <w:right w:val="nil"/>
            </w:tcBorders>
            <w:shd w:val="clear" w:color="000000" w:fill="FFFFFF"/>
            <w:noWrap/>
            <w:vAlign w:val="center"/>
            <w:hideMark/>
          </w:tcPr>
          <w:p w14:paraId="1E3C4877" w14:textId="77777777" w:rsidR="006B308A" w:rsidRPr="00F42F80" w:rsidRDefault="006B308A" w:rsidP="006B308A">
            <w:pPr>
              <w:jc w:val="center"/>
              <w:rPr>
                <w:rFonts w:ascii="Lustria" w:hAnsi="Lustria"/>
                <w:b/>
                <w:bCs/>
                <w:color w:val="000000"/>
                <w:sz w:val="22"/>
                <w:szCs w:val="22"/>
                <w:lang w:val="en-ID"/>
              </w:rPr>
            </w:pPr>
            <w:r w:rsidRPr="00F42F80">
              <w:rPr>
                <w:rFonts w:ascii="Lustria" w:hAnsi="Lustria"/>
                <w:b/>
                <w:bCs/>
                <w:color w:val="000000"/>
                <w:sz w:val="22"/>
                <w:szCs w:val="22"/>
                <w:lang w:val="en-ID"/>
              </w:rPr>
              <w:t>t-stat</w:t>
            </w:r>
          </w:p>
        </w:tc>
        <w:tc>
          <w:tcPr>
            <w:tcW w:w="1056" w:type="dxa"/>
            <w:tcBorders>
              <w:top w:val="single" w:sz="4" w:space="0" w:color="auto"/>
              <w:left w:val="nil"/>
              <w:bottom w:val="single" w:sz="4" w:space="0" w:color="auto"/>
              <w:right w:val="nil"/>
            </w:tcBorders>
            <w:shd w:val="clear" w:color="000000" w:fill="FFFFFF"/>
            <w:noWrap/>
            <w:vAlign w:val="center"/>
            <w:hideMark/>
          </w:tcPr>
          <w:p w14:paraId="09B4C5FD" w14:textId="77777777" w:rsidR="006B308A" w:rsidRPr="00F42F80" w:rsidRDefault="006B308A" w:rsidP="006B308A">
            <w:pPr>
              <w:jc w:val="center"/>
              <w:rPr>
                <w:rFonts w:ascii="Lustria" w:hAnsi="Lustria"/>
                <w:b/>
                <w:bCs/>
                <w:color w:val="000000"/>
                <w:sz w:val="22"/>
                <w:szCs w:val="22"/>
                <w:lang w:val="en-ID"/>
              </w:rPr>
            </w:pPr>
            <w:r w:rsidRPr="00F42F80">
              <w:rPr>
                <w:rFonts w:ascii="Lustria" w:hAnsi="Lustria"/>
                <w:b/>
                <w:bCs/>
                <w:color w:val="000000"/>
                <w:sz w:val="22"/>
                <w:szCs w:val="22"/>
                <w:lang w:val="en-ID"/>
              </w:rPr>
              <w:t>p-values</w:t>
            </w:r>
          </w:p>
        </w:tc>
        <w:tc>
          <w:tcPr>
            <w:tcW w:w="1660" w:type="dxa"/>
            <w:tcBorders>
              <w:top w:val="single" w:sz="4" w:space="0" w:color="auto"/>
              <w:left w:val="nil"/>
              <w:bottom w:val="single" w:sz="4" w:space="0" w:color="auto"/>
              <w:right w:val="nil"/>
            </w:tcBorders>
            <w:shd w:val="clear" w:color="000000" w:fill="FFFFFF"/>
            <w:noWrap/>
            <w:vAlign w:val="center"/>
            <w:hideMark/>
          </w:tcPr>
          <w:p w14:paraId="771C3CB2" w14:textId="77777777" w:rsidR="006B308A" w:rsidRPr="00F42F80" w:rsidRDefault="006B308A" w:rsidP="006B308A">
            <w:pPr>
              <w:jc w:val="center"/>
              <w:rPr>
                <w:rFonts w:ascii="Lustria" w:hAnsi="Lustria"/>
                <w:b/>
                <w:bCs/>
                <w:color w:val="000000"/>
                <w:sz w:val="22"/>
                <w:szCs w:val="22"/>
                <w:lang w:val="en-ID"/>
              </w:rPr>
            </w:pPr>
            <w:r w:rsidRPr="00F42F80">
              <w:rPr>
                <w:rFonts w:ascii="Lustria" w:hAnsi="Lustria"/>
                <w:b/>
                <w:bCs/>
                <w:color w:val="000000"/>
                <w:sz w:val="22"/>
                <w:szCs w:val="22"/>
                <w:lang w:val="en-ID"/>
              </w:rPr>
              <w:t>Decision</w:t>
            </w:r>
          </w:p>
        </w:tc>
      </w:tr>
      <w:tr w:rsidR="006B308A" w:rsidRPr="00F42F80" w14:paraId="63B6AC39" w14:textId="77777777" w:rsidTr="006B308A">
        <w:trPr>
          <w:trHeight w:val="288"/>
        </w:trPr>
        <w:tc>
          <w:tcPr>
            <w:tcW w:w="572" w:type="dxa"/>
            <w:tcBorders>
              <w:top w:val="single" w:sz="4" w:space="0" w:color="auto"/>
              <w:left w:val="nil"/>
              <w:bottom w:val="nil"/>
              <w:right w:val="nil"/>
            </w:tcBorders>
            <w:shd w:val="clear" w:color="auto" w:fill="auto"/>
            <w:noWrap/>
            <w:vAlign w:val="center"/>
            <w:hideMark/>
          </w:tcPr>
          <w:p w14:paraId="7A9A10CB" w14:textId="77777777" w:rsidR="006B308A" w:rsidRPr="00F42F80" w:rsidRDefault="006B308A" w:rsidP="006B308A">
            <w:pPr>
              <w:jc w:val="center"/>
              <w:rPr>
                <w:rFonts w:ascii="Lustria" w:hAnsi="Lustria"/>
                <w:color w:val="000000"/>
                <w:sz w:val="22"/>
                <w:szCs w:val="22"/>
                <w:lang w:val="en-ID"/>
              </w:rPr>
            </w:pPr>
            <w:r w:rsidRPr="00F42F80">
              <w:rPr>
                <w:rFonts w:ascii="Lustria" w:hAnsi="Lustria"/>
                <w:color w:val="000000"/>
                <w:sz w:val="22"/>
                <w:szCs w:val="22"/>
                <w:lang w:val="en-ID"/>
              </w:rPr>
              <w:t>1.</w:t>
            </w:r>
          </w:p>
        </w:tc>
        <w:tc>
          <w:tcPr>
            <w:tcW w:w="4422" w:type="dxa"/>
            <w:tcBorders>
              <w:top w:val="single" w:sz="4" w:space="0" w:color="auto"/>
              <w:left w:val="nil"/>
              <w:bottom w:val="nil"/>
              <w:right w:val="nil"/>
            </w:tcBorders>
            <w:shd w:val="clear" w:color="000000" w:fill="FFFFFF"/>
            <w:noWrap/>
            <w:vAlign w:val="center"/>
            <w:hideMark/>
          </w:tcPr>
          <w:p w14:paraId="03833223" w14:textId="77777777" w:rsidR="006B308A" w:rsidRPr="00F42F80" w:rsidRDefault="006B308A" w:rsidP="006B308A">
            <w:pPr>
              <w:rPr>
                <w:rFonts w:ascii="Lustria" w:hAnsi="Lustria"/>
                <w:color w:val="000000"/>
                <w:sz w:val="22"/>
                <w:szCs w:val="22"/>
                <w:lang w:val="en-ID"/>
              </w:rPr>
            </w:pPr>
            <w:r w:rsidRPr="00F42F80">
              <w:rPr>
                <w:rFonts w:ascii="Lustria" w:hAnsi="Lustria"/>
                <w:color w:val="000000"/>
                <w:sz w:val="22"/>
                <w:szCs w:val="22"/>
                <w:lang w:val="en-ID"/>
              </w:rPr>
              <w:t xml:space="preserve">Integration </w:t>
            </w:r>
            <w:r w:rsidRPr="00F42F80">
              <w:rPr>
                <w:rFonts w:ascii="Lustria" w:hAnsi="Lustria"/>
                <w:color w:val="000000"/>
                <w:sz w:val="22"/>
                <w:szCs w:val="22"/>
                <w:lang w:val="en-ID"/>
              </w:rPr>
              <w:sym w:font="Wingdings" w:char="F0E0"/>
            </w:r>
            <w:r w:rsidRPr="00F42F80">
              <w:rPr>
                <w:rFonts w:ascii="Lustria" w:hAnsi="Lustria"/>
                <w:color w:val="000000"/>
                <w:sz w:val="22"/>
                <w:szCs w:val="22"/>
                <w:lang w:val="en-ID"/>
              </w:rPr>
              <w:t xml:space="preserve"> Attitude Toward CBS</w:t>
            </w:r>
          </w:p>
        </w:tc>
        <w:tc>
          <w:tcPr>
            <w:tcW w:w="960" w:type="dxa"/>
            <w:tcBorders>
              <w:top w:val="single" w:sz="4" w:space="0" w:color="auto"/>
              <w:left w:val="nil"/>
              <w:bottom w:val="nil"/>
              <w:right w:val="nil"/>
            </w:tcBorders>
            <w:shd w:val="clear" w:color="000000" w:fill="FFFFFF"/>
            <w:noWrap/>
            <w:vAlign w:val="center"/>
            <w:hideMark/>
          </w:tcPr>
          <w:p w14:paraId="5B271BE4" w14:textId="77777777" w:rsidR="006B308A" w:rsidRPr="00F42F80" w:rsidRDefault="006B308A" w:rsidP="006B308A">
            <w:pPr>
              <w:jc w:val="center"/>
              <w:rPr>
                <w:rFonts w:ascii="Lustria" w:hAnsi="Lustria"/>
                <w:color w:val="000000"/>
                <w:sz w:val="22"/>
                <w:szCs w:val="22"/>
                <w:lang w:val="en-ID"/>
              </w:rPr>
            </w:pPr>
            <w:r w:rsidRPr="00F42F80">
              <w:rPr>
                <w:rFonts w:ascii="Lustria" w:hAnsi="Lustria"/>
                <w:color w:val="000000"/>
                <w:sz w:val="22"/>
                <w:szCs w:val="22"/>
                <w:lang w:val="en-ID"/>
              </w:rPr>
              <w:t>0,301</w:t>
            </w:r>
          </w:p>
        </w:tc>
        <w:tc>
          <w:tcPr>
            <w:tcW w:w="960" w:type="dxa"/>
            <w:tcBorders>
              <w:top w:val="single" w:sz="4" w:space="0" w:color="auto"/>
              <w:left w:val="nil"/>
              <w:bottom w:val="nil"/>
              <w:right w:val="nil"/>
            </w:tcBorders>
            <w:shd w:val="clear" w:color="000000" w:fill="FFFFFF"/>
            <w:noWrap/>
            <w:vAlign w:val="center"/>
            <w:hideMark/>
          </w:tcPr>
          <w:p w14:paraId="0665D5FE" w14:textId="77777777" w:rsidR="006B308A" w:rsidRPr="00F42F80" w:rsidRDefault="006B308A" w:rsidP="006B308A">
            <w:pPr>
              <w:jc w:val="center"/>
              <w:rPr>
                <w:rFonts w:ascii="Lustria" w:hAnsi="Lustria"/>
                <w:color w:val="000000"/>
                <w:sz w:val="22"/>
                <w:szCs w:val="22"/>
                <w:lang w:val="en-ID"/>
              </w:rPr>
            </w:pPr>
            <w:r w:rsidRPr="00F42F80">
              <w:rPr>
                <w:rFonts w:ascii="Lustria" w:hAnsi="Lustria"/>
                <w:color w:val="000000"/>
                <w:sz w:val="22"/>
                <w:szCs w:val="22"/>
                <w:lang w:val="en-ID"/>
              </w:rPr>
              <w:t>1,921</w:t>
            </w:r>
          </w:p>
        </w:tc>
        <w:tc>
          <w:tcPr>
            <w:tcW w:w="1056" w:type="dxa"/>
            <w:tcBorders>
              <w:top w:val="single" w:sz="4" w:space="0" w:color="auto"/>
              <w:left w:val="nil"/>
              <w:bottom w:val="nil"/>
              <w:right w:val="nil"/>
            </w:tcBorders>
            <w:shd w:val="clear" w:color="000000" w:fill="FFFFFF"/>
            <w:noWrap/>
            <w:vAlign w:val="center"/>
            <w:hideMark/>
          </w:tcPr>
          <w:p w14:paraId="0BCF34CA" w14:textId="77777777" w:rsidR="006B308A" w:rsidRPr="00F42F80" w:rsidRDefault="006B308A" w:rsidP="006B308A">
            <w:pPr>
              <w:ind w:left="-41" w:right="-45"/>
              <w:jc w:val="center"/>
              <w:rPr>
                <w:rFonts w:ascii="Lustria" w:hAnsi="Lustria"/>
                <w:sz w:val="22"/>
                <w:szCs w:val="22"/>
                <w:lang w:val="en-ID"/>
              </w:rPr>
            </w:pPr>
            <w:r w:rsidRPr="00F42F80">
              <w:rPr>
                <w:rFonts w:ascii="Lustria" w:hAnsi="Lustria"/>
                <w:sz w:val="22"/>
                <w:szCs w:val="22"/>
                <w:lang w:val="en-ID"/>
              </w:rPr>
              <w:t>0,055*</w:t>
            </w:r>
          </w:p>
        </w:tc>
        <w:tc>
          <w:tcPr>
            <w:tcW w:w="1660" w:type="dxa"/>
            <w:tcBorders>
              <w:top w:val="single" w:sz="4" w:space="0" w:color="auto"/>
              <w:left w:val="nil"/>
              <w:bottom w:val="nil"/>
              <w:right w:val="nil"/>
            </w:tcBorders>
            <w:shd w:val="clear" w:color="000000" w:fill="FFFFFF"/>
            <w:noWrap/>
            <w:vAlign w:val="center"/>
            <w:hideMark/>
          </w:tcPr>
          <w:p w14:paraId="2728CFBF" w14:textId="77777777" w:rsidR="006B308A" w:rsidRPr="00F42F80" w:rsidRDefault="006B308A" w:rsidP="006B308A">
            <w:pPr>
              <w:jc w:val="center"/>
              <w:rPr>
                <w:rFonts w:ascii="Lustria" w:hAnsi="Lustria"/>
                <w:color w:val="000000"/>
                <w:sz w:val="22"/>
                <w:szCs w:val="22"/>
                <w:lang w:val="en-ID"/>
              </w:rPr>
            </w:pPr>
            <w:r w:rsidRPr="00F42F80">
              <w:rPr>
                <w:rFonts w:ascii="Lustria" w:hAnsi="Lustria"/>
                <w:color w:val="000000"/>
                <w:sz w:val="22"/>
                <w:szCs w:val="22"/>
                <w:lang w:val="en-ID"/>
              </w:rPr>
              <w:t>Not Supported</w:t>
            </w:r>
          </w:p>
        </w:tc>
      </w:tr>
      <w:tr w:rsidR="006B308A" w:rsidRPr="00F42F80" w14:paraId="54B30B88" w14:textId="77777777" w:rsidTr="006B308A">
        <w:trPr>
          <w:trHeight w:val="288"/>
        </w:trPr>
        <w:tc>
          <w:tcPr>
            <w:tcW w:w="572" w:type="dxa"/>
            <w:tcBorders>
              <w:top w:val="nil"/>
              <w:left w:val="nil"/>
              <w:bottom w:val="nil"/>
              <w:right w:val="nil"/>
            </w:tcBorders>
            <w:shd w:val="clear" w:color="auto" w:fill="auto"/>
            <w:noWrap/>
            <w:vAlign w:val="center"/>
            <w:hideMark/>
          </w:tcPr>
          <w:p w14:paraId="71F9FEBD" w14:textId="77777777" w:rsidR="006B308A" w:rsidRPr="00F42F80" w:rsidRDefault="006B308A" w:rsidP="006B308A">
            <w:pPr>
              <w:jc w:val="center"/>
              <w:rPr>
                <w:rFonts w:ascii="Lustria" w:hAnsi="Lustria"/>
                <w:color w:val="000000"/>
                <w:sz w:val="22"/>
                <w:szCs w:val="22"/>
                <w:lang w:val="en-ID"/>
              </w:rPr>
            </w:pPr>
            <w:r w:rsidRPr="00F42F80">
              <w:rPr>
                <w:rFonts w:ascii="Lustria" w:hAnsi="Lustria"/>
                <w:color w:val="000000"/>
                <w:sz w:val="22"/>
                <w:szCs w:val="22"/>
                <w:lang w:val="en-ID"/>
              </w:rPr>
              <w:t>2.</w:t>
            </w:r>
          </w:p>
        </w:tc>
        <w:tc>
          <w:tcPr>
            <w:tcW w:w="4422" w:type="dxa"/>
            <w:tcBorders>
              <w:top w:val="nil"/>
              <w:left w:val="nil"/>
              <w:bottom w:val="nil"/>
              <w:right w:val="nil"/>
            </w:tcBorders>
            <w:shd w:val="clear" w:color="000000" w:fill="FFFFFF"/>
            <w:noWrap/>
            <w:vAlign w:val="center"/>
            <w:hideMark/>
          </w:tcPr>
          <w:p w14:paraId="1EAE986A" w14:textId="77777777" w:rsidR="006B308A" w:rsidRPr="00F42F80" w:rsidRDefault="006B308A" w:rsidP="006B308A">
            <w:pPr>
              <w:rPr>
                <w:rFonts w:ascii="Lustria" w:hAnsi="Lustria"/>
                <w:color w:val="000000"/>
                <w:sz w:val="22"/>
                <w:szCs w:val="22"/>
                <w:lang w:val="en-ID"/>
              </w:rPr>
            </w:pPr>
            <w:r w:rsidRPr="00F42F80">
              <w:rPr>
                <w:rFonts w:ascii="Lustria" w:hAnsi="Lustria"/>
                <w:color w:val="000000"/>
                <w:sz w:val="22"/>
                <w:szCs w:val="22"/>
                <w:lang w:val="en-ID"/>
              </w:rPr>
              <w:t xml:space="preserve">Student Cohesiveness </w:t>
            </w:r>
            <w:r w:rsidRPr="00F42F80">
              <w:rPr>
                <w:rFonts w:ascii="Lustria" w:hAnsi="Lustria"/>
                <w:color w:val="000000"/>
                <w:sz w:val="22"/>
                <w:szCs w:val="22"/>
                <w:lang w:val="en-ID"/>
              </w:rPr>
              <w:sym w:font="Wingdings" w:char="F0E0"/>
            </w:r>
            <w:r w:rsidRPr="00F42F80">
              <w:rPr>
                <w:rFonts w:ascii="Lustria" w:hAnsi="Lustria"/>
                <w:color w:val="000000"/>
                <w:sz w:val="22"/>
                <w:szCs w:val="22"/>
                <w:lang w:val="en-ID"/>
              </w:rPr>
              <w:t xml:space="preserve"> Attitude Toward CBS</w:t>
            </w:r>
          </w:p>
        </w:tc>
        <w:tc>
          <w:tcPr>
            <w:tcW w:w="960" w:type="dxa"/>
            <w:tcBorders>
              <w:top w:val="nil"/>
              <w:left w:val="nil"/>
              <w:bottom w:val="nil"/>
              <w:right w:val="nil"/>
            </w:tcBorders>
            <w:shd w:val="clear" w:color="000000" w:fill="FFFFFF"/>
            <w:noWrap/>
            <w:vAlign w:val="center"/>
            <w:hideMark/>
          </w:tcPr>
          <w:p w14:paraId="2B19E8CF" w14:textId="77777777" w:rsidR="006B308A" w:rsidRPr="00F42F80" w:rsidRDefault="006B308A" w:rsidP="006B308A">
            <w:pPr>
              <w:jc w:val="center"/>
              <w:rPr>
                <w:rFonts w:ascii="Lustria" w:hAnsi="Lustria"/>
                <w:color w:val="000000"/>
                <w:sz w:val="22"/>
                <w:szCs w:val="22"/>
                <w:lang w:val="en-ID"/>
              </w:rPr>
            </w:pPr>
            <w:r w:rsidRPr="00F42F80">
              <w:rPr>
                <w:rFonts w:ascii="Lustria" w:hAnsi="Lustria"/>
                <w:color w:val="000000"/>
                <w:sz w:val="22"/>
                <w:szCs w:val="22"/>
                <w:lang w:val="en-ID"/>
              </w:rPr>
              <w:t>-0,029</w:t>
            </w:r>
          </w:p>
        </w:tc>
        <w:tc>
          <w:tcPr>
            <w:tcW w:w="960" w:type="dxa"/>
            <w:tcBorders>
              <w:top w:val="nil"/>
              <w:left w:val="nil"/>
              <w:bottom w:val="nil"/>
              <w:right w:val="nil"/>
            </w:tcBorders>
            <w:shd w:val="clear" w:color="000000" w:fill="FFFFFF"/>
            <w:noWrap/>
            <w:vAlign w:val="center"/>
            <w:hideMark/>
          </w:tcPr>
          <w:p w14:paraId="1C051FEC" w14:textId="77777777" w:rsidR="006B308A" w:rsidRPr="00F42F80" w:rsidRDefault="006B308A" w:rsidP="006B308A">
            <w:pPr>
              <w:jc w:val="center"/>
              <w:rPr>
                <w:rFonts w:ascii="Lustria" w:hAnsi="Lustria"/>
                <w:color w:val="000000"/>
                <w:sz w:val="22"/>
                <w:szCs w:val="22"/>
                <w:lang w:val="en-ID"/>
              </w:rPr>
            </w:pPr>
            <w:r w:rsidRPr="00F42F80">
              <w:rPr>
                <w:rFonts w:ascii="Lustria" w:hAnsi="Lustria"/>
                <w:color w:val="000000"/>
                <w:sz w:val="22"/>
                <w:szCs w:val="22"/>
                <w:lang w:val="en-ID"/>
              </w:rPr>
              <w:t>0,171</w:t>
            </w:r>
          </w:p>
        </w:tc>
        <w:tc>
          <w:tcPr>
            <w:tcW w:w="1056" w:type="dxa"/>
            <w:tcBorders>
              <w:top w:val="nil"/>
              <w:left w:val="nil"/>
              <w:bottom w:val="nil"/>
              <w:right w:val="nil"/>
            </w:tcBorders>
            <w:shd w:val="clear" w:color="000000" w:fill="FFFFFF"/>
            <w:noWrap/>
            <w:vAlign w:val="center"/>
            <w:hideMark/>
          </w:tcPr>
          <w:p w14:paraId="0BA66898" w14:textId="77777777" w:rsidR="006B308A" w:rsidRPr="00F42F80" w:rsidRDefault="006B308A" w:rsidP="006B308A">
            <w:pPr>
              <w:jc w:val="center"/>
              <w:rPr>
                <w:rFonts w:ascii="Lustria" w:hAnsi="Lustria"/>
                <w:sz w:val="22"/>
                <w:szCs w:val="22"/>
                <w:lang w:val="en-ID"/>
              </w:rPr>
            </w:pPr>
            <w:r w:rsidRPr="00F42F80">
              <w:rPr>
                <w:rFonts w:ascii="Lustria" w:hAnsi="Lustria"/>
                <w:sz w:val="22"/>
                <w:szCs w:val="22"/>
                <w:lang w:val="en-ID"/>
              </w:rPr>
              <w:t>0,864</w:t>
            </w:r>
          </w:p>
        </w:tc>
        <w:tc>
          <w:tcPr>
            <w:tcW w:w="1660" w:type="dxa"/>
            <w:tcBorders>
              <w:top w:val="nil"/>
              <w:left w:val="nil"/>
              <w:bottom w:val="nil"/>
              <w:right w:val="nil"/>
            </w:tcBorders>
            <w:shd w:val="clear" w:color="000000" w:fill="FFFFFF"/>
            <w:noWrap/>
            <w:vAlign w:val="center"/>
            <w:hideMark/>
          </w:tcPr>
          <w:p w14:paraId="0A074A1E" w14:textId="77777777" w:rsidR="006B308A" w:rsidRPr="00F42F80" w:rsidRDefault="006B308A" w:rsidP="006B308A">
            <w:pPr>
              <w:jc w:val="center"/>
              <w:rPr>
                <w:rFonts w:ascii="Lustria" w:hAnsi="Lustria"/>
                <w:color w:val="000000"/>
                <w:sz w:val="22"/>
                <w:szCs w:val="22"/>
                <w:lang w:val="en-ID"/>
              </w:rPr>
            </w:pPr>
            <w:r w:rsidRPr="00F42F80">
              <w:rPr>
                <w:rFonts w:ascii="Lustria" w:hAnsi="Lustria"/>
                <w:color w:val="000000"/>
                <w:sz w:val="22"/>
                <w:szCs w:val="22"/>
                <w:lang w:val="en-ID"/>
              </w:rPr>
              <w:t>Not Supported</w:t>
            </w:r>
          </w:p>
        </w:tc>
      </w:tr>
      <w:tr w:rsidR="006B308A" w:rsidRPr="00F42F80" w14:paraId="0D51A73B" w14:textId="77777777" w:rsidTr="006B308A">
        <w:trPr>
          <w:trHeight w:val="288"/>
        </w:trPr>
        <w:tc>
          <w:tcPr>
            <w:tcW w:w="572" w:type="dxa"/>
            <w:tcBorders>
              <w:top w:val="nil"/>
              <w:left w:val="nil"/>
              <w:right w:val="nil"/>
            </w:tcBorders>
            <w:shd w:val="clear" w:color="auto" w:fill="auto"/>
            <w:noWrap/>
            <w:vAlign w:val="center"/>
            <w:hideMark/>
          </w:tcPr>
          <w:p w14:paraId="73CE47CE" w14:textId="77777777" w:rsidR="006B308A" w:rsidRPr="00F42F80" w:rsidRDefault="006B308A" w:rsidP="006B308A">
            <w:pPr>
              <w:jc w:val="center"/>
              <w:rPr>
                <w:rFonts w:ascii="Lustria" w:hAnsi="Lustria"/>
                <w:color w:val="000000"/>
                <w:sz w:val="22"/>
                <w:szCs w:val="22"/>
                <w:lang w:val="en-ID"/>
              </w:rPr>
            </w:pPr>
            <w:r w:rsidRPr="00F42F80">
              <w:rPr>
                <w:rFonts w:ascii="Lustria" w:hAnsi="Lustria"/>
                <w:color w:val="000000"/>
                <w:sz w:val="22"/>
                <w:szCs w:val="22"/>
                <w:lang w:val="en-ID"/>
              </w:rPr>
              <w:t>3.</w:t>
            </w:r>
          </w:p>
        </w:tc>
        <w:tc>
          <w:tcPr>
            <w:tcW w:w="4422" w:type="dxa"/>
            <w:tcBorders>
              <w:top w:val="nil"/>
              <w:left w:val="nil"/>
              <w:right w:val="nil"/>
            </w:tcBorders>
            <w:shd w:val="clear" w:color="000000" w:fill="FFFFFF"/>
            <w:noWrap/>
            <w:vAlign w:val="center"/>
            <w:hideMark/>
          </w:tcPr>
          <w:p w14:paraId="4BA59D26" w14:textId="77777777" w:rsidR="006B308A" w:rsidRPr="00F42F80" w:rsidRDefault="006B308A" w:rsidP="006B308A">
            <w:pPr>
              <w:rPr>
                <w:rFonts w:ascii="Lustria" w:hAnsi="Lustria"/>
                <w:color w:val="000000"/>
                <w:sz w:val="22"/>
                <w:szCs w:val="22"/>
                <w:lang w:val="en-ID"/>
              </w:rPr>
            </w:pPr>
            <w:r w:rsidRPr="00F42F80">
              <w:rPr>
                <w:rFonts w:ascii="Lustria" w:hAnsi="Lustria"/>
                <w:color w:val="000000"/>
                <w:sz w:val="22"/>
                <w:szCs w:val="22"/>
                <w:lang w:val="en-ID"/>
              </w:rPr>
              <w:t xml:space="preserve">Task Orientation </w:t>
            </w:r>
            <w:r w:rsidRPr="00F42F80">
              <w:rPr>
                <w:rFonts w:ascii="Lustria" w:hAnsi="Lustria"/>
                <w:color w:val="000000"/>
                <w:sz w:val="22"/>
                <w:szCs w:val="22"/>
                <w:lang w:val="en-ID"/>
              </w:rPr>
              <w:sym w:font="Wingdings" w:char="F0E0"/>
            </w:r>
            <w:r w:rsidRPr="00F42F80">
              <w:rPr>
                <w:rFonts w:ascii="Lustria" w:hAnsi="Lustria"/>
                <w:color w:val="000000"/>
                <w:sz w:val="22"/>
                <w:szCs w:val="22"/>
                <w:lang w:val="en-ID"/>
              </w:rPr>
              <w:t xml:space="preserve"> Attitude Toward CBS</w:t>
            </w:r>
          </w:p>
        </w:tc>
        <w:tc>
          <w:tcPr>
            <w:tcW w:w="960" w:type="dxa"/>
            <w:tcBorders>
              <w:top w:val="nil"/>
              <w:left w:val="nil"/>
              <w:right w:val="nil"/>
            </w:tcBorders>
            <w:shd w:val="clear" w:color="000000" w:fill="FFFFFF"/>
            <w:noWrap/>
            <w:vAlign w:val="center"/>
            <w:hideMark/>
          </w:tcPr>
          <w:p w14:paraId="2B8AA9A0" w14:textId="77777777" w:rsidR="006B308A" w:rsidRPr="00F42F80" w:rsidRDefault="006B308A" w:rsidP="006B308A">
            <w:pPr>
              <w:jc w:val="center"/>
              <w:rPr>
                <w:rFonts w:ascii="Lustria" w:hAnsi="Lustria"/>
                <w:color w:val="000000"/>
                <w:sz w:val="22"/>
                <w:szCs w:val="22"/>
                <w:lang w:val="en-ID"/>
              </w:rPr>
            </w:pPr>
            <w:r w:rsidRPr="00F42F80">
              <w:rPr>
                <w:rFonts w:ascii="Lustria" w:hAnsi="Lustria"/>
                <w:color w:val="000000"/>
                <w:sz w:val="22"/>
                <w:szCs w:val="22"/>
                <w:lang w:val="en-ID"/>
              </w:rPr>
              <w:t>0,462</w:t>
            </w:r>
          </w:p>
        </w:tc>
        <w:tc>
          <w:tcPr>
            <w:tcW w:w="960" w:type="dxa"/>
            <w:tcBorders>
              <w:top w:val="nil"/>
              <w:left w:val="nil"/>
              <w:right w:val="nil"/>
            </w:tcBorders>
            <w:shd w:val="clear" w:color="000000" w:fill="FFFFFF"/>
            <w:noWrap/>
            <w:vAlign w:val="center"/>
            <w:hideMark/>
          </w:tcPr>
          <w:p w14:paraId="019A2B68" w14:textId="77777777" w:rsidR="006B308A" w:rsidRPr="00F42F80" w:rsidRDefault="006B308A" w:rsidP="006B308A">
            <w:pPr>
              <w:jc w:val="center"/>
              <w:rPr>
                <w:rFonts w:ascii="Lustria" w:hAnsi="Lustria"/>
                <w:color w:val="000000"/>
                <w:sz w:val="22"/>
                <w:szCs w:val="22"/>
                <w:lang w:val="en-ID"/>
              </w:rPr>
            </w:pPr>
            <w:r w:rsidRPr="00F42F80">
              <w:rPr>
                <w:rFonts w:ascii="Lustria" w:hAnsi="Lustria"/>
                <w:color w:val="000000"/>
                <w:sz w:val="22"/>
                <w:szCs w:val="22"/>
                <w:lang w:val="en-ID"/>
              </w:rPr>
              <w:t>3,203</w:t>
            </w:r>
          </w:p>
        </w:tc>
        <w:tc>
          <w:tcPr>
            <w:tcW w:w="1056" w:type="dxa"/>
            <w:tcBorders>
              <w:top w:val="nil"/>
              <w:left w:val="nil"/>
              <w:right w:val="nil"/>
            </w:tcBorders>
            <w:shd w:val="clear" w:color="000000" w:fill="FFFFFF"/>
            <w:noWrap/>
            <w:vAlign w:val="center"/>
            <w:hideMark/>
          </w:tcPr>
          <w:p w14:paraId="127FE4D0" w14:textId="77777777" w:rsidR="006B308A" w:rsidRPr="00F42F80" w:rsidRDefault="006B308A" w:rsidP="006B308A">
            <w:pPr>
              <w:jc w:val="center"/>
              <w:rPr>
                <w:rFonts w:ascii="Lustria" w:hAnsi="Lustria"/>
                <w:sz w:val="22"/>
                <w:szCs w:val="22"/>
                <w:lang w:val="en-ID"/>
              </w:rPr>
            </w:pPr>
            <w:r w:rsidRPr="00F42F80">
              <w:rPr>
                <w:rFonts w:ascii="Lustria" w:hAnsi="Lustria"/>
                <w:sz w:val="22"/>
                <w:szCs w:val="22"/>
                <w:lang w:val="en-ID"/>
              </w:rPr>
              <w:t>0,001**</w:t>
            </w:r>
          </w:p>
        </w:tc>
        <w:tc>
          <w:tcPr>
            <w:tcW w:w="1660" w:type="dxa"/>
            <w:tcBorders>
              <w:top w:val="nil"/>
              <w:left w:val="nil"/>
              <w:right w:val="nil"/>
            </w:tcBorders>
            <w:shd w:val="clear" w:color="000000" w:fill="FFFFFF"/>
            <w:noWrap/>
            <w:vAlign w:val="center"/>
            <w:hideMark/>
          </w:tcPr>
          <w:p w14:paraId="4F79C399" w14:textId="77777777" w:rsidR="006B308A" w:rsidRPr="00F42F80" w:rsidRDefault="006B308A" w:rsidP="006B308A">
            <w:pPr>
              <w:jc w:val="center"/>
              <w:rPr>
                <w:rFonts w:ascii="Lustria" w:hAnsi="Lustria"/>
                <w:color w:val="000000"/>
                <w:sz w:val="22"/>
                <w:szCs w:val="22"/>
                <w:lang w:val="en-ID"/>
              </w:rPr>
            </w:pPr>
            <w:r w:rsidRPr="00F42F80">
              <w:rPr>
                <w:rFonts w:ascii="Lustria" w:hAnsi="Lustria"/>
                <w:color w:val="000000"/>
                <w:sz w:val="22"/>
                <w:szCs w:val="22"/>
                <w:lang w:val="en-ID"/>
              </w:rPr>
              <w:t>Supported</w:t>
            </w:r>
          </w:p>
        </w:tc>
      </w:tr>
      <w:tr w:rsidR="006B308A" w:rsidRPr="00F42F80" w14:paraId="030828DA" w14:textId="77777777" w:rsidTr="006B308A">
        <w:trPr>
          <w:trHeight w:val="288"/>
        </w:trPr>
        <w:tc>
          <w:tcPr>
            <w:tcW w:w="572" w:type="dxa"/>
            <w:tcBorders>
              <w:top w:val="nil"/>
              <w:left w:val="nil"/>
              <w:bottom w:val="single" w:sz="4" w:space="0" w:color="auto"/>
              <w:right w:val="nil"/>
            </w:tcBorders>
            <w:shd w:val="clear" w:color="auto" w:fill="auto"/>
            <w:noWrap/>
            <w:vAlign w:val="center"/>
            <w:hideMark/>
          </w:tcPr>
          <w:p w14:paraId="108927C0" w14:textId="77777777" w:rsidR="006B308A" w:rsidRPr="00F42F80" w:rsidRDefault="006B308A" w:rsidP="006B308A">
            <w:pPr>
              <w:jc w:val="center"/>
              <w:rPr>
                <w:rFonts w:ascii="Lustria" w:hAnsi="Lustria"/>
                <w:color w:val="000000"/>
                <w:sz w:val="22"/>
                <w:szCs w:val="22"/>
                <w:lang w:val="en-ID"/>
              </w:rPr>
            </w:pPr>
            <w:r w:rsidRPr="00F42F80">
              <w:rPr>
                <w:rFonts w:ascii="Lustria" w:hAnsi="Lustria"/>
                <w:color w:val="000000"/>
                <w:sz w:val="22"/>
                <w:szCs w:val="22"/>
                <w:lang w:val="en-ID"/>
              </w:rPr>
              <w:t>4.</w:t>
            </w:r>
          </w:p>
        </w:tc>
        <w:tc>
          <w:tcPr>
            <w:tcW w:w="4422" w:type="dxa"/>
            <w:tcBorders>
              <w:top w:val="nil"/>
              <w:left w:val="nil"/>
              <w:bottom w:val="single" w:sz="4" w:space="0" w:color="auto"/>
              <w:right w:val="nil"/>
            </w:tcBorders>
            <w:shd w:val="clear" w:color="000000" w:fill="FFFFFF"/>
            <w:noWrap/>
            <w:vAlign w:val="center"/>
            <w:hideMark/>
          </w:tcPr>
          <w:p w14:paraId="78C6B5C1" w14:textId="77777777" w:rsidR="006B308A" w:rsidRPr="00F42F80" w:rsidRDefault="006B308A" w:rsidP="006B308A">
            <w:pPr>
              <w:rPr>
                <w:rFonts w:ascii="Lustria" w:hAnsi="Lustria"/>
                <w:color w:val="000000"/>
                <w:sz w:val="22"/>
                <w:szCs w:val="22"/>
                <w:lang w:val="en-ID"/>
              </w:rPr>
            </w:pPr>
            <w:r w:rsidRPr="00F42F80">
              <w:rPr>
                <w:rFonts w:ascii="Lustria" w:hAnsi="Lustria"/>
                <w:color w:val="000000"/>
                <w:sz w:val="22"/>
                <w:szCs w:val="22"/>
                <w:lang w:val="en-ID"/>
              </w:rPr>
              <w:t xml:space="preserve">Attitude Toward CBS </w:t>
            </w:r>
            <w:r w:rsidRPr="00F42F80">
              <w:rPr>
                <w:rFonts w:ascii="Lustria" w:hAnsi="Lustria"/>
                <w:color w:val="000000"/>
                <w:sz w:val="22"/>
                <w:szCs w:val="22"/>
                <w:lang w:val="en-ID"/>
              </w:rPr>
              <w:sym w:font="Wingdings" w:char="F0E0"/>
            </w:r>
            <w:r w:rsidRPr="00F42F80">
              <w:rPr>
                <w:rFonts w:ascii="Lustria" w:hAnsi="Lustria"/>
                <w:color w:val="000000"/>
                <w:sz w:val="22"/>
                <w:szCs w:val="22"/>
                <w:lang w:val="en-ID"/>
              </w:rPr>
              <w:t xml:space="preserve"> Reuse Intention</w:t>
            </w:r>
          </w:p>
        </w:tc>
        <w:tc>
          <w:tcPr>
            <w:tcW w:w="960" w:type="dxa"/>
            <w:tcBorders>
              <w:top w:val="nil"/>
              <w:left w:val="nil"/>
              <w:bottom w:val="single" w:sz="4" w:space="0" w:color="auto"/>
              <w:right w:val="nil"/>
            </w:tcBorders>
            <w:shd w:val="clear" w:color="000000" w:fill="FFFFFF"/>
            <w:noWrap/>
            <w:vAlign w:val="center"/>
            <w:hideMark/>
          </w:tcPr>
          <w:p w14:paraId="7A37B87A" w14:textId="77777777" w:rsidR="006B308A" w:rsidRPr="00F42F80" w:rsidRDefault="006B308A" w:rsidP="006B308A">
            <w:pPr>
              <w:jc w:val="center"/>
              <w:rPr>
                <w:rFonts w:ascii="Lustria" w:hAnsi="Lustria"/>
                <w:color w:val="000000"/>
                <w:sz w:val="22"/>
                <w:szCs w:val="22"/>
                <w:lang w:val="en-ID"/>
              </w:rPr>
            </w:pPr>
            <w:r w:rsidRPr="00F42F80">
              <w:rPr>
                <w:rFonts w:ascii="Lustria" w:hAnsi="Lustria"/>
                <w:color w:val="000000"/>
                <w:sz w:val="22"/>
                <w:szCs w:val="22"/>
                <w:lang w:val="en-ID"/>
              </w:rPr>
              <w:t>0,541</w:t>
            </w:r>
          </w:p>
        </w:tc>
        <w:tc>
          <w:tcPr>
            <w:tcW w:w="960" w:type="dxa"/>
            <w:tcBorders>
              <w:top w:val="nil"/>
              <w:left w:val="nil"/>
              <w:bottom w:val="single" w:sz="4" w:space="0" w:color="auto"/>
              <w:right w:val="nil"/>
            </w:tcBorders>
            <w:shd w:val="clear" w:color="000000" w:fill="FFFFFF"/>
            <w:noWrap/>
            <w:vAlign w:val="center"/>
            <w:hideMark/>
          </w:tcPr>
          <w:p w14:paraId="46AD1AD4" w14:textId="77777777" w:rsidR="006B308A" w:rsidRPr="00F42F80" w:rsidRDefault="006B308A" w:rsidP="006B308A">
            <w:pPr>
              <w:jc w:val="center"/>
              <w:rPr>
                <w:rFonts w:ascii="Lustria" w:hAnsi="Lustria"/>
                <w:color w:val="000000"/>
                <w:sz w:val="22"/>
                <w:szCs w:val="22"/>
                <w:lang w:val="en-ID"/>
              </w:rPr>
            </w:pPr>
            <w:r w:rsidRPr="00F42F80">
              <w:rPr>
                <w:rFonts w:ascii="Lustria" w:hAnsi="Lustria"/>
                <w:color w:val="000000"/>
                <w:sz w:val="22"/>
                <w:szCs w:val="22"/>
                <w:lang w:val="en-ID"/>
              </w:rPr>
              <w:t>3,951</w:t>
            </w:r>
          </w:p>
        </w:tc>
        <w:tc>
          <w:tcPr>
            <w:tcW w:w="1056" w:type="dxa"/>
            <w:tcBorders>
              <w:top w:val="nil"/>
              <w:left w:val="nil"/>
              <w:bottom w:val="single" w:sz="4" w:space="0" w:color="auto"/>
              <w:right w:val="nil"/>
            </w:tcBorders>
            <w:shd w:val="clear" w:color="000000" w:fill="FFFFFF"/>
            <w:noWrap/>
            <w:vAlign w:val="center"/>
            <w:hideMark/>
          </w:tcPr>
          <w:p w14:paraId="79EB1041" w14:textId="77777777" w:rsidR="006B308A" w:rsidRPr="00F42F80" w:rsidRDefault="006B308A" w:rsidP="006B308A">
            <w:pPr>
              <w:jc w:val="center"/>
              <w:rPr>
                <w:rFonts w:ascii="Lustria" w:hAnsi="Lustria"/>
                <w:sz w:val="22"/>
                <w:szCs w:val="22"/>
                <w:lang w:val="en-ID"/>
              </w:rPr>
            </w:pPr>
            <w:r w:rsidRPr="00F42F80">
              <w:rPr>
                <w:rFonts w:ascii="Lustria" w:hAnsi="Lustria"/>
                <w:sz w:val="22"/>
                <w:szCs w:val="22"/>
                <w:lang w:val="en-ID"/>
              </w:rPr>
              <w:t>0,000**</w:t>
            </w:r>
          </w:p>
        </w:tc>
        <w:tc>
          <w:tcPr>
            <w:tcW w:w="1660" w:type="dxa"/>
            <w:tcBorders>
              <w:top w:val="nil"/>
              <w:left w:val="nil"/>
              <w:bottom w:val="single" w:sz="4" w:space="0" w:color="auto"/>
              <w:right w:val="nil"/>
            </w:tcBorders>
            <w:shd w:val="clear" w:color="000000" w:fill="FFFFFF"/>
            <w:noWrap/>
            <w:vAlign w:val="center"/>
            <w:hideMark/>
          </w:tcPr>
          <w:p w14:paraId="49DB7444" w14:textId="77777777" w:rsidR="006B308A" w:rsidRPr="00F42F80" w:rsidRDefault="006B308A" w:rsidP="006B308A">
            <w:pPr>
              <w:jc w:val="center"/>
              <w:rPr>
                <w:rFonts w:ascii="Lustria" w:hAnsi="Lustria"/>
                <w:color w:val="000000"/>
                <w:sz w:val="22"/>
                <w:szCs w:val="22"/>
                <w:lang w:val="en-ID"/>
              </w:rPr>
            </w:pPr>
            <w:r w:rsidRPr="00F42F80">
              <w:rPr>
                <w:rFonts w:ascii="Lustria" w:hAnsi="Lustria"/>
                <w:color w:val="000000"/>
                <w:sz w:val="22"/>
                <w:szCs w:val="22"/>
                <w:lang w:val="en-ID"/>
              </w:rPr>
              <w:t>Supported</w:t>
            </w:r>
          </w:p>
        </w:tc>
      </w:tr>
    </w:tbl>
    <w:p w14:paraId="4E858817" w14:textId="77777777" w:rsidR="006B308A" w:rsidRPr="00F42F80" w:rsidRDefault="006B308A" w:rsidP="00752D76">
      <w:pPr>
        <w:pStyle w:val="Heading1"/>
        <w:spacing w:line="240" w:lineRule="auto"/>
        <w:ind w:right="6"/>
        <w:jc w:val="both"/>
        <w:rPr>
          <w:rFonts w:ascii="Lustria" w:hAnsi="Lustria"/>
          <w:b w:val="0"/>
          <w:bCs w:val="0"/>
          <w:i/>
          <w:iCs/>
          <w:sz w:val="22"/>
          <w:szCs w:val="22"/>
          <w:lang w:val="en-US"/>
        </w:rPr>
      </w:pPr>
    </w:p>
    <w:p w14:paraId="1821C23B" w14:textId="75D02E1A" w:rsidR="00752D76" w:rsidRPr="00F42F80" w:rsidRDefault="00752D76" w:rsidP="00752D76">
      <w:pPr>
        <w:pStyle w:val="Heading1"/>
        <w:spacing w:line="240" w:lineRule="auto"/>
        <w:ind w:right="6"/>
        <w:jc w:val="both"/>
        <w:rPr>
          <w:rFonts w:ascii="Lustria" w:hAnsi="Lustria"/>
          <w:b w:val="0"/>
          <w:bCs w:val="0"/>
          <w:i/>
          <w:iCs/>
          <w:sz w:val="22"/>
          <w:szCs w:val="22"/>
          <w:lang w:val="en-US"/>
        </w:rPr>
      </w:pPr>
      <w:r w:rsidRPr="00F42F80">
        <w:rPr>
          <w:rFonts w:ascii="Lustria" w:hAnsi="Lustria"/>
          <w:b w:val="0"/>
          <w:bCs w:val="0"/>
          <w:i/>
          <w:iCs/>
          <w:sz w:val="22"/>
          <w:szCs w:val="22"/>
          <w:lang w:val="en-US"/>
        </w:rPr>
        <w:t>Structural Model</w:t>
      </w:r>
    </w:p>
    <w:p w14:paraId="62250D13" w14:textId="7C227A8E" w:rsidR="00752D76" w:rsidRPr="00F42F80" w:rsidRDefault="00752D76" w:rsidP="006B308A">
      <w:pPr>
        <w:ind w:firstLine="567"/>
        <w:jc w:val="both"/>
        <w:rPr>
          <w:rFonts w:ascii="Lustria" w:hAnsi="Lustria"/>
          <w:sz w:val="22"/>
          <w:szCs w:val="22"/>
        </w:rPr>
      </w:pPr>
      <w:r w:rsidRPr="00F42F80">
        <w:rPr>
          <w:rFonts w:ascii="Lustria" w:hAnsi="Lustria"/>
          <w:sz w:val="22"/>
          <w:szCs w:val="22"/>
        </w:rPr>
        <w:t xml:space="preserve">The structural model testing was carried out using the smartPLS 3.0 application. Structural model testing is conducted to determine the coefficient value of the causality relationship between constructs, namely 1) the effect of Student Cohesiveness, Integration, and Task Orientation on Attitude Toward Computer-Based Statistics; and 2) the influence of Attitude Toward Computer-Based Statistics on Reuse Intention. Student Cohesiveness did not significantly affect Attitude Toward Computer-Based Statistics with a coefficient value of -0.03 and a t-statistic value of 0.17. The t-statistic number is below the t-statistical significance indicator, namely&gt; 1.96 </w:t>
      </w:r>
      <w:r w:rsidRPr="00F42F80">
        <w:rPr>
          <w:rFonts w:ascii="Lustria" w:hAnsi="Lustria"/>
          <w:sz w:val="22"/>
          <w:szCs w:val="22"/>
        </w:rPr>
        <w:fldChar w:fldCharType="begin" w:fldLock="1"/>
      </w:r>
      <w:r w:rsidRPr="00F42F80">
        <w:rPr>
          <w:rFonts w:ascii="Lustria" w:hAnsi="Lustria"/>
          <w:sz w:val="22"/>
          <w:szCs w:val="22"/>
        </w:rPr>
        <w:instrText>ADDIN CSL_CITATION {"citationItems":[{"id":"ITEM-1","itemData":{"author":[{"dropping-particle":"","family":"Hair","given":"J F","non-dropping-particle":"","parse-names":false,"suffix":""},{"dropping-particle":"","family":"Black","given":"W C","non-dropping-particle":"","parse-names":false,"suffix":""},{"dropping-particle":"","family":"Babin","given":"B J","non-dropping-particle":"","parse-names":false,"suffix":""},{"dropping-particle":"","family":"Anderson","given":"R E","non-dropping-particle":"","parse-names":false,"suffix":""}],"id":"ITEM-1","issued":{"date-parts":[["2009"]]},"publisher":"JOUR","title":"Multivariate Data Analysis 7th Edition Pearson Prentice Hall","type":"article"},"uris":["http://www.mendeley.com/documents/?uuid=fbd24a9e-1d36-4780-b259-4e77bcf784f4"]}],"mendeley":{"formattedCitation":"(Hair et al., 2009)","plainTextFormattedCitation":"(Hair et al., 2009)","previouslyFormattedCitation":"(Hair et al., 2009)"},"properties":{"noteIndex":0},"schema":"https://github.com/citation-style-language/schema/raw/master/csl-citation.json"}</w:instrText>
      </w:r>
      <w:r w:rsidRPr="00F42F80">
        <w:rPr>
          <w:rFonts w:ascii="Lustria" w:hAnsi="Lustria"/>
          <w:sz w:val="22"/>
          <w:szCs w:val="22"/>
        </w:rPr>
        <w:fldChar w:fldCharType="separate"/>
      </w:r>
      <w:r w:rsidRPr="00F42F80">
        <w:rPr>
          <w:rFonts w:ascii="Lustria" w:hAnsi="Lustria"/>
          <w:noProof/>
          <w:sz w:val="22"/>
          <w:szCs w:val="22"/>
        </w:rPr>
        <w:t>(Hair et al., 2009)</w:t>
      </w:r>
      <w:r w:rsidRPr="00F42F80">
        <w:rPr>
          <w:rFonts w:ascii="Lustria" w:hAnsi="Lustria"/>
          <w:sz w:val="22"/>
          <w:szCs w:val="22"/>
        </w:rPr>
        <w:fldChar w:fldCharType="end"/>
      </w:r>
      <w:r w:rsidRPr="00F42F80">
        <w:rPr>
          <w:rFonts w:ascii="Lustria" w:hAnsi="Lustria"/>
          <w:sz w:val="22"/>
          <w:szCs w:val="22"/>
        </w:rPr>
        <w:t xml:space="preserve">. </w:t>
      </w:r>
      <w:r w:rsidR="006B308A" w:rsidRPr="00F42F80">
        <w:rPr>
          <w:rFonts w:ascii="Lustria" w:hAnsi="Lustria"/>
          <w:sz w:val="22"/>
          <w:szCs w:val="22"/>
        </w:rPr>
        <w:t xml:space="preserve"> </w:t>
      </w:r>
      <w:r w:rsidRPr="00F42F80">
        <w:rPr>
          <w:rFonts w:ascii="Lustria" w:hAnsi="Lustria"/>
          <w:sz w:val="22"/>
          <w:szCs w:val="22"/>
        </w:rPr>
        <w:t xml:space="preserve">Meanwhile, Integration shows a significant positive effect on Attitude Toward Computer-Based Statistics at </w:t>
      </w:r>
      <w:r w:rsidRPr="00F42F80">
        <w:rPr>
          <w:rFonts w:ascii="Lustria" w:hAnsi="Lustria" w:cs="Cambria"/>
          <w:sz w:val="22"/>
          <w:szCs w:val="22"/>
        </w:rPr>
        <w:t>α</w:t>
      </w:r>
      <w:r w:rsidRPr="00F42F80">
        <w:rPr>
          <w:rFonts w:ascii="Lustria" w:hAnsi="Lustria"/>
          <w:sz w:val="22"/>
          <w:szCs w:val="22"/>
        </w:rPr>
        <w:t xml:space="preserve"> = 10% with a P-value = 0.055 (&lt;0.10). Task Orientation has a significant effect on Attitude Toward Computer-Based Statistics at </w:t>
      </w:r>
      <w:r w:rsidRPr="00F42F80">
        <w:rPr>
          <w:rFonts w:ascii="Lustria" w:hAnsi="Lustria" w:cs="Cambria"/>
          <w:sz w:val="22"/>
          <w:szCs w:val="22"/>
        </w:rPr>
        <w:t>α</w:t>
      </w:r>
      <w:r w:rsidRPr="00F42F80">
        <w:rPr>
          <w:rFonts w:ascii="Lustria" w:hAnsi="Lustria"/>
          <w:sz w:val="22"/>
          <w:szCs w:val="22"/>
        </w:rPr>
        <w:t xml:space="preserve"> = 5% with a p-value of 0.001 (&lt;0.05). This condition shows that the key to the student community's learning environment, which is an important antecedent in shaping the behavior of using computer-based statistics, is task orientation. Meanwhile, Integration has a subtle influence, and student cohesiveness does not show any contribution at all.</w:t>
      </w:r>
    </w:p>
    <w:p w14:paraId="7B1AE367" w14:textId="77777777" w:rsidR="006B308A" w:rsidRPr="00F42F80" w:rsidRDefault="006B308A" w:rsidP="00752D76">
      <w:pPr>
        <w:ind w:firstLine="709"/>
        <w:jc w:val="both"/>
        <w:rPr>
          <w:rFonts w:ascii="Lustria" w:hAnsi="Lustria"/>
          <w:sz w:val="22"/>
          <w:szCs w:val="22"/>
        </w:rPr>
      </w:pPr>
    </w:p>
    <w:p w14:paraId="08A3D62C" w14:textId="77777777" w:rsidR="006B308A" w:rsidRPr="00F42F80" w:rsidRDefault="006B308A" w:rsidP="00752D76">
      <w:pPr>
        <w:ind w:firstLine="709"/>
        <w:jc w:val="both"/>
        <w:rPr>
          <w:rFonts w:ascii="Lustria" w:hAnsi="Lustria"/>
          <w:sz w:val="22"/>
          <w:szCs w:val="22"/>
        </w:rPr>
      </w:pPr>
    </w:p>
    <w:p w14:paraId="35A76841" w14:textId="77777777" w:rsidR="006B308A" w:rsidRPr="00F42F80" w:rsidRDefault="006B308A" w:rsidP="00752D76">
      <w:pPr>
        <w:ind w:firstLine="709"/>
        <w:jc w:val="both"/>
        <w:rPr>
          <w:rFonts w:ascii="Lustria" w:hAnsi="Lustria"/>
          <w:sz w:val="22"/>
          <w:szCs w:val="22"/>
        </w:rPr>
      </w:pPr>
    </w:p>
    <w:p w14:paraId="42738238" w14:textId="105C07E4" w:rsidR="00752D76" w:rsidRPr="00F42F80" w:rsidRDefault="00752D76" w:rsidP="00752D76">
      <w:pPr>
        <w:ind w:firstLine="709"/>
        <w:jc w:val="both"/>
        <w:rPr>
          <w:rFonts w:ascii="Lustria" w:hAnsi="Lustria"/>
          <w:sz w:val="22"/>
          <w:szCs w:val="22"/>
        </w:rPr>
      </w:pPr>
      <w:r w:rsidRPr="00F42F80">
        <w:rPr>
          <w:rFonts w:ascii="Lustria" w:hAnsi="Lustria"/>
          <w:sz w:val="22"/>
          <w:szCs w:val="22"/>
        </w:rPr>
        <w:t xml:space="preserve">Furthermore, Attitude Toward Computer-Based Statistics shows a significant positive effect on Reuse Intention at </w:t>
      </w:r>
      <w:r w:rsidRPr="00F42F80">
        <w:rPr>
          <w:rFonts w:ascii="Lustria" w:hAnsi="Lustria" w:cs="Cambria"/>
          <w:sz w:val="22"/>
          <w:szCs w:val="22"/>
        </w:rPr>
        <w:t>α</w:t>
      </w:r>
      <w:r w:rsidRPr="00F42F80">
        <w:rPr>
          <w:rFonts w:ascii="Lustria" w:hAnsi="Lustria"/>
          <w:sz w:val="22"/>
          <w:szCs w:val="22"/>
        </w:rPr>
        <w:t xml:space="preserve"> = 5% with a p-value of 0.000 (&lt;0.05). This finding is important because Attitude Toward Computer-Based Statistics impacts the use of computer-based statistics further. As stated in previous research </w:t>
      </w:r>
      <w:r w:rsidRPr="00F42F80">
        <w:rPr>
          <w:rFonts w:ascii="Lustria" w:hAnsi="Lustria"/>
          <w:sz w:val="22"/>
          <w:szCs w:val="22"/>
        </w:rPr>
        <w:fldChar w:fldCharType="begin" w:fldLock="1"/>
      </w:r>
      <w:r w:rsidRPr="00F42F80">
        <w:rPr>
          <w:rFonts w:ascii="Lustria" w:hAnsi="Lustria"/>
          <w:sz w:val="22"/>
          <w:szCs w:val="22"/>
        </w:rPr>
        <w:instrText>ADDIN CSL_CITATION {"citationItems":[{"id":"ITEM-1","itemData":{"author":[{"dropping-particle":"","family":"Hafsah","given":"Hafsah","non-dropping-particle":"","parse-names":false,"suffix":""},{"dropping-particle":"","family":"Sagala","given":"Gaffar Hafiz","non-dropping-particle":"","parse-names":false,"suffix":""},{"dropping-particle":"","family":"Ramdhansyah","given":"Ramdhansyah","non-dropping-particle":"","parse-names":false,"suffix":""}],"container-title":"Dinamika Pendidikan","id":"ITEM-1","issue":"2","issued":{"date-parts":[["2018"]]},"page":"171-184","title":"Learning Community on Computer-Based Statistics Acceptance for Accounting Students","type":"article-journal","volume":"13"},"uris":["http://www.mendeley.com/documents/?uuid=2d2c6198-4818-486d-9e10-1a72dc58f8c7"]},{"id":"ITEM-2","itemData":{"author":[{"dropping-particle":"","family":"Sagala","given":"Gaffar Hafiz","non-dropping-particle":"","parse-names":false,"suffix":""},{"dropping-particle":"","family":"Zainal","given":"Andri","non-dropping-particle":"","parse-names":false,"suffix":""},{"dropping-particle":"","family":"Effiyanti","given":"Tri","non-dropping-particle":"","parse-names":false,"suffix":""}],"container-title":"Proceedings of MAC","id":"ITEM-2","issued":{"date-parts":[["2017"]]},"title":"Attitude Toward Computer-Based Statistics Among Pre-Service Teacher Candidates","type":"article-journal","volume":"366"},"uris":["http://www.mendeley.com/documents/?uuid=b9e20ce8-f7cd-40aa-8d0a-289640d23e3d"]}],"mendeley":{"formattedCitation":"(Hafsah et al., 2018; Sagala et al., 2017)","plainTextFormattedCitation":"(Hafsah et al., 2018; Sagala et al., 2017)","previouslyFormattedCitation":"(Hafsah et al., 2018; Sagala et al., 2017)"},"properties":{"noteIndex":0},"schema":"https://github.com/citation-style-language/schema/raw/master/csl-citation.json"}</w:instrText>
      </w:r>
      <w:r w:rsidRPr="00F42F80">
        <w:rPr>
          <w:rFonts w:ascii="Lustria" w:hAnsi="Lustria"/>
          <w:sz w:val="22"/>
          <w:szCs w:val="22"/>
        </w:rPr>
        <w:fldChar w:fldCharType="separate"/>
      </w:r>
      <w:r w:rsidRPr="00F42F80">
        <w:rPr>
          <w:rFonts w:ascii="Lustria" w:hAnsi="Lustria"/>
          <w:noProof/>
          <w:sz w:val="22"/>
          <w:szCs w:val="22"/>
        </w:rPr>
        <w:t>(Hafsah et al., 2018; Sagala et al., 2017)</w:t>
      </w:r>
      <w:r w:rsidRPr="00F42F80">
        <w:rPr>
          <w:rFonts w:ascii="Lustria" w:hAnsi="Lustria"/>
          <w:sz w:val="22"/>
          <w:szCs w:val="22"/>
        </w:rPr>
        <w:fldChar w:fldCharType="end"/>
      </w:r>
      <w:r w:rsidRPr="00F42F80">
        <w:rPr>
          <w:rFonts w:ascii="Lustria" w:hAnsi="Lustria"/>
          <w:sz w:val="22"/>
          <w:szCs w:val="22"/>
        </w:rPr>
        <w:t>, statistical mastery is an important instrument for accounting and business students today. Computer-based statistics will also increase business professionals' productivity and efficiency, and accountants in working using statistical analysis. The capacity building for using Computer-Based Statistics will prepare students to become competitive business professionals and accountants, considering that knowledge capacity is an important issue in winning the market.</w:t>
      </w:r>
    </w:p>
    <w:p w14:paraId="62DC28A5" w14:textId="77777777" w:rsidR="00475D06" w:rsidRPr="00F42F80" w:rsidRDefault="00475D06" w:rsidP="00475D06">
      <w:pPr>
        <w:pBdr>
          <w:top w:val="nil"/>
          <w:left w:val="nil"/>
          <w:bottom w:val="nil"/>
          <w:right w:val="nil"/>
          <w:between w:val="nil"/>
        </w:pBdr>
        <w:spacing w:line="276" w:lineRule="auto"/>
        <w:jc w:val="both"/>
        <w:rPr>
          <w:rFonts w:ascii="Lustria" w:eastAsia="Lustria" w:hAnsi="Lustria" w:cs="Lustria"/>
          <w:iCs/>
          <w:color w:val="00B0F0"/>
          <w:sz w:val="22"/>
          <w:szCs w:val="22"/>
        </w:rPr>
      </w:pPr>
    </w:p>
    <w:p w14:paraId="60AAB41F" w14:textId="70419BFA" w:rsidR="00E74908" w:rsidRPr="00F42F80" w:rsidRDefault="00E74908" w:rsidP="00475D06">
      <w:pPr>
        <w:pBdr>
          <w:top w:val="nil"/>
          <w:left w:val="nil"/>
          <w:bottom w:val="nil"/>
          <w:right w:val="nil"/>
          <w:between w:val="nil"/>
        </w:pBdr>
        <w:spacing w:line="276" w:lineRule="auto"/>
        <w:jc w:val="both"/>
        <w:rPr>
          <w:rFonts w:ascii="Lustria" w:eastAsia="Lustria" w:hAnsi="Lustria" w:cs="Lustria"/>
          <w:b/>
          <w:color w:val="000000"/>
          <w:sz w:val="22"/>
          <w:szCs w:val="22"/>
        </w:rPr>
      </w:pPr>
      <w:r w:rsidRPr="00F42F80">
        <w:rPr>
          <w:rFonts w:ascii="Lustria" w:hAnsi="Lustria"/>
          <w:noProof/>
        </w:rPr>
        <w:lastRenderedPageBreak/>
        <w:drawing>
          <wp:anchor distT="0" distB="0" distL="114300" distR="114300" simplePos="0" relativeHeight="251673600" behindDoc="0" locked="0" layoutInCell="1" allowOverlap="1" wp14:anchorId="7B75D3A0" wp14:editId="619E2E59">
            <wp:simplePos x="0" y="0"/>
            <wp:positionH relativeFrom="margin">
              <wp:align>center</wp:align>
            </wp:positionH>
            <wp:positionV relativeFrom="paragraph">
              <wp:posOffset>0</wp:posOffset>
            </wp:positionV>
            <wp:extent cx="4617720" cy="43281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val="0"/>
                        </a:ext>
                      </a:extLst>
                    </a:blip>
                    <a:srcRect t="18387"/>
                    <a:stretch/>
                  </pic:blipFill>
                  <pic:spPr bwMode="auto">
                    <a:xfrm>
                      <a:off x="0" y="0"/>
                      <a:ext cx="4617720" cy="4328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DA05C8" w14:textId="4190EF85" w:rsidR="00440DD7" w:rsidRPr="00F42F80" w:rsidRDefault="00E74908" w:rsidP="00475D06">
      <w:pPr>
        <w:pBdr>
          <w:top w:val="nil"/>
          <w:left w:val="nil"/>
          <w:bottom w:val="nil"/>
          <w:right w:val="nil"/>
          <w:between w:val="nil"/>
        </w:pBdr>
        <w:spacing w:line="276" w:lineRule="auto"/>
        <w:jc w:val="both"/>
        <w:rPr>
          <w:rFonts w:ascii="Lustria" w:eastAsia="Lustria" w:hAnsi="Lustria" w:cs="Lustria"/>
          <w:i/>
          <w:color w:val="00B0F0"/>
          <w:sz w:val="22"/>
          <w:szCs w:val="22"/>
        </w:rPr>
      </w:pPr>
      <w:r w:rsidRPr="00F42F80">
        <w:rPr>
          <w:rFonts w:ascii="Lustria" w:eastAsia="Lustria" w:hAnsi="Lustria" w:cs="Lustria"/>
          <w:b/>
          <w:color w:val="000000"/>
          <w:sz w:val="22"/>
          <w:szCs w:val="22"/>
        </w:rPr>
        <w:t xml:space="preserve">Figure </w:t>
      </w:r>
      <w:r w:rsidR="006B308A" w:rsidRPr="00F42F80">
        <w:rPr>
          <w:rFonts w:ascii="Lustria" w:eastAsia="Lustria" w:hAnsi="Lustria" w:cs="Lustria"/>
          <w:b/>
          <w:color w:val="000000"/>
          <w:sz w:val="22"/>
          <w:szCs w:val="22"/>
        </w:rPr>
        <w:t>2</w:t>
      </w:r>
      <w:r w:rsidRPr="00F42F80">
        <w:rPr>
          <w:rFonts w:ascii="Lustria" w:eastAsia="Lustria" w:hAnsi="Lustria" w:cs="Lustria"/>
          <w:b/>
          <w:color w:val="000000"/>
          <w:sz w:val="22"/>
          <w:szCs w:val="22"/>
        </w:rPr>
        <w:t>.</w:t>
      </w:r>
      <w:r w:rsidRPr="00F42F80">
        <w:rPr>
          <w:rFonts w:ascii="Lustria" w:eastAsia="Lustria" w:hAnsi="Lustria" w:cs="Lustria"/>
          <w:color w:val="000000"/>
          <w:sz w:val="22"/>
          <w:szCs w:val="22"/>
        </w:rPr>
        <w:t xml:space="preserve">  </w:t>
      </w:r>
      <w:r w:rsidR="006B308A" w:rsidRPr="00F42F80">
        <w:rPr>
          <w:rFonts w:ascii="Lustria" w:eastAsia="Lustria" w:hAnsi="Lustria" w:cs="Lustria"/>
          <w:color w:val="000000"/>
          <w:sz w:val="22"/>
          <w:szCs w:val="22"/>
        </w:rPr>
        <w:t>Structural Model</w:t>
      </w:r>
    </w:p>
    <w:p w14:paraId="13965188" w14:textId="2581CBA4" w:rsidR="00440DD7" w:rsidRPr="00F42F80" w:rsidRDefault="00440DD7">
      <w:pPr>
        <w:pBdr>
          <w:top w:val="nil"/>
          <w:left w:val="nil"/>
          <w:bottom w:val="nil"/>
          <w:right w:val="nil"/>
          <w:between w:val="nil"/>
        </w:pBdr>
        <w:tabs>
          <w:tab w:val="left" w:pos="426"/>
        </w:tabs>
        <w:rPr>
          <w:rFonts w:ascii="Lustria" w:eastAsia="Lustria" w:hAnsi="Lustria" w:cs="Lustria"/>
          <w:b/>
          <w:smallCaps/>
          <w:color w:val="000000"/>
          <w:sz w:val="24"/>
          <w:szCs w:val="24"/>
        </w:rPr>
      </w:pPr>
    </w:p>
    <w:p w14:paraId="08C27B24" w14:textId="77777777" w:rsidR="00440DD7" w:rsidRPr="00F42F80" w:rsidRDefault="00E74908">
      <w:pPr>
        <w:pBdr>
          <w:top w:val="nil"/>
          <w:left w:val="nil"/>
          <w:bottom w:val="nil"/>
          <w:right w:val="nil"/>
          <w:between w:val="nil"/>
        </w:pBdr>
        <w:tabs>
          <w:tab w:val="left" w:pos="426"/>
        </w:tabs>
        <w:rPr>
          <w:rFonts w:ascii="Lustria" w:eastAsia="Lustria" w:hAnsi="Lustria" w:cs="Lustria"/>
          <w:b/>
          <w:i/>
          <w:color w:val="00B0F0"/>
        </w:rPr>
      </w:pPr>
      <w:r w:rsidRPr="00F42F80">
        <w:rPr>
          <w:rFonts w:ascii="Lustria" w:eastAsia="Lustria" w:hAnsi="Lustria" w:cs="Lustria"/>
          <w:b/>
          <w:smallCaps/>
          <w:color w:val="000000"/>
          <w:sz w:val="24"/>
          <w:szCs w:val="24"/>
        </w:rPr>
        <w:t xml:space="preserve">CONCLUSION </w:t>
      </w:r>
      <w:r w:rsidRPr="00F42F80">
        <w:rPr>
          <w:rFonts w:ascii="Lustria" w:eastAsia="Lustria" w:hAnsi="Lustria" w:cs="Lustria"/>
          <w:b/>
          <w:i/>
          <w:color w:val="00B0F0"/>
        </w:rPr>
        <w:t>(Shortcut: Alt+Ctrl+B)</w:t>
      </w:r>
    </w:p>
    <w:p w14:paraId="27FAD86A" w14:textId="77777777" w:rsidR="00440DD7" w:rsidRPr="00F42F80" w:rsidRDefault="00440DD7">
      <w:pPr>
        <w:pBdr>
          <w:top w:val="nil"/>
          <w:left w:val="nil"/>
          <w:bottom w:val="nil"/>
          <w:right w:val="nil"/>
          <w:between w:val="nil"/>
        </w:pBdr>
        <w:spacing w:line="276" w:lineRule="auto"/>
        <w:ind w:firstLine="567"/>
        <w:jc w:val="both"/>
        <w:rPr>
          <w:rFonts w:ascii="Lustria" w:eastAsia="Lustria" w:hAnsi="Lustria" w:cs="Lustria"/>
          <w:color w:val="000000"/>
          <w:sz w:val="22"/>
          <w:szCs w:val="22"/>
        </w:rPr>
      </w:pPr>
    </w:p>
    <w:p w14:paraId="361C6455" w14:textId="0C64F1CA" w:rsidR="00E74908" w:rsidRPr="00F42F80" w:rsidRDefault="00E74908" w:rsidP="00E74908">
      <w:pPr>
        <w:pStyle w:val="Heading1"/>
        <w:widowControl w:val="0"/>
        <w:autoSpaceDE w:val="0"/>
        <w:autoSpaceDN w:val="0"/>
        <w:spacing w:line="240" w:lineRule="auto"/>
        <w:ind w:right="6" w:firstLine="567"/>
        <w:jc w:val="both"/>
        <w:rPr>
          <w:rFonts w:ascii="Lustria" w:eastAsiaTheme="minorHAnsi" w:hAnsi="Lustria" w:cstheme="minorBidi"/>
          <w:b w:val="0"/>
          <w:bCs w:val="0"/>
          <w:sz w:val="22"/>
          <w:szCs w:val="22"/>
          <w:lang w:val="en-US" w:eastAsia="en-US"/>
        </w:rPr>
      </w:pPr>
      <w:r w:rsidRPr="00F42F80">
        <w:rPr>
          <w:rFonts w:ascii="Lustria" w:eastAsiaTheme="minorHAnsi" w:hAnsi="Lustria" w:cstheme="minorBidi"/>
          <w:b w:val="0"/>
          <w:bCs w:val="0"/>
          <w:sz w:val="22"/>
          <w:szCs w:val="22"/>
          <w:lang w:val="en-US" w:eastAsia="en-US"/>
        </w:rPr>
        <w:t xml:space="preserve">This study explores the dynamics of learning that occur in the learning community at the Faculty of Economics. Learning dynamics in terms of the learning environment's construct with three dimensions, namely 1) integration, 2) student cohesiveness, and 3) task orientation. These constructs are then associated with Attitude Toward Computer-Based Statistics built by IT acceptance dimensions, namely 1) Perceived Ease of Use; 2) Perceived Usefulness, and 3) Perceived Enjoyment. Then, Attitude Toward Computer-Based Statistics is tested for its effect on Reuse Intention. </w:t>
      </w:r>
    </w:p>
    <w:p w14:paraId="179C839D" w14:textId="77777777" w:rsidR="00E74908" w:rsidRPr="00F42F80" w:rsidRDefault="00E74908" w:rsidP="00E74908">
      <w:pPr>
        <w:rPr>
          <w:rFonts w:ascii="Lustria" w:eastAsiaTheme="minorHAnsi" w:hAnsi="Lustria"/>
          <w:lang w:val="en-US" w:eastAsia="en-US"/>
        </w:rPr>
      </w:pPr>
    </w:p>
    <w:p w14:paraId="1E528D4C" w14:textId="77777777" w:rsidR="00E74908" w:rsidRPr="00F42F80" w:rsidRDefault="00E74908" w:rsidP="00E74908">
      <w:pPr>
        <w:pStyle w:val="Heading1"/>
        <w:widowControl w:val="0"/>
        <w:autoSpaceDE w:val="0"/>
        <w:autoSpaceDN w:val="0"/>
        <w:spacing w:line="240" w:lineRule="auto"/>
        <w:ind w:right="6" w:firstLine="567"/>
        <w:jc w:val="both"/>
        <w:rPr>
          <w:rFonts w:ascii="Lustria" w:eastAsiaTheme="minorHAnsi" w:hAnsi="Lustria" w:cstheme="minorBidi"/>
          <w:b w:val="0"/>
          <w:bCs w:val="0"/>
          <w:sz w:val="22"/>
          <w:szCs w:val="22"/>
          <w:lang w:val="en-US" w:eastAsia="en-US"/>
        </w:rPr>
      </w:pPr>
    </w:p>
    <w:p w14:paraId="7C5A742F" w14:textId="77777777" w:rsidR="00E74908" w:rsidRPr="00F42F80" w:rsidRDefault="00E74908" w:rsidP="00E74908">
      <w:pPr>
        <w:pStyle w:val="Heading1"/>
        <w:widowControl w:val="0"/>
        <w:autoSpaceDE w:val="0"/>
        <w:autoSpaceDN w:val="0"/>
        <w:spacing w:line="240" w:lineRule="auto"/>
        <w:ind w:right="6" w:firstLine="567"/>
        <w:jc w:val="both"/>
        <w:rPr>
          <w:rFonts w:ascii="Lustria" w:eastAsiaTheme="minorHAnsi" w:hAnsi="Lustria" w:cstheme="minorBidi"/>
          <w:b w:val="0"/>
          <w:bCs w:val="0"/>
          <w:sz w:val="22"/>
          <w:szCs w:val="22"/>
          <w:lang w:val="en-US" w:eastAsia="en-US"/>
        </w:rPr>
      </w:pPr>
    </w:p>
    <w:p w14:paraId="2D70A9E4" w14:textId="77777777" w:rsidR="00E74908" w:rsidRPr="00F42F80" w:rsidRDefault="00E74908" w:rsidP="00E74908">
      <w:pPr>
        <w:pStyle w:val="Heading1"/>
        <w:widowControl w:val="0"/>
        <w:autoSpaceDE w:val="0"/>
        <w:autoSpaceDN w:val="0"/>
        <w:spacing w:line="240" w:lineRule="auto"/>
        <w:ind w:right="6" w:firstLine="567"/>
        <w:jc w:val="both"/>
        <w:rPr>
          <w:rFonts w:ascii="Lustria" w:eastAsiaTheme="minorHAnsi" w:hAnsi="Lustria" w:cstheme="minorBidi"/>
          <w:b w:val="0"/>
          <w:bCs w:val="0"/>
          <w:sz w:val="22"/>
          <w:szCs w:val="22"/>
          <w:lang w:val="en-US" w:eastAsia="en-US"/>
        </w:rPr>
      </w:pPr>
    </w:p>
    <w:p w14:paraId="50AA4117" w14:textId="259B7B3A" w:rsidR="00E74908" w:rsidRPr="00F42F80" w:rsidRDefault="00E74908" w:rsidP="00E74908">
      <w:pPr>
        <w:pStyle w:val="Heading1"/>
        <w:widowControl w:val="0"/>
        <w:autoSpaceDE w:val="0"/>
        <w:autoSpaceDN w:val="0"/>
        <w:spacing w:line="240" w:lineRule="auto"/>
        <w:ind w:right="6" w:firstLine="567"/>
        <w:jc w:val="both"/>
        <w:rPr>
          <w:rFonts w:ascii="Lustria" w:eastAsiaTheme="minorHAnsi" w:hAnsi="Lustria" w:cstheme="minorBidi"/>
          <w:b w:val="0"/>
          <w:bCs w:val="0"/>
          <w:sz w:val="22"/>
          <w:szCs w:val="22"/>
          <w:lang w:val="en-US" w:eastAsia="en-US"/>
        </w:rPr>
      </w:pPr>
      <w:r w:rsidRPr="00F42F80">
        <w:rPr>
          <w:rFonts w:ascii="Lustria" w:eastAsiaTheme="minorHAnsi" w:hAnsi="Lustria" w:cstheme="minorBidi"/>
          <w:b w:val="0"/>
          <w:bCs w:val="0"/>
          <w:sz w:val="22"/>
          <w:szCs w:val="22"/>
          <w:lang w:val="en-US" w:eastAsia="en-US"/>
        </w:rPr>
        <w:t xml:space="preserve">This study uses the second-order factor analysis to test the validity of the dimensions of Attitude Toward Computer-Based Statistics. The data analysis results show that each dimension offered can represent the construct of Attitude Toward Computer-Based Statistics. Furthermore, this study examines each construct that forms the learning environment using SEM. Interestingly, not all dimensions of the learning environment show the influence on Attitude Toward Computer-Based Statistics. Only Task Orientation has a significant effect, while Integration has a moderate effect. </w:t>
      </w:r>
      <w:r w:rsidR="002C2F0A" w:rsidRPr="00F42F80">
        <w:rPr>
          <w:rFonts w:ascii="Lustria" w:eastAsiaTheme="minorHAnsi" w:hAnsi="Lustria" w:cstheme="minorBidi"/>
          <w:b w:val="0"/>
          <w:bCs w:val="0"/>
          <w:sz w:val="22"/>
          <w:szCs w:val="22"/>
          <w:lang w:val="en-US" w:eastAsia="en-US"/>
        </w:rPr>
        <w:t>However</w:t>
      </w:r>
      <w:r w:rsidRPr="00F42F80">
        <w:rPr>
          <w:rFonts w:ascii="Lustria" w:eastAsiaTheme="minorHAnsi" w:hAnsi="Lustria" w:cstheme="minorBidi"/>
          <w:b w:val="0"/>
          <w:bCs w:val="0"/>
          <w:sz w:val="22"/>
          <w:szCs w:val="22"/>
          <w:lang w:val="en-US" w:eastAsia="en-US"/>
        </w:rPr>
        <w:t xml:space="preserve">, Attitude Toward Computer-Based Statistics shows a significant effect on reuse intention. </w:t>
      </w:r>
    </w:p>
    <w:p w14:paraId="2E90012C" w14:textId="2190C651" w:rsidR="00E74908" w:rsidRPr="00F42F80" w:rsidRDefault="00E74908" w:rsidP="00E74908">
      <w:pPr>
        <w:pStyle w:val="Heading1"/>
        <w:spacing w:line="240" w:lineRule="auto"/>
        <w:ind w:right="6" w:firstLine="567"/>
        <w:jc w:val="both"/>
        <w:rPr>
          <w:rFonts w:ascii="Lustria" w:eastAsiaTheme="minorHAnsi" w:hAnsi="Lustria" w:cstheme="minorBidi"/>
          <w:b w:val="0"/>
          <w:bCs w:val="0"/>
          <w:sz w:val="22"/>
          <w:szCs w:val="22"/>
          <w:lang w:val="en-US" w:eastAsia="en-US"/>
        </w:rPr>
      </w:pPr>
      <w:r w:rsidRPr="00F42F80">
        <w:rPr>
          <w:rFonts w:ascii="Lustria" w:eastAsiaTheme="minorHAnsi" w:hAnsi="Lustria" w:cstheme="minorBidi"/>
          <w:b w:val="0"/>
          <w:bCs w:val="0"/>
          <w:sz w:val="22"/>
          <w:szCs w:val="22"/>
          <w:lang w:val="en-US" w:eastAsia="en-US"/>
        </w:rPr>
        <w:t xml:space="preserve">This </w:t>
      </w:r>
      <w:r w:rsidR="002C2F0A" w:rsidRPr="00F42F80">
        <w:rPr>
          <w:rFonts w:ascii="Lustria" w:eastAsiaTheme="minorHAnsi" w:hAnsi="Lustria" w:cstheme="minorBidi"/>
          <w:b w:val="0"/>
          <w:bCs w:val="0"/>
          <w:sz w:val="22"/>
          <w:szCs w:val="22"/>
          <w:lang w:val="en-US" w:eastAsia="en-US"/>
        </w:rPr>
        <w:t xml:space="preserve">findings </w:t>
      </w:r>
      <w:r w:rsidRPr="00F42F80">
        <w:rPr>
          <w:rFonts w:ascii="Lustria" w:eastAsiaTheme="minorHAnsi" w:hAnsi="Lustria" w:cstheme="minorBidi"/>
          <w:b w:val="0"/>
          <w:bCs w:val="0"/>
          <w:sz w:val="22"/>
          <w:szCs w:val="22"/>
          <w:lang w:val="en-US" w:eastAsia="en-US"/>
        </w:rPr>
        <w:t xml:space="preserve">complements the </w:t>
      </w:r>
      <w:r w:rsidR="002C2F0A" w:rsidRPr="00F42F80">
        <w:rPr>
          <w:rFonts w:ascii="Lustria" w:eastAsiaTheme="minorHAnsi" w:hAnsi="Lustria" w:cstheme="minorBidi"/>
          <w:b w:val="0"/>
          <w:bCs w:val="0"/>
          <w:sz w:val="22"/>
          <w:szCs w:val="22"/>
          <w:lang w:val="en-US" w:eastAsia="en-US"/>
        </w:rPr>
        <w:t xml:space="preserve">study </w:t>
      </w:r>
      <w:r w:rsidRPr="00F42F80">
        <w:rPr>
          <w:rFonts w:ascii="Lustria" w:eastAsiaTheme="minorHAnsi" w:hAnsi="Lustria" w:cstheme="minorBidi"/>
          <w:b w:val="0"/>
          <w:bCs w:val="0"/>
          <w:sz w:val="22"/>
          <w:szCs w:val="22"/>
          <w:lang w:val="en-US" w:eastAsia="en-US"/>
        </w:rPr>
        <w:t xml:space="preserve">of </w:t>
      </w:r>
      <w:r w:rsidRPr="00F42F80">
        <w:rPr>
          <w:rFonts w:ascii="Lustria" w:eastAsiaTheme="minorHAnsi" w:hAnsi="Lustria" w:cstheme="minorBidi"/>
          <w:b w:val="0"/>
          <w:bCs w:val="0"/>
          <w:sz w:val="22"/>
          <w:szCs w:val="22"/>
          <w:lang w:val="en-US" w:eastAsia="en-US"/>
        </w:rPr>
        <w:fldChar w:fldCharType="begin" w:fldLock="1"/>
      </w:r>
      <w:r w:rsidRPr="00F42F80">
        <w:rPr>
          <w:rFonts w:ascii="Lustria" w:eastAsiaTheme="minorHAnsi" w:hAnsi="Lustria" w:cstheme="minorBidi"/>
          <w:b w:val="0"/>
          <w:bCs w:val="0"/>
          <w:sz w:val="22"/>
          <w:szCs w:val="22"/>
          <w:lang w:val="en-US" w:eastAsia="en-US"/>
        </w:rPr>
        <w:instrText>ADDIN CSL_CITATION {"citationItems":[{"id":"ITEM-1","itemData":{"DOI":"10.5220/0009492300490057","author":[{"dropping-particle":"","family":"Hasibuan","given":"A.","non-dropping-particle":"","parse-names":false,"suffix":""},{"dropping-particle":"","family":"Sagala","given":"G.","non-dropping-particle":"","parse-names":false,"suffix":""},{"dropping-particle":"","family":"Silaban","given":"S.","non-dropping-particle":"","parse-names":false,"suffix":""},{"dropping-particle":"","family":"Simanjuntak","given":"A.","non-dropping-particle":"","parse-names":false,"suffix":""},{"dropping-particle":"","family":"Rahmah","given":"A","non-dropping-particle":"","parse-names":false,"suffix":""}],"container-title":"1st Unimed International Conference on Economics Education and Social Science","id":"ITEM-1","issued":{"date-parts":[["2020"]]},"page":"49-57","publisher":"Proceedings of UNICEES-Volume 1","title":"Accounting Club and Its Impact on Academic Performance of Accounting Students","type":"paper-conference"},"uris":["http://www.mendeley.com/documents/?uuid=25f81e8f-24bd-41d3-a7ce-0e847e332be2"]}],"mendeley":{"formattedCitation":"(Hasibuan et al., 2020)","manualFormatting":"Hasibuan et al. (2020)","plainTextFormattedCitation":"(Hasibuan et al., 2020)","previouslyFormattedCitation":"(Hasibuan et al., 2020)"},"properties":{"noteIndex":0},"schema":"https://github.com/citation-style-language/schema/raw/master/csl-citation.json"}</w:instrText>
      </w:r>
      <w:r w:rsidRPr="00F42F80">
        <w:rPr>
          <w:rFonts w:ascii="Lustria" w:eastAsiaTheme="minorHAnsi" w:hAnsi="Lustria" w:cstheme="minorBidi"/>
          <w:b w:val="0"/>
          <w:bCs w:val="0"/>
          <w:sz w:val="22"/>
          <w:szCs w:val="22"/>
          <w:lang w:val="en-US" w:eastAsia="en-US"/>
        </w:rPr>
        <w:fldChar w:fldCharType="separate"/>
      </w:r>
      <w:r w:rsidRPr="00F42F80">
        <w:rPr>
          <w:rFonts w:ascii="Lustria" w:eastAsiaTheme="minorHAnsi" w:hAnsi="Lustria" w:cstheme="minorBidi"/>
          <w:b w:val="0"/>
          <w:bCs w:val="0"/>
          <w:noProof/>
          <w:sz w:val="22"/>
          <w:szCs w:val="22"/>
          <w:lang w:val="en-US" w:eastAsia="en-US"/>
        </w:rPr>
        <w:t>Hasibuan et al. (2020)</w:t>
      </w:r>
      <w:r w:rsidRPr="00F42F80">
        <w:rPr>
          <w:rFonts w:ascii="Lustria" w:eastAsiaTheme="minorHAnsi" w:hAnsi="Lustria" w:cstheme="minorBidi"/>
          <w:b w:val="0"/>
          <w:bCs w:val="0"/>
          <w:sz w:val="22"/>
          <w:szCs w:val="22"/>
          <w:lang w:val="en-US" w:eastAsia="en-US"/>
        </w:rPr>
        <w:fldChar w:fldCharType="end"/>
      </w:r>
      <w:r w:rsidRPr="00F42F80">
        <w:rPr>
          <w:rFonts w:ascii="Lustria" w:eastAsiaTheme="minorHAnsi" w:hAnsi="Lustria" w:cstheme="minorBidi"/>
          <w:b w:val="0"/>
          <w:bCs w:val="0"/>
          <w:sz w:val="22"/>
          <w:szCs w:val="22"/>
          <w:lang w:val="en-US" w:eastAsia="en-US"/>
        </w:rPr>
        <w:t xml:space="preserve">, </w:t>
      </w:r>
      <w:r w:rsidRPr="00F42F80">
        <w:rPr>
          <w:rFonts w:ascii="Lustria" w:eastAsiaTheme="minorHAnsi" w:hAnsi="Lustria" w:cstheme="minorBidi"/>
          <w:b w:val="0"/>
          <w:bCs w:val="0"/>
          <w:sz w:val="22"/>
          <w:szCs w:val="22"/>
          <w:lang w:val="en-US" w:eastAsia="en-US"/>
        </w:rPr>
        <w:fldChar w:fldCharType="begin" w:fldLock="1"/>
      </w:r>
      <w:r w:rsidRPr="00F42F80">
        <w:rPr>
          <w:rFonts w:ascii="Lustria" w:eastAsiaTheme="minorHAnsi" w:hAnsi="Lustria" w:cstheme="minorBidi"/>
          <w:b w:val="0"/>
          <w:bCs w:val="0"/>
          <w:sz w:val="22"/>
          <w:szCs w:val="22"/>
          <w:lang w:val="en-US" w:eastAsia="en-US"/>
        </w:rPr>
        <w:instrText>ADDIN CSL_CITATION {"citationItems":[{"id":"ITEM-1","itemData":{"author":[{"dropping-particle":"","family":"Hafsah","given":"Hafsah","non-dropping-particle":"","parse-names":false,"suffix":""},{"dropping-particle":"","family":"Sagala","given":"Gaffar Hafiz","non-dropping-particle":"","parse-names":false,"suffix":""},{"dropping-particle":"","family":"Ramdhansyah","given":"Ramdhansyah","non-dropping-particle":"","parse-names":false,"suffix":""}],"container-title":"Dinamika Pendidikan","id":"ITEM-1","issue":"2","issued":{"date-parts":[["2018"]]},"page":"171-184","title":"Learning Community on Computer-Based Statistics Acceptance for Accounting Students","type":"article-journal","volume":"13"},"uris":["http://www.mendeley.com/documents/?uuid=2d2c6198-4818-486d-9e10-1a72dc58f8c7"]}],"mendeley":{"formattedCitation":"(Hafsah et al., 2018)","manualFormatting":"Hafsah et al. (2018)","plainTextFormattedCitation":"(Hafsah et al., 2018)","previouslyFormattedCitation":"(Hafsah et al., 2018)"},"properties":{"noteIndex":0},"schema":"https://github.com/citation-style-language/schema/raw/master/csl-citation.json"}</w:instrText>
      </w:r>
      <w:r w:rsidRPr="00F42F80">
        <w:rPr>
          <w:rFonts w:ascii="Lustria" w:eastAsiaTheme="minorHAnsi" w:hAnsi="Lustria" w:cstheme="minorBidi"/>
          <w:b w:val="0"/>
          <w:bCs w:val="0"/>
          <w:sz w:val="22"/>
          <w:szCs w:val="22"/>
          <w:lang w:val="en-US" w:eastAsia="en-US"/>
        </w:rPr>
        <w:fldChar w:fldCharType="separate"/>
      </w:r>
      <w:r w:rsidRPr="00F42F80">
        <w:rPr>
          <w:rFonts w:ascii="Lustria" w:eastAsiaTheme="minorHAnsi" w:hAnsi="Lustria" w:cstheme="minorBidi"/>
          <w:b w:val="0"/>
          <w:bCs w:val="0"/>
          <w:noProof/>
          <w:sz w:val="22"/>
          <w:szCs w:val="22"/>
          <w:lang w:val="en-US" w:eastAsia="en-US"/>
        </w:rPr>
        <w:t>Hafsah et al. (2018)</w:t>
      </w:r>
      <w:r w:rsidRPr="00F42F80">
        <w:rPr>
          <w:rFonts w:ascii="Lustria" w:eastAsiaTheme="minorHAnsi" w:hAnsi="Lustria" w:cstheme="minorBidi"/>
          <w:b w:val="0"/>
          <w:bCs w:val="0"/>
          <w:sz w:val="22"/>
          <w:szCs w:val="22"/>
          <w:lang w:val="en-US" w:eastAsia="en-US"/>
        </w:rPr>
        <w:fldChar w:fldCharType="end"/>
      </w:r>
      <w:r w:rsidRPr="00F42F80">
        <w:rPr>
          <w:rFonts w:ascii="Lustria" w:eastAsiaTheme="minorHAnsi" w:hAnsi="Lustria" w:cstheme="minorBidi"/>
          <w:b w:val="0"/>
          <w:bCs w:val="0"/>
          <w:sz w:val="22"/>
          <w:szCs w:val="22"/>
          <w:lang w:val="en-US" w:eastAsia="en-US"/>
        </w:rPr>
        <w:t xml:space="preserve">, and </w:t>
      </w:r>
      <w:r w:rsidRPr="00F42F80">
        <w:rPr>
          <w:rFonts w:ascii="Lustria" w:eastAsiaTheme="minorHAnsi" w:hAnsi="Lustria" w:cstheme="minorBidi"/>
          <w:b w:val="0"/>
          <w:bCs w:val="0"/>
          <w:sz w:val="22"/>
          <w:szCs w:val="22"/>
          <w:lang w:val="en-US" w:eastAsia="en-US"/>
        </w:rPr>
        <w:fldChar w:fldCharType="begin" w:fldLock="1"/>
      </w:r>
      <w:r w:rsidRPr="00F42F80">
        <w:rPr>
          <w:rFonts w:ascii="Lustria" w:eastAsiaTheme="minorHAnsi" w:hAnsi="Lustria" w:cstheme="minorBidi"/>
          <w:b w:val="0"/>
          <w:bCs w:val="0"/>
          <w:sz w:val="22"/>
          <w:szCs w:val="22"/>
          <w:lang w:val="en-US" w:eastAsia="en-US"/>
        </w:rPr>
        <w:instrText>ADDIN CSL_CITATION {"citationItems":[{"id":"ITEM-1","itemData":{"author":[{"dropping-particle":"","family":"Sagala","given":"Gaffar Hafiz","non-dropping-particle":"","parse-names":false,"suffix":""},{"dropping-particle":"","family":"Zainal","given":"Andri","non-dropping-particle":"","parse-names":false,"suffix":""},{"dropping-particle":"","family":"Effiyanti","given":"Tri","non-dropping-particle":"","parse-names":false,"suffix":""}],"container-title":"Proceedings of MAC","id":"ITEM-1","issued":{"date-parts":[["2017"]]},"title":"Attitude Toward Computer-Based Statistics Among Pre-Service Teacher Candidates","type":"article-journal","volume":"366"},"uris":["http://www.mendeley.com/documents/?uuid=b9e20ce8-f7cd-40aa-8d0a-289640d23e3d"]}],"mendeley":{"formattedCitation":"(Sagala et al., 2017)","manualFormatting":"Sagala et al. (2017)","plainTextFormattedCitation":"(Sagala et al., 2017)","previouslyFormattedCitation":"(Sagala et al., 2017)"},"properties":{"noteIndex":0},"schema":"https://github.com/citation-style-language/schema/raw/master/csl-citation.json"}</w:instrText>
      </w:r>
      <w:r w:rsidRPr="00F42F80">
        <w:rPr>
          <w:rFonts w:ascii="Lustria" w:eastAsiaTheme="minorHAnsi" w:hAnsi="Lustria" w:cstheme="minorBidi"/>
          <w:b w:val="0"/>
          <w:bCs w:val="0"/>
          <w:sz w:val="22"/>
          <w:szCs w:val="22"/>
          <w:lang w:val="en-US" w:eastAsia="en-US"/>
        </w:rPr>
        <w:fldChar w:fldCharType="separate"/>
      </w:r>
      <w:r w:rsidRPr="00F42F80">
        <w:rPr>
          <w:rFonts w:ascii="Lustria" w:eastAsiaTheme="minorHAnsi" w:hAnsi="Lustria" w:cstheme="minorBidi"/>
          <w:b w:val="0"/>
          <w:bCs w:val="0"/>
          <w:noProof/>
          <w:sz w:val="22"/>
          <w:szCs w:val="22"/>
          <w:lang w:val="en-US" w:eastAsia="en-US"/>
        </w:rPr>
        <w:t>Sagala et al. (2017)</w:t>
      </w:r>
      <w:r w:rsidRPr="00F42F80">
        <w:rPr>
          <w:rFonts w:ascii="Lustria" w:eastAsiaTheme="minorHAnsi" w:hAnsi="Lustria" w:cstheme="minorBidi"/>
          <w:b w:val="0"/>
          <w:bCs w:val="0"/>
          <w:sz w:val="22"/>
          <w:szCs w:val="22"/>
          <w:lang w:val="en-US" w:eastAsia="en-US"/>
        </w:rPr>
        <w:fldChar w:fldCharType="end"/>
      </w:r>
      <w:r w:rsidRPr="00F42F80">
        <w:rPr>
          <w:rFonts w:ascii="Lustria" w:eastAsiaTheme="minorHAnsi" w:hAnsi="Lustria" w:cstheme="minorBidi"/>
          <w:b w:val="0"/>
          <w:bCs w:val="0"/>
          <w:sz w:val="22"/>
          <w:szCs w:val="22"/>
          <w:lang w:val="en-US" w:eastAsia="en-US"/>
        </w:rPr>
        <w:t xml:space="preserve">, who have explored the use of learning communities to improve student competence at the Faculty of Economics. This study also strengthens the research findings of </w:t>
      </w:r>
      <w:r w:rsidRPr="00F42F80">
        <w:rPr>
          <w:rFonts w:ascii="Lustria" w:eastAsiaTheme="minorHAnsi" w:hAnsi="Lustria" w:cstheme="minorBidi"/>
          <w:b w:val="0"/>
          <w:bCs w:val="0"/>
          <w:sz w:val="22"/>
          <w:szCs w:val="22"/>
          <w:lang w:val="en-US" w:eastAsia="en-US"/>
        </w:rPr>
        <w:fldChar w:fldCharType="begin" w:fldLock="1"/>
      </w:r>
      <w:r w:rsidRPr="00F42F80">
        <w:rPr>
          <w:rFonts w:ascii="Lustria" w:eastAsiaTheme="minorHAnsi" w:hAnsi="Lustria" w:cstheme="minorBidi"/>
          <w:b w:val="0"/>
          <w:bCs w:val="0"/>
          <w:sz w:val="22"/>
          <w:szCs w:val="22"/>
          <w:lang w:val="en-US" w:eastAsia="en-US"/>
        </w:rPr>
        <w:instrText>ADDIN CSL_CITATION {"citationItems":[{"id":"ITEM-1","itemData":{"author":[{"dropping-particle":"","family":"Nguyen","given":"ThuyUyen H","non-dropping-particle":"","parse-names":false,"suffix":""},{"dropping-particle":"","family":"Charity","given":"Ian","non-dropping-particle":"","parse-names":false,"suffix":""},{"dropping-particle":"","family":"Robson","given":"Andrew","non-dropping-particle":"","parse-names":false,"suffix":""}],"container-title":"Studies in Higher Education","id":"ITEM-1","issue":"4","issued":{"date-parts":[["2016"]]},"page":"734-755","publisher":"Taylor &amp; Francis","title":"Students' perceptions of computer-based learning environments, their attitude towards business statistics, and their academic achievement: implications from a UK university","type":"article-journal","volume":"41"},"uris":["http://www.mendeley.com/documents/?uuid=c7ebb98c-7b7b-49b8-8159-0a28f1576373"]}],"mendeley":{"formattedCitation":"(Nguyen et al., 2016)","manualFormatting":"Nguyen et al. (2016)","plainTextFormattedCitation":"(Nguyen et al., 2016)","previouslyFormattedCitation":"(Nguyen et al., 2016)"},"properties":{"noteIndex":0},"schema":"https://github.com/citation-style-language/schema/raw/master/csl-citation.json"}</w:instrText>
      </w:r>
      <w:r w:rsidRPr="00F42F80">
        <w:rPr>
          <w:rFonts w:ascii="Lustria" w:eastAsiaTheme="minorHAnsi" w:hAnsi="Lustria" w:cstheme="minorBidi"/>
          <w:b w:val="0"/>
          <w:bCs w:val="0"/>
          <w:sz w:val="22"/>
          <w:szCs w:val="22"/>
          <w:lang w:val="en-US" w:eastAsia="en-US"/>
        </w:rPr>
        <w:fldChar w:fldCharType="separate"/>
      </w:r>
      <w:r w:rsidRPr="00F42F80">
        <w:rPr>
          <w:rFonts w:ascii="Lustria" w:eastAsiaTheme="minorHAnsi" w:hAnsi="Lustria" w:cstheme="minorBidi"/>
          <w:b w:val="0"/>
          <w:bCs w:val="0"/>
          <w:noProof/>
          <w:sz w:val="22"/>
          <w:szCs w:val="22"/>
          <w:lang w:val="en-US" w:eastAsia="en-US"/>
        </w:rPr>
        <w:t>Nguyen et al. (2016)</w:t>
      </w:r>
      <w:r w:rsidRPr="00F42F80">
        <w:rPr>
          <w:rFonts w:ascii="Lustria" w:eastAsiaTheme="minorHAnsi" w:hAnsi="Lustria" w:cstheme="minorBidi"/>
          <w:b w:val="0"/>
          <w:bCs w:val="0"/>
          <w:sz w:val="22"/>
          <w:szCs w:val="22"/>
          <w:lang w:val="en-US" w:eastAsia="en-US"/>
        </w:rPr>
        <w:fldChar w:fldCharType="end"/>
      </w:r>
      <w:r w:rsidRPr="00F42F80">
        <w:rPr>
          <w:rFonts w:ascii="Lustria" w:eastAsiaTheme="minorHAnsi" w:hAnsi="Lustria" w:cstheme="minorBidi"/>
          <w:b w:val="0"/>
          <w:bCs w:val="0"/>
          <w:sz w:val="22"/>
          <w:szCs w:val="22"/>
          <w:lang w:val="en-US" w:eastAsia="en-US"/>
        </w:rPr>
        <w:t xml:space="preserve">, </w:t>
      </w:r>
      <w:r w:rsidRPr="00F42F80">
        <w:rPr>
          <w:rFonts w:ascii="Lustria" w:eastAsiaTheme="minorHAnsi" w:hAnsi="Lustria" w:cstheme="minorBidi"/>
          <w:b w:val="0"/>
          <w:bCs w:val="0"/>
          <w:sz w:val="22"/>
          <w:szCs w:val="22"/>
          <w:lang w:val="en-US" w:eastAsia="en-US"/>
        </w:rPr>
        <w:fldChar w:fldCharType="begin" w:fldLock="1"/>
      </w:r>
      <w:r w:rsidRPr="00F42F80">
        <w:rPr>
          <w:rFonts w:ascii="Lustria" w:eastAsiaTheme="minorHAnsi" w:hAnsi="Lustria" w:cstheme="minorBidi"/>
          <w:b w:val="0"/>
          <w:bCs w:val="0"/>
          <w:sz w:val="22"/>
          <w:szCs w:val="22"/>
          <w:lang w:val="en-US" w:eastAsia="en-US"/>
        </w:rPr>
        <w:instrText>ADDIN CSL_CITATION {"citationItems":[{"id":"ITEM-1","itemData":{"author":[{"dropping-particle":"","family":"Dorman","given":"Jeffrey P","non-dropping-particle":"","parse-names":false,"suffix":""},{"dropping-particle":"","family":"Fraser","given":"Barry J","non-dropping-particle":"","parse-names":false,"suffix":""}],"container-title":"Social Psychology of Education","id":"ITEM-1","issue":"1","issued":{"date-parts":[["2009"]]},"page":"77","publisher":"Springer","title":"Psychosocial environment and affective outcomes in technology-rich classrooms: Testing a causal model","type":"article-journal","volume":"12"},"uris":["http://www.mendeley.com/documents/?uuid=9eb15a23-d202-4694-9547-44f8cb10e64c"]}],"mendeley":{"formattedCitation":"(Dorman &amp; Fraser, 2009)","manualFormatting":"Dorman &amp; Fraser (2009)","plainTextFormattedCitation":"(Dorman &amp; Fraser, 2009)","previouslyFormattedCitation":"(Dorman &amp; Fraser, 2009)"},"properties":{"noteIndex":0},"schema":"https://github.com/citation-style-language/schema/raw/master/csl-citation.json"}</w:instrText>
      </w:r>
      <w:r w:rsidRPr="00F42F80">
        <w:rPr>
          <w:rFonts w:ascii="Lustria" w:eastAsiaTheme="minorHAnsi" w:hAnsi="Lustria" w:cstheme="minorBidi"/>
          <w:b w:val="0"/>
          <w:bCs w:val="0"/>
          <w:sz w:val="22"/>
          <w:szCs w:val="22"/>
          <w:lang w:val="en-US" w:eastAsia="en-US"/>
        </w:rPr>
        <w:fldChar w:fldCharType="separate"/>
      </w:r>
      <w:r w:rsidRPr="00F42F80">
        <w:rPr>
          <w:rFonts w:ascii="Lustria" w:eastAsiaTheme="minorHAnsi" w:hAnsi="Lustria" w:cstheme="minorBidi"/>
          <w:b w:val="0"/>
          <w:bCs w:val="0"/>
          <w:noProof/>
          <w:sz w:val="22"/>
          <w:szCs w:val="22"/>
          <w:lang w:val="en-US" w:eastAsia="en-US"/>
        </w:rPr>
        <w:t>Dorman &amp; Fraser (2009)</w:t>
      </w:r>
      <w:r w:rsidRPr="00F42F80">
        <w:rPr>
          <w:rFonts w:ascii="Lustria" w:eastAsiaTheme="minorHAnsi" w:hAnsi="Lustria" w:cstheme="minorBidi"/>
          <w:b w:val="0"/>
          <w:bCs w:val="0"/>
          <w:sz w:val="22"/>
          <w:szCs w:val="22"/>
          <w:lang w:val="en-US" w:eastAsia="en-US"/>
        </w:rPr>
        <w:fldChar w:fldCharType="end"/>
      </w:r>
      <w:r w:rsidRPr="00F42F80">
        <w:rPr>
          <w:rFonts w:ascii="Lustria" w:eastAsiaTheme="minorHAnsi" w:hAnsi="Lustria" w:cstheme="minorBidi"/>
          <w:b w:val="0"/>
          <w:bCs w:val="0"/>
          <w:sz w:val="22"/>
          <w:szCs w:val="22"/>
          <w:lang w:val="en-US" w:eastAsia="en-US"/>
        </w:rPr>
        <w:t xml:space="preserve">, and </w:t>
      </w:r>
      <w:r w:rsidRPr="00F42F80">
        <w:rPr>
          <w:rFonts w:ascii="Lustria" w:eastAsiaTheme="minorHAnsi" w:hAnsi="Lustria" w:cstheme="minorBidi"/>
          <w:b w:val="0"/>
          <w:bCs w:val="0"/>
          <w:sz w:val="22"/>
          <w:szCs w:val="22"/>
          <w:lang w:val="en-US" w:eastAsia="en-US"/>
        </w:rPr>
        <w:fldChar w:fldCharType="begin" w:fldLock="1"/>
      </w:r>
      <w:r w:rsidRPr="00F42F80">
        <w:rPr>
          <w:rFonts w:ascii="Lustria" w:eastAsiaTheme="minorHAnsi" w:hAnsi="Lustria" w:cstheme="minorBidi"/>
          <w:b w:val="0"/>
          <w:bCs w:val="0"/>
          <w:sz w:val="22"/>
          <w:szCs w:val="22"/>
          <w:lang w:val="en-US" w:eastAsia="en-US"/>
        </w:rPr>
        <w:instrText>ADDIN CSL_CITATION {"citationItems":[{"id":"ITEM-1","itemData":{"author":[{"dropping-particle":"","family":"Fraser","given":"Barry J","non-dropping-particle":"","parse-names":false,"suffix":""},{"dropping-particle":"","family":"Walberg","given":"Herbert J","non-dropping-particle":"","parse-names":false,"suffix":""}],"id":"ITEM-1","issued":{"date-parts":[["1991"]]},"publisher":"Pergamon Press","title":"Educational environments: evaluation, antecedents and consequences.","type":"book"},"uris":["http://www.mendeley.com/documents/?uuid=73d21019-3803-49c1-8a59-773eb5710c8a"]}],"mendeley":{"formattedCitation":"(Fraser &amp; Walberg, 1991)","manualFormatting":"Fraser &amp; Walberg (1991)","plainTextFormattedCitation":"(Fraser &amp; Walberg, 1991)","previouslyFormattedCitation":"(Fraser &amp; Walberg, 1991)"},"properties":{"noteIndex":0},"schema":"https://github.com/citation-style-language/schema/raw/master/csl-citation.json"}</w:instrText>
      </w:r>
      <w:r w:rsidRPr="00F42F80">
        <w:rPr>
          <w:rFonts w:ascii="Lustria" w:eastAsiaTheme="minorHAnsi" w:hAnsi="Lustria" w:cstheme="minorBidi"/>
          <w:b w:val="0"/>
          <w:bCs w:val="0"/>
          <w:sz w:val="22"/>
          <w:szCs w:val="22"/>
          <w:lang w:val="en-US" w:eastAsia="en-US"/>
        </w:rPr>
        <w:fldChar w:fldCharType="separate"/>
      </w:r>
      <w:r w:rsidRPr="00F42F80">
        <w:rPr>
          <w:rFonts w:ascii="Lustria" w:eastAsiaTheme="minorHAnsi" w:hAnsi="Lustria" w:cstheme="minorBidi"/>
          <w:b w:val="0"/>
          <w:bCs w:val="0"/>
          <w:noProof/>
          <w:sz w:val="22"/>
          <w:szCs w:val="22"/>
          <w:lang w:val="en-US" w:eastAsia="en-US"/>
        </w:rPr>
        <w:t>Fraser &amp; Walberg (1991)</w:t>
      </w:r>
      <w:r w:rsidRPr="00F42F80">
        <w:rPr>
          <w:rFonts w:ascii="Lustria" w:eastAsiaTheme="minorHAnsi" w:hAnsi="Lustria" w:cstheme="minorBidi"/>
          <w:b w:val="0"/>
          <w:bCs w:val="0"/>
          <w:sz w:val="22"/>
          <w:szCs w:val="22"/>
          <w:lang w:val="en-US" w:eastAsia="en-US"/>
        </w:rPr>
        <w:fldChar w:fldCharType="end"/>
      </w:r>
      <w:r w:rsidRPr="00F42F80">
        <w:rPr>
          <w:rFonts w:ascii="Lustria" w:eastAsiaTheme="minorHAnsi" w:hAnsi="Lustria" w:cstheme="minorBidi"/>
          <w:b w:val="0"/>
          <w:bCs w:val="0"/>
          <w:sz w:val="22"/>
          <w:szCs w:val="22"/>
          <w:lang w:val="en-US" w:eastAsia="en-US"/>
        </w:rPr>
        <w:t xml:space="preserve">, which previously indicated </w:t>
      </w:r>
      <w:r w:rsidRPr="00F42F80">
        <w:rPr>
          <w:rFonts w:ascii="Lustria" w:eastAsiaTheme="minorHAnsi" w:hAnsi="Lustria" w:cstheme="minorBidi"/>
          <w:b w:val="0"/>
          <w:bCs w:val="0"/>
          <w:sz w:val="22"/>
          <w:szCs w:val="22"/>
          <w:lang w:val="en-US" w:eastAsia="en-US"/>
        </w:rPr>
        <w:lastRenderedPageBreak/>
        <w:t>that the learning environment is an essential instrument to provide students with learning experiences to achieve learning outcomes. Because learning is a consequence of a socially cultured learning environment, in this case, the learning community is used as a social environment with a conducive learning culture so that this culture can be transmitted to its members.</w:t>
      </w:r>
    </w:p>
    <w:p w14:paraId="6589CB73" w14:textId="77777777" w:rsidR="00E74908" w:rsidRPr="00F42F80" w:rsidRDefault="00E74908" w:rsidP="00E74908">
      <w:pPr>
        <w:pStyle w:val="Heading1"/>
        <w:spacing w:line="240" w:lineRule="auto"/>
        <w:ind w:right="6" w:firstLine="567"/>
        <w:jc w:val="both"/>
        <w:rPr>
          <w:rFonts w:ascii="Lustria" w:eastAsiaTheme="minorHAnsi" w:hAnsi="Lustria" w:cstheme="minorBidi"/>
          <w:b w:val="0"/>
          <w:bCs w:val="0"/>
          <w:sz w:val="22"/>
          <w:szCs w:val="22"/>
          <w:lang w:val="en-US" w:eastAsia="en-US"/>
        </w:rPr>
      </w:pPr>
      <w:r w:rsidRPr="00F42F80">
        <w:rPr>
          <w:rFonts w:ascii="Lustria" w:hAnsi="Lustria"/>
          <w:b w:val="0"/>
          <w:bCs w:val="0"/>
          <w:sz w:val="22"/>
          <w:szCs w:val="22"/>
          <w:lang w:val="en-US"/>
        </w:rPr>
        <w:t xml:space="preserve">The learning community is considered important because it helps students construct their knowledge to fulfill the cognitive domain and provides complex learning experiences that will help them build affective and psychomotor domains. In this study, the dimensions of the learning environment were examined in three aspects. It was found that the aspects of task orientation and integration should be given special attention to the study program manager. Integration is the relationship between the material discussed in class and the learning community's discussion agenda </w:t>
      </w:r>
      <w:r w:rsidRPr="00F42F80">
        <w:rPr>
          <w:rFonts w:ascii="Lustria" w:hAnsi="Lustria"/>
          <w:b w:val="0"/>
          <w:bCs w:val="0"/>
          <w:sz w:val="22"/>
          <w:szCs w:val="22"/>
          <w:lang w:val="en-US"/>
        </w:rPr>
        <w:fldChar w:fldCharType="begin" w:fldLock="1"/>
      </w:r>
      <w:r w:rsidRPr="00F42F80">
        <w:rPr>
          <w:rFonts w:ascii="Lustria" w:hAnsi="Lustria"/>
          <w:b w:val="0"/>
          <w:bCs w:val="0"/>
          <w:sz w:val="22"/>
          <w:szCs w:val="22"/>
          <w:lang w:val="en-US"/>
        </w:rPr>
        <w:instrText>ADDIN CSL_CITATION {"citationItems":[{"id":"ITEM-1","itemData":{"author":[{"dropping-particle":"","family":"Nguyen","given":"ThuyUyen H","non-dropping-particle":"","parse-names":false,"suffix":""},{"dropping-particle":"","family":"Charity","given":"Ian","non-dropping-particle":"","parse-names":false,"suffix":""},{"dropping-particle":"","family":"Robson","given":"Andrew","non-dropping-particle":"","parse-names":false,"suffix":""}],"container-title":"Studies in Higher Education","id":"ITEM-1","issue":"4","issued":{"date-parts":[["2016"]]},"page":"734-755","publisher":"Taylor &amp; Francis","title":"Students' perceptions of computer-based learning environments, their attitude towards business statistics, and their academic achievement: implications from a UK university","type":"article-journal","volume":"41"},"uris":["http://www.mendeley.com/documents/?uuid=c7ebb98c-7b7b-49b8-8159-0a28f1576373"]}],"mendeley":{"formattedCitation":"(Nguyen et al., 2016)","plainTextFormattedCitation":"(Nguyen et al., 2016)","previouslyFormattedCitation":"(Nguyen et al., 2016)"},"properties":{"noteIndex":0},"schema":"https://github.com/citation-style-language/schema/raw/master/csl-citation.json"}</w:instrText>
      </w:r>
      <w:r w:rsidRPr="00F42F80">
        <w:rPr>
          <w:rFonts w:ascii="Lustria" w:hAnsi="Lustria"/>
          <w:b w:val="0"/>
          <w:bCs w:val="0"/>
          <w:sz w:val="22"/>
          <w:szCs w:val="22"/>
          <w:lang w:val="en-US"/>
        </w:rPr>
        <w:fldChar w:fldCharType="separate"/>
      </w:r>
      <w:r w:rsidRPr="00F42F80">
        <w:rPr>
          <w:rFonts w:ascii="Lustria" w:hAnsi="Lustria"/>
          <w:b w:val="0"/>
          <w:bCs w:val="0"/>
          <w:noProof/>
          <w:sz w:val="22"/>
          <w:szCs w:val="22"/>
          <w:lang w:val="en-US"/>
        </w:rPr>
        <w:t>(Nguyen et al., 2016)</w:t>
      </w:r>
      <w:r w:rsidRPr="00F42F80">
        <w:rPr>
          <w:rFonts w:ascii="Lustria" w:hAnsi="Lustria"/>
          <w:b w:val="0"/>
          <w:bCs w:val="0"/>
          <w:sz w:val="22"/>
          <w:szCs w:val="22"/>
          <w:lang w:val="en-US"/>
        </w:rPr>
        <w:fldChar w:fldCharType="end"/>
      </w:r>
      <w:r w:rsidRPr="00F42F80">
        <w:rPr>
          <w:rFonts w:ascii="Lustria" w:hAnsi="Lustria"/>
          <w:b w:val="0"/>
          <w:bCs w:val="0"/>
          <w:sz w:val="22"/>
          <w:szCs w:val="22"/>
          <w:lang w:val="en-US"/>
        </w:rPr>
        <w:t xml:space="preserve">. Then, task orientation is a learning activity in the community leading to completing assignments, projects, research from classroom learning, or follow-up learning in class </w:t>
      </w:r>
      <w:r w:rsidRPr="00F42F80">
        <w:rPr>
          <w:rFonts w:ascii="Lustria" w:hAnsi="Lustria"/>
          <w:b w:val="0"/>
          <w:bCs w:val="0"/>
          <w:sz w:val="22"/>
          <w:szCs w:val="22"/>
          <w:lang w:val="en-US"/>
        </w:rPr>
        <w:fldChar w:fldCharType="begin" w:fldLock="1"/>
      </w:r>
      <w:r w:rsidRPr="00F42F80">
        <w:rPr>
          <w:rFonts w:ascii="Lustria" w:hAnsi="Lustria"/>
          <w:b w:val="0"/>
          <w:bCs w:val="0"/>
          <w:sz w:val="22"/>
          <w:szCs w:val="22"/>
          <w:lang w:val="en-US"/>
        </w:rPr>
        <w:instrText>ADDIN CSL_CITATION {"citationItems":[{"id":"ITEM-1","itemData":{"author":[{"dropping-particle":"","family":"Nguyen","given":"ThuyUyen H","non-dropping-particle":"","parse-names":false,"suffix":""},{"dropping-particle":"","family":"Charity","given":"Ian","non-dropping-particle":"","parse-names":false,"suffix":""},{"dropping-particle":"","family":"Robson","given":"Andrew","non-dropping-particle":"","parse-names":false,"suffix":""}],"container-title":"Studies in Higher Education","id":"ITEM-1","issue":"4","issued":{"date-parts":[["2016"]]},"page":"734-755","publisher":"Taylor &amp; Francis","title":"Students' perceptions of computer-based learning environments, their attitude towards business statistics, and their academic achievement: implications from a UK university","type":"article-journal","volume":"41"},"uris":["http://www.mendeley.com/documents/?uuid=c7ebb98c-7b7b-49b8-8159-0a28f1576373"]}],"mendeley":{"formattedCitation":"(Nguyen et al., 2016)","plainTextFormattedCitation":"(Nguyen et al., 2016)","previouslyFormattedCitation":"(Nguyen et al., 2016)"},"properties":{"noteIndex":0},"schema":"https://github.com/citation-style-language/schema/raw/master/csl-citation.json"}</w:instrText>
      </w:r>
      <w:r w:rsidRPr="00F42F80">
        <w:rPr>
          <w:rFonts w:ascii="Lustria" w:hAnsi="Lustria"/>
          <w:b w:val="0"/>
          <w:bCs w:val="0"/>
          <w:sz w:val="22"/>
          <w:szCs w:val="22"/>
          <w:lang w:val="en-US"/>
        </w:rPr>
        <w:fldChar w:fldCharType="separate"/>
      </w:r>
      <w:r w:rsidRPr="00F42F80">
        <w:rPr>
          <w:rFonts w:ascii="Lustria" w:hAnsi="Lustria"/>
          <w:b w:val="0"/>
          <w:bCs w:val="0"/>
          <w:noProof/>
          <w:sz w:val="22"/>
          <w:szCs w:val="22"/>
          <w:lang w:val="en-US"/>
        </w:rPr>
        <w:t>(Nguyen et al., 2016)</w:t>
      </w:r>
      <w:r w:rsidRPr="00F42F80">
        <w:rPr>
          <w:rFonts w:ascii="Lustria" w:hAnsi="Lustria"/>
          <w:b w:val="0"/>
          <w:bCs w:val="0"/>
          <w:sz w:val="22"/>
          <w:szCs w:val="22"/>
          <w:lang w:val="en-US"/>
        </w:rPr>
        <w:fldChar w:fldCharType="end"/>
      </w:r>
      <w:r w:rsidRPr="00F42F80">
        <w:rPr>
          <w:rFonts w:ascii="Lustria" w:hAnsi="Lustria"/>
          <w:b w:val="0"/>
          <w:bCs w:val="0"/>
          <w:sz w:val="22"/>
          <w:szCs w:val="22"/>
          <w:lang w:val="en-US"/>
        </w:rPr>
        <w:t>.</w:t>
      </w:r>
    </w:p>
    <w:p w14:paraId="724EEC24" w14:textId="77777777" w:rsidR="00E74908" w:rsidRPr="00F42F80" w:rsidRDefault="00E74908" w:rsidP="00E74908">
      <w:pPr>
        <w:pStyle w:val="Heading1"/>
        <w:widowControl w:val="0"/>
        <w:autoSpaceDE w:val="0"/>
        <w:autoSpaceDN w:val="0"/>
        <w:spacing w:line="240" w:lineRule="auto"/>
        <w:ind w:right="6" w:firstLine="567"/>
        <w:jc w:val="both"/>
        <w:rPr>
          <w:rFonts w:ascii="Lustria" w:eastAsiaTheme="minorHAnsi" w:hAnsi="Lustria" w:cstheme="minorBidi"/>
          <w:b w:val="0"/>
          <w:bCs w:val="0"/>
          <w:sz w:val="22"/>
          <w:szCs w:val="22"/>
          <w:lang w:val="en-US" w:eastAsia="en-US"/>
        </w:rPr>
      </w:pPr>
      <w:r w:rsidRPr="00F42F80">
        <w:rPr>
          <w:rFonts w:ascii="Lustria" w:hAnsi="Lustria"/>
          <w:b w:val="0"/>
          <w:bCs w:val="0"/>
          <w:sz w:val="22"/>
          <w:szCs w:val="22"/>
          <w:lang w:val="en-US"/>
        </w:rPr>
        <w:t xml:space="preserve">Thus, task orientation and integration refer to the direction of activities and assignments given to the learning community to align with the learning outcomes aimed at the study program </w:t>
      </w:r>
      <w:r w:rsidRPr="00F42F80">
        <w:rPr>
          <w:rFonts w:ascii="Lustria" w:hAnsi="Lustria"/>
          <w:b w:val="0"/>
          <w:bCs w:val="0"/>
          <w:sz w:val="22"/>
          <w:szCs w:val="22"/>
          <w:lang w:val="en-US"/>
        </w:rPr>
        <w:fldChar w:fldCharType="begin" w:fldLock="1"/>
      </w:r>
      <w:r w:rsidRPr="00F42F80">
        <w:rPr>
          <w:rFonts w:ascii="Lustria" w:hAnsi="Lustria"/>
          <w:b w:val="0"/>
          <w:bCs w:val="0"/>
          <w:sz w:val="22"/>
          <w:szCs w:val="22"/>
          <w:lang w:val="en-US"/>
        </w:rPr>
        <w:instrText>ADDIN CSL_CITATION {"citationItems":[{"id":"ITEM-1","itemData":{"author":[{"dropping-particle":"","family":"Nguyen","given":"ThuyUyen H","non-dropping-particle":"","parse-names":false,"suffix":""},{"dropping-particle":"","family":"Charity","given":"Ian","non-dropping-particle":"","parse-names":false,"suffix":""},{"dropping-particle":"","family":"Robson","given":"Andrew","non-dropping-particle":"","parse-names":false,"suffix":""}],"container-title":"Studies in Higher Education","id":"ITEM-1","issue":"4","issued":{"date-parts":[["2016"]]},"page":"734-755","publisher":"Taylor &amp; Francis","title":"Students' perceptions of computer-based learning environments, their attitude towards business statistics, and their academic achievement: implications from a UK university","type":"article-journal","volume":"41"},"uris":["http://www.mendeley.com/documents/?uuid=c7ebb98c-7b7b-49b8-8159-0a28f1576373"]}],"mendeley":{"formattedCitation":"(Nguyen et al., 2016)","plainTextFormattedCitation":"(Nguyen et al., 2016)","previouslyFormattedCitation":"(Nguyen et al., 2016)"},"properties":{"noteIndex":0},"schema":"https://github.com/citation-style-language/schema/raw/master/csl-citation.json"}</w:instrText>
      </w:r>
      <w:r w:rsidRPr="00F42F80">
        <w:rPr>
          <w:rFonts w:ascii="Lustria" w:hAnsi="Lustria"/>
          <w:b w:val="0"/>
          <w:bCs w:val="0"/>
          <w:sz w:val="22"/>
          <w:szCs w:val="22"/>
          <w:lang w:val="en-US"/>
        </w:rPr>
        <w:fldChar w:fldCharType="separate"/>
      </w:r>
      <w:r w:rsidRPr="00F42F80">
        <w:rPr>
          <w:rFonts w:ascii="Lustria" w:hAnsi="Lustria"/>
          <w:b w:val="0"/>
          <w:bCs w:val="0"/>
          <w:noProof/>
          <w:sz w:val="22"/>
          <w:szCs w:val="22"/>
          <w:lang w:val="en-US"/>
        </w:rPr>
        <w:t>(Nguyen et al., 2016)</w:t>
      </w:r>
      <w:r w:rsidRPr="00F42F80">
        <w:rPr>
          <w:rFonts w:ascii="Lustria" w:hAnsi="Lustria"/>
          <w:b w:val="0"/>
          <w:bCs w:val="0"/>
          <w:sz w:val="22"/>
          <w:szCs w:val="22"/>
          <w:lang w:val="en-US"/>
        </w:rPr>
        <w:fldChar w:fldCharType="end"/>
      </w:r>
      <w:r w:rsidRPr="00F42F80">
        <w:rPr>
          <w:rFonts w:ascii="Lustria" w:hAnsi="Lustria"/>
          <w:b w:val="0"/>
          <w:bCs w:val="0"/>
          <w:sz w:val="22"/>
          <w:szCs w:val="22"/>
          <w:lang w:val="en-US"/>
        </w:rPr>
        <w:t>. This alignment is important to ensure that the dynamics that occur in the learning community are in line with the learning agenda in the classroom. Through the dynamics of learning that is in line with a classroom learning agenda, specifically, in this study, the community's learning environment can build student attitudes toward computer-based statistics used to analyze data in statistics, forecasting, and econometric courses.</w:t>
      </w:r>
    </w:p>
    <w:p w14:paraId="58C61A76" w14:textId="77777777" w:rsidR="00E74908" w:rsidRPr="00F42F80" w:rsidRDefault="00E74908" w:rsidP="00E74908">
      <w:pPr>
        <w:pStyle w:val="Heading1"/>
        <w:spacing w:line="240" w:lineRule="auto"/>
        <w:ind w:right="6" w:firstLine="567"/>
        <w:jc w:val="both"/>
        <w:rPr>
          <w:rFonts w:ascii="Lustria" w:hAnsi="Lustria"/>
          <w:b w:val="0"/>
          <w:bCs w:val="0"/>
          <w:sz w:val="22"/>
          <w:szCs w:val="22"/>
          <w:lang w:val="en-US"/>
        </w:rPr>
      </w:pPr>
      <w:r w:rsidRPr="00F42F80">
        <w:rPr>
          <w:rFonts w:ascii="Lustria" w:hAnsi="Lustria"/>
          <w:b w:val="0"/>
          <w:bCs w:val="0"/>
          <w:sz w:val="22"/>
          <w:szCs w:val="22"/>
          <w:lang w:val="en-US"/>
        </w:rPr>
        <w:t xml:space="preserve">In this study, student cohesiveness was found to have no significant effect on attitude toward computer-based statistics. This finding does look different from the study by Nguyen (2016), which proposes these three </w:t>
      </w:r>
      <w:r w:rsidRPr="00F42F80">
        <w:rPr>
          <w:rFonts w:ascii="Lustria" w:hAnsi="Lustria"/>
          <w:b w:val="0"/>
          <w:bCs w:val="0"/>
          <w:sz w:val="22"/>
          <w:szCs w:val="22"/>
          <w:lang w:val="en-US"/>
        </w:rPr>
        <w:t xml:space="preserve">dimensions as important variables in the learning community. However, the empiric condition and characteristics of students in different tertiary institutions may show different research results. Student cohesiveness can actually be assumed to have existed and been the reason for establishing a learning community because the learning community was established voluntarily based on student initiatives like CoP in business entities </w:t>
      </w:r>
      <w:r w:rsidRPr="00F42F80">
        <w:rPr>
          <w:rFonts w:ascii="Lustria" w:hAnsi="Lustria"/>
          <w:b w:val="0"/>
          <w:bCs w:val="0"/>
          <w:sz w:val="22"/>
          <w:szCs w:val="22"/>
          <w:lang w:val="en-US"/>
        </w:rPr>
        <w:fldChar w:fldCharType="begin" w:fldLock="1"/>
      </w:r>
      <w:r w:rsidRPr="00F42F80">
        <w:rPr>
          <w:rFonts w:ascii="Lustria" w:hAnsi="Lustria"/>
          <w:b w:val="0"/>
          <w:bCs w:val="0"/>
          <w:sz w:val="22"/>
          <w:szCs w:val="22"/>
          <w:lang w:val="en-US"/>
        </w:rPr>
        <w:instrText>ADDIN CSL_CITATION {"citationItems":[{"id":"ITEM-1","itemData":{"author":[{"dropping-particle":"","family":"Dalkir","given":"Kimiz","non-dropping-particle":"","parse-names":false,"suffix":""}],"id":"ITEM-1","issued":{"date-parts":[["2013"]]},"publisher":"Routledge","title":"Knowledge management in theory and practice","type":"book"},"uris":["http://www.mendeley.com/documents/?uuid=07f7078f-0746-4cad-9539-dd37bcb8ce60"]}],"mendeley":{"formattedCitation":"(Dalkir, 2013)","plainTextFormattedCitation":"(Dalkir, 2013)","previouslyFormattedCitation":"(Dalkir, 2013)"},"properties":{"noteIndex":0},"schema":"https://github.com/citation-style-language/schema/raw/master/csl-citation.json"}</w:instrText>
      </w:r>
      <w:r w:rsidRPr="00F42F80">
        <w:rPr>
          <w:rFonts w:ascii="Lustria" w:hAnsi="Lustria"/>
          <w:b w:val="0"/>
          <w:bCs w:val="0"/>
          <w:sz w:val="22"/>
          <w:szCs w:val="22"/>
          <w:lang w:val="en-US"/>
        </w:rPr>
        <w:fldChar w:fldCharType="separate"/>
      </w:r>
      <w:r w:rsidRPr="00F42F80">
        <w:rPr>
          <w:rFonts w:ascii="Lustria" w:hAnsi="Lustria"/>
          <w:b w:val="0"/>
          <w:bCs w:val="0"/>
          <w:noProof/>
          <w:sz w:val="22"/>
          <w:szCs w:val="22"/>
          <w:lang w:val="en-US"/>
        </w:rPr>
        <w:t>(Dalkir, 2013)</w:t>
      </w:r>
      <w:r w:rsidRPr="00F42F80">
        <w:rPr>
          <w:rFonts w:ascii="Lustria" w:hAnsi="Lustria"/>
          <w:b w:val="0"/>
          <w:bCs w:val="0"/>
          <w:sz w:val="22"/>
          <w:szCs w:val="22"/>
          <w:lang w:val="en-US"/>
        </w:rPr>
        <w:fldChar w:fldCharType="end"/>
      </w:r>
      <w:r w:rsidRPr="00F42F80">
        <w:rPr>
          <w:rFonts w:ascii="Lustria" w:hAnsi="Lustria"/>
          <w:b w:val="0"/>
          <w:bCs w:val="0"/>
          <w:sz w:val="22"/>
          <w:szCs w:val="22"/>
          <w:lang w:val="en-US"/>
        </w:rPr>
        <w:t>. However, because the objects tested in this study are specific issues in statistics, student cohesiveness does not show a direct effect. In contrast, task orientation and integration do show a significant effect because they relate to the content of the discussions discussed in the learning community.</w:t>
      </w:r>
    </w:p>
    <w:p w14:paraId="42F20499" w14:textId="77777777" w:rsidR="00E74908" w:rsidRPr="00F42F80" w:rsidRDefault="00E74908" w:rsidP="00E74908">
      <w:pPr>
        <w:pStyle w:val="Heading1"/>
        <w:spacing w:line="240" w:lineRule="auto"/>
        <w:ind w:right="6" w:firstLine="567"/>
        <w:jc w:val="both"/>
        <w:rPr>
          <w:rFonts w:ascii="Lustria" w:hAnsi="Lustria"/>
          <w:b w:val="0"/>
          <w:bCs w:val="0"/>
          <w:sz w:val="22"/>
          <w:szCs w:val="22"/>
          <w:lang w:val="en-US"/>
        </w:rPr>
      </w:pPr>
      <w:r w:rsidRPr="00F42F80">
        <w:rPr>
          <w:rFonts w:ascii="Lustria" w:hAnsi="Lustria"/>
          <w:b w:val="0"/>
          <w:bCs w:val="0"/>
          <w:sz w:val="22"/>
          <w:szCs w:val="22"/>
          <w:lang w:val="en-US"/>
        </w:rPr>
        <w:t xml:space="preserve">Furthermore, attitude toward computer-based statistics was found to have a positive and significant effect on reuse intention. This indicates that students will always use computer-based analysis tools in their future professional agenda related to statistical analysis. This intention to sustainability shows that students have believed that the use of IST in statistical analysis will help them achieve optimal performance and simultaneously reduce their effort </w:t>
      </w:r>
      <w:r w:rsidRPr="00F42F80">
        <w:rPr>
          <w:rFonts w:ascii="Lustria" w:hAnsi="Lustria"/>
          <w:b w:val="0"/>
          <w:bCs w:val="0"/>
          <w:sz w:val="22"/>
          <w:szCs w:val="22"/>
          <w:lang w:val="en-US"/>
        </w:rPr>
        <w:fldChar w:fldCharType="begin" w:fldLock="1"/>
      </w:r>
      <w:r w:rsidRPr="00F42F80">
        <w:rPr>
          <w:rFonts w:ascii="Lustria" w:hAnsi="Lustria"/>
          <w:b w:val="0"/>
          <w:bCs w:val="0"/>
          <w:sz w:val="22"/>
          <w:szCs w:val="22"/>
          <w:lang w:val="en-US"/>
        </w:rPr>
        <w:instrText>ADDIN CSL_CITATION {"citationItems":[{"id":"ITEM-1","itemData":{"author":[{"dropping-particle":"","family":"Davis","given":"Fred D","non-dropping-particle":"","parse-names":false,"suffix":""}],"container-title":"MIS quarterly","id":"ITEM-1","issued":{"date-parts":[["1989"]]},"page":"319-340","publisher":"JSTOR","title":"Perceived usefulness, perceived ease of use, and user acceptance of information technology","type":"article-journal"},"uris":["http://www.mendeley.com/documents/?uuid=0bed5b19-48dd-4aa5-92d9-a927f19102de"]},{"id":"ITEM-2","itemData":{"author":[{"dropping-particle":"","family":"Davis","given":"Fred D","non-dropping-particle":"","parse-names":false,"suffix":""},{"dropping-particle":"","family":"Bagozzi","given":"Richard P","non-dropping-particle":"","parse-names":false,"suffix":""},{"dropping-particle":"","family":"Warshaw","given":"Paul R","non-dropping-particle":"","parse-names":false,"suffix":""}],"container-title":"Management science","id":"ITEM-2","issue":"8","issued":{"date-parts":[["1989"]]},"page":"982-1003","publisher":"INFORMS","title":"User acceptance of computer technology: a comparison of two theoretical models","type":"article-journal","volume":"35"},"uris":["http://www.mendeley.com/documents/?uuid=da858ac0-315a-4e5f-8291-08cf8fa3104c"]},{"id":"ITEM-3","itemData":{"author":[{"dropping-particle":"","family":"Venkatesh","given":"Viswanath","non-dropping-particle":"","parse-names":false,"suffix":""},{"dropping-particle":"","family":"Davis","given":"Fred D","non-dropping-particle":"","parse-names":false,"suffix":""}],"container-title":"Management science","id":"ITEM-3","issue":"2","issued":{"date-parts":[["2000"]]},"page":"186-204","publisher":"INFORMS","title":"A theoretical extension of the technology acceptance model: Four longitudinal field studies","type":"article-journal","volume":"46"},"uris":["http://www.mendeley.com/documents/?uuid=d98e68ca-a70b-4fca-9b6e-86bf47b50d5e"]}],"mendeley":{"formattedCitation":"(Davis, 1989; Davis et al., 1989; Venkatesh &amp; Davis, 2000)","plainTextFormattedCitation":"(Davis, 1989; Davis et al., 1989; Venkatesh &amp; Davis, 2000)","previouslyFormattedCitation":"(Davis, 1989; Davis et al., 1989; Venkatesh &amp; Davis, 2000)"},"properties":{"noteIndex":0},"schema":"https://github.com/citation-style-language/schema/raw/master/csl-citation.json"}</w:instrText>
      </w:r>
      <w:r w:rsidRPr="00F42F80">
        <w:rPr>
          <w:rFonts w:ascii="Lustria" w:hAnsi="Lustria"/>
          <w:b w:val="0"/>
          <w:bCs w:val="0"/>
          <w:sz w:val="22"/>
          <w:szCs w:val="22"/>
          <w:lang w:val="en-US"/>
        </w:rPr>
        <w:fldChar w:fldCharType="separate"/>
      </w:r>
      <w:r w:rsidRPr="00F42F80">
        <w:rPr>
          <w:rFonts w:ascii="Lustria" w:hAnsi="Lustria"/>
          <w:b w:val="0"/>
          <w:bCs w:val="0"/>
          <w:noProof/>
          <w:sz w:val="22"/>
          <w:szCs w:val="22"/>
          <w:lang w:val="en-US"/>
        </w:rPr>
        <w:t>(Davis, 1989; Davis et al., 1989; Venkatesh &amp; Davis, 2000)</w:t>
      </w:r>
      <w:r w:rsidRPr="00F42F80">
        <w:rPr>
          <w:rFonts w:ascii="Lustria" w:hAnsi="Lustria"/>
          <w:b w:val="0"/>
          <w:bCs w:val="0"/>
          <w:sz w:val="22"/>
          <w:szCs w:val="22"/>
          <w:lang w:val="en-US"/>
        </w:rPr>
        <w:fldChar w:fldCharType="end"/>
      </w:r>
      <w:r w:rsidRPr="00F42F80">
        <w:rPr>
          <w:rFonts w:ascii="Lustria" w:hAnsi="Lustria"/>
          <w:b w:val="0"/>
          <w:bCs w:val="0"/>
          <w:sz w:val="22"/>
          <w:szCs w:val="22"/>
          <w:lang w:val="en-US"/>
        </w:rPr>
        <w:t>. This certainly strengthens the argument that statistical learning in tertiary institutions must integrate the use of IST to facilitate the learning process, strengthen the learning orientation of conceptual understanding and not technical calculations, and expand the variety of statistical studies. These things can be done because of the reduced effort in studying the technical data analysis so that this effort can be transferred to variations in data analysis techniques. Thus student mastery of a data analysis technique is increasingly comprehensive.</w:t>
      </w:r>
    </w:p>
    <w:p w14:paraId="59A7325A" w14:textId="77777777" w:rsidR="00E74908" w:rsidRPr="00F42F80" w:rsidRDefault="00E74908" w:rsidP="00E74908">
      <w:pPr>
        <w:pStyle w:val="Heading1"/>
        <w:spacing w:line="240" w:lineRule="auto"/>
        <w:ind w:right="6" w:firstLine="567"/>
        <w:jc w:val="both"/>
        <w:rPr>
          <w:rFonts w:ascii="Lustria" w:hAnsi="Lustria"/>
          <w:b w:val="0"/>
          <w:bCs w:val="0"/>
          <w:sz w:val="22"/>
          <w:szCs w:val="22"/>
          <w:lang w:val="en-US"/>
        </w:rPr>
      </w:pPr>
      <w:r w:rsidRPr="00F42F80">
        <w:rPr>
          <w:rFonts w:ascii="Lustria" w:hAnsi="Lustria"/>
          <w:b w:val="0"/>
          <w:bCs w:val="0"/>
          <w:sz w:val="22"/>
          <w:szCs w:val="22"/>
          <w:lang w:val="en-US"/>
        </w:rPr>
        <w:t xml:space="preserve">In general, this study yielded several implications. First, study program managers must foster the direction of learning that occurs in the learning community. However, learning communities are generally born </w:t>
      </w:r>
      <w:r w:rsidRPr="00F42F80">
        <w:rPr>
          <w:rFonts w:ascii="Lustria" w:hAnsi="Lustria"/>
          <w:b w:val="0"/>
          <w:bCs w:val="0"/>
          <w:sz w:val="22"/>
          <w:szCs w:val="22"/>
          <w:lang w:val="en-US"/>
        </w:rPr>
        <w:lastRenderedPageBreak/>
        <w:t>voluntary and are non-formal in nature. However, this study's findings indicate that this non-formal learning community has a great opportunity to optimize competency achievement. Second, coaching in the learning community can be done by controlling the learning community's direction, referring to the integration and task orientation, which is the finding of this study. Third, study program managers need to coordinate with lecturers who teach courses to optimize the learning community's use by directing project assignments and problem-based learning that can be solved together in the learning community.</w:t>
      </w:r>
    </w:p>
    <w:p w14:paraId="7E439F8D" w14:textId="77777777" w:rsidR="00E74908" w:rsidRPr="00F42F80" w:rsidRDefault="00E74908" w:rsidP="00E74908">
      <w:pPr>
        <w:pStyle w:val="Heading1"/>
        <w:widowControl w:val="0"/>
        <w:autoSpaceDE w:val="0"/>
        <w:autoSpaceDN w:val="0"/>
        <w:spacing w:line="240" w:lineRule="auto"/>
        <w:ind w:right="6" w:firstLine="567"/>
        <w:jc w:val="both"/>
        <w:rPr>
          <w:rFonts w:ascii="Lustria" w:hAnsi="Lustria"/>
          <w:b w:val="0"/>
          <w:bCs w:val="0"/>
          <w:sz w:val="22"/>
          <w:szCs w:val="22"/>
          <w:lang w:val="en-US"/>
        </w:rPr>
      </w:pPr>
      <w:r w:rsidRPr="00F42F80">
        <w:rPr>
          <w:rFonts w:ascii="Lustria" w:hAnsi="Lustria"/>
          <w:b w:val="0"/>
          <w:bCs w:val="0"/>
          <w:sz w:val="22"/>
          <w:szCs w:val="22"/>
          <w:lang w:val="en-US"/>
        </w:rPr>
        <w:t xml:space="preserve">Theoretically, this research contributes to enriching the repertoire of learning research in higher education by borrowing theories and constructs that develop in the business sector, namely TAM </w:t>
      </w:r>
      <w:r w:rsidRPr="00F42F80">
        <w:rPr>
          <w:rFonts w:ascii="Lustria" w:hAnsi="Lustria"/>
          <w:b w:val="0"/>
          <w:bCs w:val="0"/>
          <w:sz w:val="22"/>
          <w:szCs w:val="22"/>
          <w:lang w:val="en-US"/>
        </w:rPr>
        <w:fldChar w:fldCharType="begin" w:fldLock="1"/>
      </w:r>
      <w:r w:rsidRPr="00F42F80">
        <w:rPr>
          <w:rFonts w:ascii="Lustria" w:hAnsi="Lustria"/>
          <w:b w:val="0"/>
          <w:bCs w:val="0"/>
          <w:sz w:val="22"/>
          <w:szCs w:val="22"/>
          <w:lang w:val="en-US"/>
        </w:rPr>
        <w:instrText>ADDIN CSL_CITATION {"citationItems":[{"id":"ITEM-1","itemData":{"author":[{"dropping-particle":"","family":"Davis","given":"Fred D","non-dropping-particle":"","parse-names":false,"suffix":""}],"container-title":"MIS quarterly","id":"ITEM-1","issued":{"date-parts":[["1989"]]},"page":"319-340","publisher":"JSTOR","title":"Perceived usefulness, perceived ease of use, and user acceptance of information technology","type":"article-journal"},"uris":["http://www.mendeley.com/documents/?uuid=0bed5b19-48dd-4aa5-92d9-a927f19102de"]},{"id":"ITEM-2","itemData":{"author":[{"dropping-particle":"","family":"Davis","given":"Fred D","non-dropping-particle":"","parse-names":false,"suffix":""},{"dropping-particle":"","family":"Bagozzi","given":"Richard P","non-dropping-particle":"","parse-names":false,"suffix":""},{"dropping-particle":"","family":"Warshaw","given":"Paul R","non-dropping-particle":"","parse-names":false,"suffix":""}],"container-title":"Management science","id":"ITEM-2","issue":"8","issued":{"date-parts":[["1989"]]},"page":"982-1003","publisher":"INFORMS","title":"User acceptance of computer technology: a comparison of two theoretical models","type":"article-journal","volume":"35"},"uris":["http://www.mendeley.com/documents/?uuid=da858ac0-315a-4e5f-8291-08cf8fa3104c"]},{"id":"ITEM-3","itemData":{"author":[{"dropping-particle":"","family":"Venkatesh","given":"Viswanath","non-dropping-particle":"","parse-names":false,"suffix":""},{"dropping-particle":"","family":"Davis","given":"Fred D","non-dropping-particle":"","parse-names":false,"suffix":""}],"container-title":"Management science","id":"ITEM-3","issue":"2","issued":{"date-parts":[["2000"]]},"page":"186-204","publisher":"INFORMS","title":"A theoretical extension of the technology acceptance model: Four longitudinal field studies","type":"article-journal","volume":"46"},"uris":["http://www.mendeley.com/documents/?uuid=d98e68ca-a70b-4fca-9b6e-86bf47b50d5e"]}],"mendeley":{"formattedCitation":"(Davis, 1989; Davis et al., 1989; Venkatesh &amp; Davis, 2000)","plainTextFormattedCitation":"(Davis, 1989; Davis et al., 1989; Venkatesh &amp; Davis, 2000)","previouslyFormattedCitation":"(Davis, 1989; Davis et al., 1989; Venkatesh &amp; Davis, 2000)"},"properties":{"noteIndex":0},"schema":"https://github.com/citation-style-language/schema/raw/master/csl-citation.json"}</w:instrText>
      </w:r>
      <w:r w:rsidRPr="00F42F80">
        <w:rPr>
          <w:rFonts w:ascii="Lustria" w:hAnsi="Lustria"/>
          <w:b w:val="0"/>
          <w:bCs w:val="0"/>
          <w:sz w:val="22"/>
          <w:szCs w:val="22"/>
          <w:lang w:val="en-US"/>
        </w:rPr>
        <w:fldChar w:fldCharType="separate"/>
      </w:r>
      <w:r w:rsidRPr="00F42F80">
        <w:rPr>
          <w:rFonts w:ascii="Lustria" w:hAnsi="Lustria"/>
          <w:b w:val="0"/>
          <w:bCs w:val="0"/>
          <w:noProof/>
          <w:sz w:val="22"/>
          <w:szCs w:val="22"/>
          <w:lang w:val="en-US"/>
        </w:rPr>
        <w:t>(Davis, 1989; Davis et al., 1989; Venkatesh &amp; Davis, 2000)</w:t>
      </w:r>
      <w:r w:rsidRPr="00F42F80">
        <w:rPr>
          <w:rFonts w:ascii="Lustria" w:hAnsi="Lustria"/>
          <w:b w:val="0"/>
          <w:bCs w:val="0"/>
          <w:sz w:val="22"/>
          <w:szCs w:val="22"/>
          <w:lang w:val="en-US"/>
        </w:rPr>
        <w:fldChar w:fldCharType="end"/>
      </w:r>
      <w:r w:rsidRPr="00F42F80">
        <w:rPr>
          <w:rFonts w:ascii="Lustria" w:hAnsi="Lustria"/>
          <w:b w:val="0"/>
          <w:bCs w:val="0"/>
          <w:sz w:val="22"/>
          <w:szCs w:val="22"/>
          <w:lang w:val="en-US"/>
        </w:rPr>
        <w:t xml:space="preserve">, knowledge management </w:t>
      </w:r>
      <w:r w:rsidRPr="00F42F80">
        <w:rPr>
          <w:rFonts w:ascii="Lustria" w:hAnsi="Lustria"/>
          <w:b w:val="0"/>
          <w:bCs w:val="0"/>
          <w:sz w:val="22"/>
          <w:szCs w:val="22"/>
          <w:lang w:val="en-US"/>
        </w:rPr>
        <w:fldChar w:fldCharType="begin" w:fldLock="1"/>
      </w:r>
      <w:r w:rsidRPr="00F42F80">
        <w:rPr>
          <w:rFonts w:ascii="Lustria" w:hAnsi="Lustria"/>
          <w:b w:val="0"/>
          <w:bCs w:val="0"/>
          <w:sz w:val="22"/>
          <w:szCs w:val="22"/>
          <w:lang w:val="en-US"/>
        </w:rPr>
        <w:instrText>ADDIN CSL_CITATION {"citationItems":[{"id":"ITEM-1","itemData":{"author":[{"dropping-particle":"","family":"Nonaka","given":"Ikujiro","non-dropping-particle":"","parse-names":false,"suffix":""},{"dropping-particle":"","family":"Takeuchi","given":"Hirotaka","non-dropping-particle":"","parse-names":false,"suffix":""}],"id":"ITEM-1","issued":{"date-parts":[["1995"]]},"publisher":"Oxford university press","title":"The knowledge-creating company: How Japanese companies create the dynamics of innovation","type":"book"},"uris":["http://www.mendeley.com/documents/?uuid=7fdde65a-ad49-4d15-82e0-6585f0468504"]},{"id":"ITEM-2","itemData":{"author":[{"dropping-particle":"","family":"Dalkir","given":"Kimiz","non-dropping-particle":"","parse-names":false,"suffix":""}],"id":"ITEM-2","issued":{"date-parts":[["2013"]]},"publisher":"Routledge","title":"Knowledge management in theory and practice","type":"book"},"uris":["http://www.mendeley.com/documents/?uuid=07f7078f-0746-4cad-9539-dd37bcb8ce60"]}],"mendeley":{"formattedCitation":"(Dalkir, 2013; Nonaka &amp; Takeuchi, 1995)","plainTextFormattedCitation":"(Dalkir, 2013; Nonaka &amp; Takeuchi, 1995)","previouslyFormattedCitation":"(Dalkir, 2013; Nonaka &amp; Takeuchi, 1995)"},"properties":{"noteIndex":0},"schema":"https://github.com/citation-style-language/schema/raw/master/csl-citation.json"}</w:instrText>
      </w:r>
      <w:r w:rsidRPr="00F42F80">
        <w:rPr>
          <w:rFonts w:ascii="Lustria" w:hAnsi="Lustria"/>
          <w:b w:val="0"/>
          <w:bCs w:val="0"/>
          <w:sz w:val="22"/>
          <w:szCs w:val="22"/>
          <w:lang w:val="en-US"/>
        </w:rPr>
        <w:fldChar w:fldCharType="separate"/>
      </w:r>
      <w:r w:rsidRPr="00F42F80">
        <w:rPr>
          <w:rFonts w:ascii="Lustria" w:hAnsi="Lustria"/>
          <w:b w:val="0"/>
          <w:bCs w:val="0"/>
          <w:noProof/>
          <w:sz w:val="22"/>
          <w:szCs w:val="22"/>
          <w:lang w:val="en-US"/>
        </w:rPr>
        <w:t>(Dalkir, 2013; Nonaka &amp; Takeuchi, 1995)</w:t>
      </w:r>
      <w:r w:rsidRPr="00F42F80">
        <w:rPr>
          <w:rFonts w:ascii="Lustria" w:hAnsi="Lustria"/>
          <w:b w:val="0"/>
          <w:bCs w:val="0"/>
          <w:sz w:val="22"/>
          <w:szCs w:val="22"/>
          <w:lang w:val="en-US"/>
        </w:rPr>
        <w:fldChar w:fldCharType="end"/>
      </w:r>
      <w:r w:rsidRPr="00F42F80">
        <w:rPr>
          <w:rFonts w:ascii="Lustria" w:hAnsi="Lustria"/>
          <w:b w:val="0"/>
          <w:bCs w:val="0"/>
          <w:sz w:val="22"/>
          <w:szCs w:val="22"/>
          <w:lang w:val="en-US"/>
        </w:rPr>
        <w:t>. This strategy needs to be done to enrich the variety of research and capture broader phenomena in learning and learning dynamics in Higher Education. On the other hand, this study also seeks to bridge the research gap between tertiary institutions and the business sector.</w:t>
      </w:r>
    </w:p>
    <w:p w14:paraId="5D4D2728" w14:textId="034CE3E8" w:rsidR="00440DD7" w:rsidRPr="00F42F80" w:rsidRDefault="00E74908" w:rsidP="00E74908">
      <w:pPr>
        <w:pBdr>
          <w:top w:val="nil"/>
          <w:left w:val="nil"/>
          <w:bottom w:val="nil"/>
          <w:right w:val="nil"/>
          <w:between w:val="nil"/>
        </w:pBdr>
        <w:ind w:firstLine="567"/>
        <w:jc w:val="both"/>
        <w:rPr>
          <w:rFonts w:ascii="Lustria" w:eastAsia="Lustria" w:hAnsi="Lustria" w:cs="Lustria"/>
          <w:b/>
          <w:color w:val="000000"/>
          <w:sz w:val="22"/>
          <w:szCs w:val="22"/>
        </w:rPr>
      </w:pPr>
      <w:r w:rsidRPr="00F42F80">
        <w:rPr>
          <w:rFonts w:ascii="Lustria" w:hAnsi="Lustria"/>
          <w:sz w:val="22"/>
          <w:szCs w:val="22"/>
          <w:lang w:val="en-US"/>
        </w:rPr>
        <w:t>Furthermore, in practical terms, this study recommends universities to manage non-formal learning that has been running voluntarily. This management really needs to be done so that the student community's potential can be optimized to help achieve not only learning outcomes but also achieve individual competitive advantages that are increasingly needed today. Higher education, through the management of the study program, can facilitate infrastructure and sustainable coaching by paying attention to aspects of integration and task orientation in the learning community.</w:t>
      </w:r>
    </w:p>
    <w:p w14:paraId="73E422C3" w14:textId="77777777" w:rsidR="00440DD7" w:rsidRPr="00F42F80" w:rsidRDefault="00E74908">
      <w:pPr>
        <w:pBdr>
          <w:top w:val="nil"/>
          <w:left w:val="nil"/>
          <w:bottom w:val="nil"/>
          <w:right w:val="nil"/>
          <w:between w:val="nil"/>
        </w:pBdr>
        <w:tabs>
          <w:tab w:val="left" w:pos="426"/>
        </w:tabs>
        <w:spacing w:before="240" w:after="240"/>
        <w:rPr>
          <w:rFonts w:ascii="Lustria" w:eastAsia="Lustria" w:hAnsi="Lustria" w:cs="Lustria"/>
          <w:b/>
          <w:smallCaps/>
          <w:color w:val="000000"/>
          <w:sz w:val="24"/>
          <w:szCs w:val="24"/>
        </w:rPr>
      </w:pPr>
      <w:r w:rsidRPr="00F42F80">
        <w:rPr>
          <w:rFonts w:ascii="Lustria" w:eastAsia="Lustria" w:hAnsi="Lustria" w:cs="Lustria"/>
          <w:b/>
          <w:smallCaps/>
          <w:color w:val="000000"/>
          <w:sz w:val="24"/>
          <w:szCs w:val="24"/>
        </w:rPr>
        <w:t xml:space="preserve">REFERENCES </w:t>
      </w:r>
      <w:r w:rsidRPr="00F42F80">
        <w:rPr>
          <w:rFonts w:ascii="Lustria" w:eastAsia="Lustria" w:hAnsi="Lustria" w:cs="Lustria"/>
          <w:b/>
          <w:i/>
          <w:color w:val="00B0F0"/>
        </w:rPr>
        <w:t>(Shortcut: Alt+Ctrl+B)</w:t>
      </w:r>
    </w:p>
    <w:p w14:paraId="68383A1C" w14:textId="1124F7AC"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eastAsia="Lustria" w:hAnsi="Lustria" w:cs="Lustria"/>
          <w:color w:val="000000"/>
        </w:rPr>
        <w:fldChar w:fldCharType="begin" w:fldLock="1"/>
      </w:r>
      <w:r w:rsidRPr="00F42F80">
        <w:rPr>
          <w:rFonts w:ascii="Lustria" w:eastAsia="Lustria" w:hAnsi="Lustria" w:cs="Lustria"/>
          <w:color w:val="000000"/>
        </w:rPr>
        <w:instrText xml:space="preserve">ADDIN Mendeley Bibliography CSL_BIBLIOGRAPHY </w:instrText>
      </w:r>
      <w:r w:rsidRPr="00F42F80">
        <w:rPr>
          <w:rFonts w:ascii="Lustria" w:eastAsia="Lustria" w:hAnsi="Lustria" w:cs="Lustria"/>
          <w:color w:val="000000"/>
        </w:rPr>
        <w:fldChar w:fldCharType="separate"/>
      </w:r>
      <w:r w:rsidRPr="00F42F80">
        <w:rPr>
          <w:rFonts w:ascii="Lustria" w:hAnsi="Lustria"/>
          <w:noProof/>
          <w:szCs w:val="24"/>
        </w:rPr>
        <w:t xml:space="preserve">Ajzen, I. (1991). The Theory of Planned Behavior Organizational Behavior and Human Decision Processes. </w:t>
      </w:r>
      <w:r w:rsidRPr="00F42F80">
        <w:rPr>
          <w:rFonts w:ascii="Lustria" w:hAnsi="Lustria"/>
          <w:i/>
          <w:iCs/>
          <w:noProof/>
          <w:szCs w:val="24"/>
        </w:rPr>
        <w:t>Organizational Behavior and Human Decision Processes</w:t>
      </w:r>
      <w:r w:rsidRPr="00F42F80">
        <w:rPr>
          <w:rFonts w:ascii="Lustria" w:hAnsi="Lustria"/>
          <w:noProof/>
          <w:szCs w:val="24"/>
        </w:rPr>
        <w:t xml:space="preserve">, </w:t>
      </w:r>
      <w:r w:rsidRPr="00F42F80">
        <w:rPr>
          <w:rFonts w:ascii="Lustria" w:hAnsi="Lustria"/>
          <w:i/>
          <w:iCs/>
          <w:noProof/>
          <w:szCs w:val="24"/>
        </w:rPr>
        <w:t>50</w:t>
      </w:r>
      <w:r w:rsidRPr="00F42F80">
        <w:rPr>
          <w:rFonts w:ascii="Lustria" w:hAnsi="Lustria"/>
          <w:noProof/>
          <w:szCs w:val="24"/>
        </w:rPr>
        <w:t>(2), 179–211.</w:t>
      </w:r>
    </w:p>
    <w:p w14:paraId="501A2F78"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Ajzen, I., &amp; others. (1991). The theory of planned behavior. </w:t>
      </w:r>
      <w:r w:rsidRPr="00F42F80">
        <w:rPr>
          <w:rFonts w:ascii="Lustria" w:hAnsi="Lustria"/>
          <w:i/>
          <w:iCs/>
          <w:noProof/>
          <w:szCs w:val="24"/>
        </w:rPr>
        <w:t>Organizational Behavior and Human Decision Processes</w:t>
      </w:r>
      <w:r w:rsidRPr="00F42F80">
        <w:rPr>
          <w:rFonts w:ascii="Lustria" w:hAnsi="Lustria"/>
          <w:noProof/>
          <w:szCs w:val="24"/>
        </w:rPr>
        <w:t xml:space="preserve">, </w:t>
      </w:r>
      <w:r w:rsidRPr="00F42F80">
        <w:rPr>
          <w:rFonts w:ascii="Lustria" w:hAnsi="Lustria"/>
          <w:i/>
          <w:iCs/>
          <w:noProof/>
          <w:szCs w:val="24"/>
        </w:rPr>
        <w:t>50</w:t>
      </w:r>
      <w:r w:rsidRPr="00F42F80">
        <w:rPr>
          <w:rFonts w:ascii="Lustria" w:hAnsi="Lustria"/>
          <w:noProof/>
          <w:szCs w:val="24"/>
        </w:rPr>
        <w:t>(2), 179–211.</w:t>
      </w:r>
    </w:p>
    <w:p w14:paraId="179BECA2"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Cavanagh, P., Evans, J., Fiatarone, M., Hagberg, J., McAuley, E., &amp; Startzell, J. (1998). Exercise and physical activity for older adults. </w:t>
      </w:r>
      <w:r w:rsidRPr="00F42F80">
        <w:rPr>
          <w:rFonts w:ascii="Lustria" w:hAnsi="Lustria"/>
          <w:i/>
          <w:iCs/>
          <w:noProof/>
          <w:szCs w:val="24"/>
        </w:rPr>
        <w:t>Med Sci Sports Exerc</w:t>
      </w:r>
      <w:r w:rsidRPr="00F42F80">
        <w:rPr>
          <w:rFonts w:ascii="Lustria" w:hAnsi="Lustria"/>
          <w:noProof/>
          <w:szCs w:val="24"/>
        </w:rPr>
        <w:t xml:space="preserve">, </w:t>
      </w:r>
      <w:r w:rsidRPr="00F42F80">
        <w:rPr>
          <w:rFonts w:ascii="Lustria" w:hAnsi="Lustria"/>
          <w:i/>
          <w:iCs/>
          <w:noProof/>
          <w:szCs w:val="24"/>
        </w:rPr>
        <w:t>30</w:t>
      </w:r>
      <w:r w:rsidRPr="00F42F80">
        <w:rPr>
          <w:rFonts w:ascii="Lustria" w:hAnsi="Lustria"/>
          <w:noProof/>
          <w:szCs w:val="24"/>
        </w:rPr>
        <w:t>(6), 1–29.</w:t>
      </w:r>
    </w:p>
    <w:p w14:paraId="53D1B4C1"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Cooper, D. R., Schindler, P. S., &amp; Sun, J. (2006). </w:t>
      </w:r>
      <w:r w:rsidRPr="00F42F80">
        <w:rPr>
          <w:rFonts w:ascii="Lustria" w:hAnsi="Lustria"/>
          <w:i/>
          <w:iCs/>
          <w:noProof/>
          <w:szCs w:val="24"/>
        </w:rPr>
        <w:t>Business Research Method</w:t>
      </w:r>
      <w:r w:rsidRPr="00F42F80">
        <w:rPr>
          <w:rFonts w:ascii="Lustria" w:hAnsi="Lustria"/>
          <w:noProof/>
          <w:szCs w:val="24"/>
        </w:rPr>
        <w:t>. McGraw-Hill.</w:t>
      </w:r>
    </w:p>
    <w:p w14:paraId="2F1028E8"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Dalkir, K. (2013). </w:t>
      </w:r>
      <w:r w:rsidRPr="00F42F80">
        <w:rPr>
          <w:rFonts w:ascii="Lustria" w:hAnsi="Lustria"/>
          <w:i/>
          <w:iCs/>
          <w:noProof/>
          <w:szCs w:val="24"/>
        </w:rPr>
        <w:t>Knowledge management in theory and practice</w:t>
      </w:r>
      <w:r w:rsidRPr="00F42F80">
        <w:rPr>
          <w:rFonts w:ascii="Lustria" w:hAnsi="Lustria"/>
          <w:noProof/>
          <w:szCs w:val="24"/>
        </w:rPr>
        <w:t>. Routledge.</w:t>
      </w:r>
    </w:p>
    <w:p w14:paraId="19FE0920"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Davis, F. D. (1989). Perceived usefulness, perceived ease of use, and user acceptance of information technology. </w:t>
      </w:r>
      <w:r w:rsidRPr="00F42F80">
        <w:rPr>
          <w:rFonts w:ascii="Lustria" w:hAnsi="Lustria"/>
          <w:i/>
          <w:iCs/>
          <w:noProof/>
          <w:szCs w:val="24"/>
        </w:rPr>
        <w:t>MIS Quarterly</w:t>
      </w:r>
      <w:r w:rsidRPr="00F42F80">
        <w:rPr>
          <w:rFonts w:ascii="Lustria" w:hAnsi="Lustria"/>
          <w:noProof/>
          <w:szCs w:val="24"/>
        </w:rPr>
        <w:t>, 319–340.</w:t>
      </w:r>
    </w:p>
    <w:p w14:paraId="41B0D6FC"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Davis, F. D., Bagozzi, R. P., &amp; Warshaw, P. R. (1989). User acceptance of computer technology: a comparison of two theoretical models. </w:t>
      </w:r>
      <w:r w:rsidRPr="00F42F80">
        <w:rPr>
          <w:rFonts w:ascii="Lustria" w:hAnsi="Lustria"/>
          <w:i/>
          <w:iCs/>
          <w:noProof/>
          <w:szCs w:val="24"/>
        </w:rPr>
        <w:t>Management Science</w:t>
      </w:r>
      <w:r w:rsidRPr="00F42F80">
        <w:rPr>
          <w:rFonts w:ascii="Lustria" w:hAnsi="Lustria"/>
          <w:noProof/>
          <w:szCs w:val="24"/>
        </w:rPr>
        <w:t xml:space="preserve">, </w:t>
      </w:r>
      <w:r w:rsidRPr="00F42F80">
        <w:rPr>
          <w:rFonts w:ascii="Lustria" w:hAnsi="Lustria"/>
          <w:i/>
          <w:iCs/>
          <w:noProof/>
          <w:szCs w:val="24"/>
        </w:rPr>
        <w:t>35</w:t>
      </w:r>
      <w:r w:rsidRPr="00F42F80">
        <w:rPr>
          <w:rFonts w:ascii="Lustria" w:hAnsi="Lustria"/>
          <w:noProof/>
          <w:szCs w:val="24"/>
        </w:rPr>
        <w:t>(8), 982–1003.</w:t>
      </w:r>
    </w:p>
    <w:p w14:paraId="38344A87"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Dorman, J. P., &amp; Fraser, B. J. (2009). Psychosocial environment and affective outcomes in technology-rich classrooms: Testing a causal model. </w:t>
      </w:r>
      <w:r w:rsidRPr="00F42F80">
        <w:rPr>
          <w:rFonts w:ascii="Lustria" w:hAnsi="Lustria"/>
          <w:i/>
          <w:iCs/>
          <w:noProof/>
          <w:szCs w:val="24"/>
        </w:rPr>
        <w:t>Social Psychology of Education</w:t>
      </w:r>
      <w:r w:rsidRPr="00F42F80">
        <w:rPr>
          <w:rFonts w:ascii="Lustria" w:hAnsi="Lustria"/>
          <w:noProof/>
          <w:szCs w:val="24"/>
        </w:rPr>
        <w:t xml:space="preserve">, </w:t>
      </w:r>
      <w:r w:rsidRPr="00F42F80">
        <w:rPr>
          <w:rFonts w:ascii="Lustria" w:hAnsi="Lustria"/>
          <w:i/>
          <w:iCs/>
          <w:noProof/>
          <w:szCs w:val="24"/>
        </w:rPr>
        <w:t>12</w:t>
      </w:r>
      <w:r w:rsidRPr="00F42F80">
        <w:rPr>
          <w:rFonts w:ascii="Lustria" w:hAnsi="Lustria"/>
          <w:noProof/>
          <w:szCs w:val="24"/>
        </w:rPr>
        <w:t>(1), 77.</w:t>
      </w:r>
    </w:p>
    <w:p w14:paraId="491BF3BC"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Effiyanti, T., &amp; Sagala, G. H. (2018). Technostress among teachers: a confirmation of its stressors and antecedent. </w:t>
      </w:r>
      <w:r w:rsidRPr="00F42F80">
        <w:rPr>
          <w:rFonts w:ascii="Lustria" w:hAnsi="Lustria"/>
          <w:i/>
          <w:iCs/>
          <w:noProof/>
          <w:szCs w:val="24"/>
        </w:rPr>
        <w:t>International Journal of Education Economics and Development</w:t>
      </w:r>
      <w:r w:rsidRPr="00F42F80">
        <w:rPr>
          <w:rFonts w:ascii="Lustria" w:hAnsi="Lustria"/>
          <w:noProof/>
          <w:szCs w:val="24"/>
        </w:rPr>
        <w:t xml:space="preserve">, </w:t>
      </w:r>
      <w:r w:rsidRPr="00F42F80">
        <w:rPr>
          <w:rFonts w:ascii="Lustria" w:hAnsi="Lustria"/>
          <w:i/>
          <w:iCs/>
          <w:noProof/>
          <w:szCs w:val="24"/>
        </w:rPr>
        <w:t>9</w:t>
      </w:r>
      <w:r w:rsidRPr="00F42F80">
        <w:rPr>
          <w:rFonts w:ascii="Lustria" w:hAnsi="Lustria"/>
          <w:noProof/>
          <w:szCs w:val="24"/>
        </w:rPr>
        <w:t>(2), 134–148.</w:t>
      </w:r>
    </w:p>
    <w:p w14:paraId="50625334"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Fishbein, M., &amp; Ajzen, I. (1977). </w:t>
      </w:r>
      <w:r w:rsidRPr="00F42F80">
        <w:rPr>
          <w:rFonts w:ascii="Lustria" w:hAnsi="Lustria"/>
          <w:i/>
          <w:iCs/>
          <w:noProof/>
          <w:szCs w:val="24"/>
        </w:rPr>
        <w:t>Belief, attitude, intention, and behavior: An introduction to theory and research</w:t>
      </w:r>
      <w:r w:rsidRPr="00F42F80">
        <w:rPr>
          <w:rFonts w:ascii="Lustria" w:hAnsi="Lustria"/>
          <w:noProof/>
          <w:szCs w:val="24"/>
        </w:rPr>
        <w:t>.</w:t>
      </w:r>
    </w:p>
    <w:p w14:paraId="671EDEE9"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Fishbein, M., &amp; Ajzen, I. (1981). Attitudes and voting behavior: An application of the theory of reasoned action. </w:t>
      </w:r>
      <w:r w:rsidRPr="00F42F80">
        <w:rPr>
          <w:rFonts w:ascii="Lustria" w:hAnsi="Lustria"/>
          <w:i/>
          <w:iCs/>
          <w:noProof/>
          <w:szCs w:val="24"/>
        </w:rPr>
        <w:t>Progress in Applied Social Psychology</w:t>
      </w:r>
      <w:r w:rsidRPr="00F42F80">
        <w:rPr>
          <w:rFonts w:ascii="Lustria" w:hAnsi="Lustria"/>
          <w:noProof/>
          <w:szCs w:val="24"/>
        </w:rPr>
        <w:t xml:space="preserve">, </w:t>
      </w:r>
      <w:r w:rsidRPr="00F42F80">
        <w:rPr>
          <w:rFonts w:ascii="Lustria" w:hAnsi="Lustria"/>
          <w:i/>
          <w:iCs/>
          <w:noProof/>
          <w:szCs w:val="24"/>
        </w:rPr>
        <w:t>1</w:t>
      </w:r>
      <w:r w:rsidRPr="00F42F80">
        <w:rPr>
          <w:rFonts w:ascii="Lustria" w:hAnsi="Lustria"/>
          <w:noProof/>
          <w:szCs w:val="24"/>
        </w:rPr>
        <w:t>(1), 253–313.</w:t>
      </w:r>
    </w:p>
    <w:p w14:paraId="265A7580"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Flood, B., &amp; Wilson, R. M. S. (2008). An exploration of the learning approaches of prospective professional accountants in Ireland. </w:t>
      </w:r>
      <w:r w:rsidRPr="00F42F80">
        <w:rPr>
          <w:rFonts w:ascii="Lustria" w:hAnsi="Lustria"/>
          <w:i/>
          <w:iCs/>
          <w:noProof/>
          <w:szCs w:val="24"/>
        </w:rPr>
        <w:t>Accounting Forum</w:t>
      </w:r>
      <w:r w:rsidRPr="00F42F80">
        <w:rPr>
          <w:rFonts w:ascii="Lustria" w:hAnsi="Lustria"/>
          <w:noProof/>
          <w:szCs w:val="24"/>
        </w:rPr>
        <w:t xml:space="preserve">, </w:t>
      </w:r>
      <w:r w:rsidRPr="00F42F80">
        <w:rPr>
          <w:rFonts w:ascii="Lustria" w:hAnsi="Lustria"/>
          <w:i/>
          <w:iCs/>
          <w:noProof/>
          <w:szCs w:val="24"/>
        </w:rPr>
        <w:t>32</w:t>
      </w:r>
      <w:r w:rsidRPr="00F42F80">
        <w:rPr>
          <w:rFonts w:ascii="Lustria" w:hAnsi="Lustria"/>
          <w:noProof/>
          <w:szCs w:val="24"/>
        </w:rPr>
        <w:t>(3), 225–239. https://doi.org/10.1016/j.accfor.2008.01.001</w:t>
      </w:r>
    </w:p>
    <w:p w14:paraId="775A75B4"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Fogarty, T. J., Zimmerman, A. B., &amp; Richardson, V. J. (2016). What do we mean by accounting program quality? A decomposition of accounting faculty opinions. </w:t>
      </w:r>
      <w:r w:rsidRPr="00F42F80">
        <w:rPr>
          <w:rFonts w:ascii="Lustria" w:hAnsi="Lustria"/>
          <w:i/>
          <w:iCs/>
          <w:noProof/>
          <w:szCs w:val="24"/>
        </w:rPr>
        <w:t>Journal of Accounting Education</w:t>
      </w:r>
      <w:r w:rsidRPr="00F42F80">
        <w:rPr>
          <w:rFonts w:ascii="Lustria" w:hAnsi="Lustria"/>
          <w:noProof/>
          <w:szCs w:val="24"/>
        </w:rPr>
        <w:t xml:space="preserve">, </w:t>
      </w:r>
      <w:r w:rsidRPr="00F42F80">
        <w:rPr>
          <w:rFonts w:ascii="Lustria" w:hAnsi="Lustria"/>
          <w:i/>
          <w:iCs/>
          <w:noProof/>
          <w:szCs w:val="24"/>
        </w:rPr>
        <w:t>36</w:t>
      </w:r>
      <w:r w:rsidRPr="00F42F80">
        <w:rPr>
          <w:rFonts w:ascii="Lustria" w:hAnsi="Lustria"/>
          <w:noProof/>
          <w:szCs w:val="24"/>
        </w:rPr>
        <w:t>, 16–42. https://doi.org/10.1016/j.jaccedu.2016.04.001</w:t>
      </w:r>
    </w:p>
    <w:p w14:paraId="64628229"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Fornell, C., &amp; Larcker, D. F. (1981). </w:t>
      </w:r>
      <w:r w:rsidRPr="00F42F80">
        <w:rPr>
          <w:rFonts w:ascii="Lustria" w:hAnsi="Lustria"/>
          <w:i/>
          <w:iCs/>
          <w:noProof/>
          <w:szCs w:val="24"/>
        </w:rPr>
        <w:t>Structural equation models with unobservable variables and measurement error: Algebra and statistics</w:t>
      </w:r>
      <w:r w:rsidRPr="00F42F80">
        <w:rPr>
          <w:rFonts w:ascii="Lustria" w:hAnsi="Lustria"/>
          <w:noProof/>
          <w:szCs w:val="24"/>
        </w:rPr>
        <w:t>. Sage Publications Sage CA: Los Angeles, CA.</w:t>
      </w:r>
    </w:p>
    <w:p w14:paraId="32283DD4"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lastRenderedPageBreak/>
        <w:t xml:space="preserve">Fraser, B. J., &amp; Walberg, H. J. (1991). </w:t>
      </w:r>
      <w:r w:rsidRPr="00F42F80">
        <w:rPr>
          <w:rFonts w:ascii="Lustria" w:hAnsi="Lustria"/>
          <w:i/>
          <w:iCs/>
          <w:noProof/>
          <w:szCs w:val="24"/>
        </w:rPr>
        <w:t>Educational environments: evaluation, antecedents and consequences.</w:t>
      </w:r>
      <w:r w:rsidRPr="00F42F80">
        <w:rPr>
          <w:rFonts w:ascii="Lustria" w:hAnsi="Lustria"/>
          <w:noProof/>
          <w:szCs w:val="24"/>
        </w:rPr>
        <w:t xml:space="preserve"> Pergamon Press.</w:t>
      </w:r>
    </w:p>
    <w:p w14:paraId="4CD8CD2D"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Fullan, M. G. (1993). Why teachers must become change agents. </w:t>
      </w:r>
      <w:r w:rsidRPr="00F42F80">
        <w:rPr>
          <w:rFonts w:ascii="Lustria" w:hAnsi="Lustria"/>
          <w:i/>
          <w:iCs/>
          <w:noProof/>
          <w:szCs w:val="24"/>
        </w:rPr>
        <w:t>Educational Leadership</w:t>
      </w:r>
      <w:r w:rsidRPr="00F42F80">
        <w:rPr>
          <w:rFonts w:ascii="Lustria" w:hAnsi="Lustria"/>
          <w:noProof/>
          <w:szCs w:val="24"/>
        </w:rPr>
        <w:t xml:space="preserve">, </w:t>
      </w:r>
      <w:r w:rsidRPr="00F42F80">
        <w:rPr>
          <w:rFonts w:ascii="Lustria" w:hAnsi="Lustria"/>
          <w:i/>
          <w:iCs/>
          <w:noProof/>
          <w:szCs w:val="24"/>
        </w:rPr>
        <w:t>50</w:t>
      </w:r>
      <w:r w:rsidRPr="00F42F80">
        <w:rPr>
          <w:rFonts w:ascii="Lustria" w:hAnsi="Lustria"/>
          <w:noProof/>
          <w:szCs w:val="24"/>
        </w:rPr>
        <w:t>, 12.</w:t>
      </w:r>
    </w:p>
    <w:p w14:paraId="3444050D"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Grimm, S. D., &amp; Blazovich, J. L. (2016). Developing student competencies: An integrated approach to a financial statement analysis project. </w:t>
      </w:r>
      <w:r w:rsidRPr="00F42F80">
        <w:rPr>
          <w:rFonts w:ascii="Lustria" w:hAnsi="Lustria"/>
          <w:i/>
          <w:iCs/>
          <w:noProof/>
          <w:szCs w:val="24"/>
        </w:rPr>
        <w:t>Journal of Accounting Education</w:t>
      </w:r>
      <w:r w:rsidRPr="00F42F80">
        <w:rPr>
          <w:rFonts w:ascii="Lustria" w:hAnsi="Lustria"/>
          <w:noProof/>
          <w:szCs w:val="24"/>
        </w:rPr>
        <w:t xml:space="preserve">, </w:t>
      </w:r>
      <w:r w:rsidRPr="00F42F80">
        <w:rPr>
          <w:rFonts w:ascii="Lustria" w:hAnsi="Lustria"/>
          <w:i/>
          <w:iCs/>
          <w:noProof/>
          <w:szCs w:val="24"/>
        </w:rPr>
        <w:t>35</w:t>
      </w:r>
      <w:r w:rsidRPr="00F42F80">
        <w:rPr>
          <w:rFonts w:ascii="Lustria" w:hAnsi="Lustria"/>
          <w:noProof/>
          <w:szCs w:val="24"/>
        </w:rPr>
        <w:t>, 69–101. https://doi.org/10.1016/j.jaccedu.2016.01.001</w:t>
      </w:r>
    </w:p>
    <w:p w14:paraId="30828510"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Hafsah, H., Sagala, G. H., &amp; Ramdhansyah, R. (2018). Learning Community on Computer-Based Statistics Acceptance for Accounting Students. </w:t>
      </w:r>
      <w:r w:rsidRPr="00F42F80">
        <w:rPr>
          <w:rFonts w:ascii="Lustria" w:hAnsi="Lustria"/>
          <w:i/>
          <w:iCs/>
          <w:noProof/>
          <w:szCs w:val="24"/>
        </w:rPr>
        <w:t>Dinamika Pendidikan</w:t>
      </w:r>
      <w:r w:rsidRPr="00F42F80">
        <w:rPr>
          <w:rFonts w:ascii="Lustria" w:hAnsi="Lustria"/>
          <w:noProof/>
          <w:szCs w:val="24"/>
        </w:rPr>
        <w:t xml:space="preserve">, </w:t>
      </w:r>
      <w:r w:rsidRPr="00F42F80">
        <w:rPr>
          <w:rFonts w:ascii="Lustria" w:hAnsi="Lustria"/>
          <w:i/>
          <w:iCs/>
          <w:noProof/>
          <w:szCs w:val="24"/>
        </w:rPr>
        <w:t>13</w:t>
      </w:r>
      <w:r w:rsidRPr="00F42F80">
        <w:rPr>
          <w:rFonts w:ascii="Lustria" w:hAnsi="Lustria"/>
          <w:noProof/>
          <w:szCs w:val="24"/>
        </w:rPr>
        <w:t>(2), 171–184.</w:t>
      </w:r>
    </w:p>
    <w:p w14:paraId="1A377947"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Hair, J. F., Black, W. C., Babin, B. J., &amp; Anderson, R. E. (2009). </w:t>
      </w:r>
      <w:r w:rsidRPr="00F42F80">
        <w:rPr>
          <w:rFonts w:ascii="Lustria" w:hAnsi="Lustria"/>
          <w:i/>
          <w:iCs/>
          <w:noProof/>
          <w:szCs w:val="24"/>
        </w:rPr>
        <w:t>Multivariate Data Analysis 7th Edition Pearson Prentice Hall</w:t>
      </w:r>
      <w:r w:rsidRPr="00F42F80">
        <w:rPr>
          <w:rFonts w:ascii="Lustria" w:hAnsi="Lustria"/>
          <w:noProof/>
          <w:szCs w:val="24"/>
        </w:rPr>
        <w:t>. JOUR.</w:t>
      </w:r>
    </w:p>
    <w:p w14:paraId="5D3450B0"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Hasibuan, A., Sagala, G., Silaban, S., Simanjuntak, A., &amp; Rahmah, A. (2020). Accounting Club and Its Impact on Academic Performance of Accounting Students. </w:t>
      </w:r>
      <w:r w:rsidRPr="00F42F80">
        <w:rPr>
          <w:rFonts w:ascii="Lustria" w:hAnsi="Lustria"/>
          <w:i/>
          <w:iCs/>
          <w:noProof/>
          <w:szCs w:val="24"/>
        </w:rPr>
        <w:t>1st Unimed International Conference on Economics Education and Social Science</w:t>
      </w:r>
      <w:r w:rsidRPr="00F42F80">
        <w:rPr>
          <w:rFonts w:ascii="Lustria" w:hAnsi="Lustria"/>
          <w:noProof/>
          <w:szCs w:val="24"/>
        </w:rPr>
        <w:t>, 49–57. https://doi.org/10.5220/0009492300490057</w:t>
      </w:r>
    </w:p>
    <w:p w14:paraId="3B085D1C"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Nguyen, T. H., Charity, I., &amp; Robson, A. (2016). Students’ perceptions of computer-based learning environments, their attitude towards business statistics, and their academic achievement: implications from a UK university. </w:t>
      </w:r>
      <w:r w:rsidRPr="00F42F80">
        <w:rPr>
          <w:rFonts w:ascii="Lustria" w:hAnsi="Lustria"/>
          <w:i/>
          <w:iCs/>
          <w:noProof/>
          <w:szCs w:val="24"/>
        </w:rPr>
        <w:t>Studies in Higher Education</w:t>
      </w:r>
      <w:r w:rsidRPr="00F42F80">
        <w:rPr>
          <w:rFonts w:ascii="Lustria" w:hAnsi="Lustria"/>
          <w:noProof/>
          <w:szCs w:val="24"/>
        </w:rPr>
        <w:t xml:space="preserve">, </w:t>
      </w:r>
      <w:r w:rsidRPr="00F42F80">
        <w:rPr>
          <w:rFonts w:ascii="Lustria" w:hAnsi="Lustria"/>
          <w:i/>
          <w:iCs/>
          <w:noProof/>
          <w:szCs w:val="24"/>
        </w:rPr>
        <w:t>41</w:t>
      </w:r>
      <w:r w:rsidRPr="00F42F80">
        <w:rPr>
          <w:rFonts w:ascii="Lustria" w:hAnsi="Lustria"/>
          <w:noProof/>
          <w:szCs w:val="24"/>
        </w:rPr>
        <w:t>(4), 734–755.</w:t>
      </w:r>
    </w:p>
    <w:p w14:paraId="4AE8C799"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Nonaka, I., &amp; Takeuchi, H. (1995). </w:t>
      </w:r>
      <w:r w:rsidRPr="00F42F80">
        <w:rPr>
          <w:rFonts w:ascii="Lustria" w:hAnsi="Lustria"/>
          <w:i/>
          <w:iCs/>
          <w:noProof/>
          <w:szCs w:val="24"/>
        </w:rPr>
        <w:t>The knowledge-creating company: How Japanese companies create the dynamics of innovation</w:t>
      </w:r>
      <w:r w:rsidRPr="00F42F80">
        <w:rPr>
          <w:rFonts w:ascii="Lustria" w:hAnsi="Lustria"/>
          <w:noProof/>
          <w:szCs w:val="24"/>
        </w:rPr>
        <w:t>. Oxford university press.</w:t>
      </w:r>
    </w:p>
    <w:p w14:paraId="5F3E1CE9"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Onwuegbuzie, A. J. (2000). Statistics anxiety and the role of self-perceptions. </w:t>
      </w:r>
      <w:r w:rsidRPr="00F42F80">
        <w:rPr>
          <w:rFonts w:ascii="Lustria" w:hAnsi="Lustria"/>
          <w:i/>
          <w:iCs/>
          <w:noProof/>
          <w:szCs w:val="24"/>
        </w:rPr>
        <w:t xml:space="preserve">The Journal of </w:t>
      </w:r>
      <w:r w:rsidRPr="00F42F80">
        <w:rPr>
          <w:rFonts w:ascii="Lustria" w:hAnsi="Lustria"/>
          <w:i/>
          <w:iCs/>
          <w:noProof/>
          <w:szCs w:val="24"/>
        </w:rPr>
        <w:t>Educational Research</w:t>
      </w:r>
      <w:r w:rsidRPr="00F42F80">
        <w:rPr>
          <w:rFonts w:ascii="Lustria" w:hAnsi="Lustria"/>
          <w:noProof/>
          <w:szCs w:val="24"/>
        </w:rPr>
        <w:t xml:space="preserve">, </w:t>
      </w:r>
      <w:r w:rsidRPr="00F42F80">
        <w:rPr>
          <w:rFonts w:ascii="Lustria" w:hAnsi="Lustria"/>
          <w:i/>
          <w:iCs/>
          <w:noProof/>
          <w:szCs w:val="24"/>
        </w:rPr>
        <w:t>93</w:t>
      </w:r>
      <w:r w:rsidRPr="00F42F80">
        <w:rPr>
          <w:rFonts w:ascii="Lustria" w:hAnsi="Lustria"/>
          <w:noProof/>
          <w:szCs w:val="24"/>
        </w:rPr>
        <w:t>(5), 323–330.</w:t>
      </w:r>
    </w:p>
    <w:p w14:paraId="6CE7F8CC"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Rindskopf, D., &amp; Rose, T. (1988). Some theory and applications of confirmatory second-order factor analysis. </w:t>
      </w:r>
      <w:r w:rsidRPr="00F42F80">
        <w:rPr>
          <w:rFonts w:ascii="Lustria" w:hAnsi="Lustria"/>
          <w:i/>
          <w:iCs/>
          <w:noProof/>
          <w:szCs w:val="24"/>
        </w:rPr>
        <w:t>Multivariate Behavioral Research</w:t>
      </w:r>
      <w:r w:rsidRPr="00F42F80">
        <w:rPr>
          <w:rFonts w:ascii="Lustria" w:hAnsi="Lustria"/>
          <w:noProof/>
          <w:szCs w:val="24"/>
        </w:rPr>
        <w:t xml:space="preserve">, </w:t>
      </w:r>
      <w:r w:rsidRPr="00F42F80">
        <w:rPr>
          <w:rFonts w:ascii="Lustria" w:hAnsi="Lustria"/>
          <w:i/>
          <w:iCs/>
          <w:noProof/>
          <w:szCs w:val="24"/>
        </w:rPr>
        <w:t>23</w:t>
      </w:r>
      <w:r w:rsidRPr="00F42F80">
        <w:rPr>
          <w:rFonts w:ascii="Lustria" w:hAnsi="Lustria"/>
          <w:noProof/>
          <w:szCs w:val="24"/>
        </w:rPr>
        <w:t>(1), 51–67.</w:t>
      </w:r>
    </w:p>
    <w:p w14:paraId="1A40A85E"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Sagala, G. H., &amp; Sumiyana. (2020). The intersection of hedonic and utilitarian values on integrated-social media retailers. </w:t>
      </w:r>
      <w:r w:rsidRPr="00F42F80">
        <w:rPr>
          <w:rFonts w:ascii="Lustria" w:hAnsi="Lustria"/>
          <w:i/>
          <w:iCs/>
          <w:noProof/>
          <w:szCs w:val="24"/>
        </w:rPr>
        <w:t>International Journal of Business Information Systems</w:t>
      </w:r>
      <w:r w:rsidRPr="00F42F80">
        <w:rPr>
          <w:rFonts w:ascii="Lustria" w:hAnsi="Lustria"/>
          <w:noProof/>
          <w:szCs w:val="24"/>
        </w:rPr>
        <w:t xml:space="preserve">, </w:t>
      </w:r>
      <w:r w:rsidRPr="00F42F80">
        <w:rPr>
          <w:rFonts w:ascii="Lustria" w:hAnsi="Lustria"/>
          <w:i/>
          <w:iCs/>
          <w:noProof/>
          <w:szCs w:val="24"/>
        </w:rPr>
        <w:t>33</w:t>
      </w:r>
      <w:r w:rsidRPr="00F42F80">
        <w:rPr>
          <w:rFonts w:ascii="Lustria" w:hAnsi="Lustria"/>
          <w:noProof/>
          <w:szCs w:val="24"/>
        </w:rPr>
        <w:t>(4), 505–530.</w:t>
      </w:r>
    </w:p>
    <w:p w14:paraId="3D87D42C"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Sagala, G. H., Zainal, A., &amp; Effiyanti, T. (2017). Attitude Toward Computer-Based Statistics Among Pre-Service Teacher Candidates. </w:t>
      </w:r>
      <w:r w:rsidRPr="00F42F80">
        <w:rPr>
          <w:rFonts w:ascii="Lustria" w:hAnsi="Lustria"/>
          <w:i/>
          <w:iCs/>
          <w:noProof/>
          <w:szCs w:val="24"/>
        </w:rPr>
        <w:t>Proceedings of MAC</w:t>
      </w:r>
      <w:r w:rsidRPr="00F42F80">
        <w:rPr>
          <w:rFonts w:ascii="Lustria" w:hAnsi="Lustria"/>
          <w:noProof/>
          <w:szCs w:val="24"/>
        </w:rPr>
        <w:t xml:space="preserve">, </w:t>
      </w:r>
      <w:r w:rsidRPr="00F42F80">
        <w:rPr>
          <w:rFonts w:ascii="Lustria" w:hAnsi="Lustria"/>
          <w:i/>
          <w:iCs/>
          <w:noProof/>
          <w:szCs w:val="24"/>
        </w:rPr>
        <w:t>366</w:t>
      </w:r>
      <w:r w:rsidRPr="00F42F80">
        <w:rPr>
          <w:rFonts w:ascii="Lustria" w:hAnsi="Lustria"/>
          <w:noProof/>
          <w:szCs w:val="24"/>
        </w:rPr>
        <w:t>.</w:t>
      </w:r>
    </w:p>
    <w:p w14:paraId="1EE37467"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Sergiovanni, T. J. (1993). Frames of leadership. </w:t>
      </w:r>
      <w:r w:rsidRPr="00F42F80">
        <w:rPr>
          <w:rFonts w:ascii="Lustria" w:hAnsi="Lustria"/>
          <w:i/>
          <w:iCs/>
          <w:noProof/>
          <w:szCs w:val="24"/>
        </w:rPr>
        <w:t>International Journal of Educational Reform</w:t>
      </w:r>
      <w:r w:rsidRPr="00F42F80">
        <w:rPr>
          <w:rFonts w:ascii="Lustria" w:hAnsi="Lustria"/>
          <w:noProof/>
          <w:szCs w:val="24"/>
        </w:rPr>
        <w:t xml:space="preserve">, </w:t>
      </w:r>
      <w:r w:rsidRPr="00F42F80">
        <w:rPr>
          <w:rFonts w:ascii="Lustria" w:hAnsi="Lustria"/>
          <w:i/>
          <w:iCs/>
          <w:noProof/>
          <w:szCs w:val="24"/>
        </w:rPr>
        <w:t>2</w:t>
      </w:r>
      <w:r w:rsidRPr="00F42F80">
        <w:rPr>
          <w:rFonts w:ascii="Lustria" w:hAnsi="Lustria"/>
          <w:noProof/>
          <w:szCs w:val="24"/>
        </w:rPr>
        <w:t>(1), 19–26.</w:t>
      </w:r>
    </w:p>
    <w:p w14:paraId="16F553C9"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Venkatesh, V., &amp; Davis, F. D. (2000). A theoretical extension of the technology acceptance model: Four longitudinal field studies. </w:t>
      </w:r>
      <w:r w:rsidRPr="00F42F80">
        <w:rPr>
          <w:rFonts w:ascii="Lustria" w:hAnsi="Lustria"/>
          <w:i/>
          <w:iCs/>
          <w:noProof/>
          <w:szCs w:val="24"/>
        </w:rPr>
        <w:t>Management Science</w:t>
      </w:r>
      <w:r w:rsidRPr="00F42F80">
        <w:rPr>
          <w:rFonts w:ascii="Lustria" w:hAnsi="Lustria"/>
          <w:noProof/>
          <w:szCs w:val="24"/>
        </w:rPr>
        <w:t xml:space="preserve">, </w:t>
      </w:r>
      <w:r w:rsidRPr="00F42F80">
        <w:rPr>
          <w:rFonts w:ascii="Lustria" w:hAnsi="Lustria"/>
          <w:i/>
          <w:iCs/>
          <w:noProof/>
          <w:szCs w:val="24"/>
        </w:rPr>
        <w:t>46</w:t>
      </w:r>
      <w:r w:rsidRPr="00F42F80">
        <w:rPr>
          <w:rFonts w:ascii="Lustria" w:hAnsi="Lustria"/>
          <w:noProof/>
          <w:szCs w:val="24"/>
        </w:rPr>
        <w:t>(2), 186–204.</w:t>
      </w:r>
    </w:p>
    <w:p w14:paraId="5C9BFA9E"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Wang, Z., &amp; Scheepers, H. (2012). Understanding the intrinsic motivations of user acceptance of hedonic information systems: towards a unified research model. </w:t>
      </w:r>
      <w:r w:rsidRPr="00F42F80">
        <w:rPr>
          <w:rFonts w:ascii="Lustria" w:hAnsi="Lustria"/>
          <w:i/>
          <w:iCs/>
          <w:noProof/>
          <w:szCs w:val="24"/>
        </w:rPr>
        <w:t>Communications of the Association for Information Systems</w:t>
      </w:r>
      <w:r w:rsidRPr="00F42F80">
        <w:rPr>
          <w:rFonts w:ascii="Lustria" w:hAnsi="Lustria"/>
          <w:noProof/>
          <w:szCs w:val="24"/>
        </w:rPr>
        <w:t xml:space="preserve">, </w:t>
      </w:r>
      <w:r w:rsidRPr="00F42F80">
        <w:rPr>
          <w:rFonts w:ascii="Lustria" w:hAnsi="Lustria"/>
          <w:i/>
          <w:iCs/>
          <w:noProof/>
          <w:szCs w:val="24"/>
        </w:rPr>
        <w:t>30</w:t>
      </w:r>
      <w:r w:rsidRPr="00F42F80">
        <w:rPr>
          <w:rFonts w:ascii="Lustria" w:hAnsi="Lustria"/>
          <w:noProof/>
          <w:szCs w:val="24"/>
        </w:rPr>
        <w:t>(1), 17.</w:t>
      </w:r>
    </w:p>
    <w:p w14:paraId="66EA6CDE"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Warwick, J., &amp; Howard, A. (2016). Mathematical Anxiety as an Inhibitor of Skills Development in Accounting Students. </w:t>
      </w:r>
      <w:r w:rsidRPr="00F42F80">
        <w:rPr>
          <w:rFonts w:ascii="Lustria" w:hAnsi="Lustria"/>
          <w:i/>
          <w:iCs/>
          <w:noProof/>
          <w:szCs w:val="24"/>
        </w:rPr>
        <w:t>Mathitudes</w:t>
      </w:r>
      <w:r w:rsidRPr="00F42F80">
        <w:rPr>
          <w:rFonts w:ascii="Lustria" w:hAnsi="Lustria"/>
          <w:noProof/>
          <w:szCs w:val="24"/>
        </w:rPr>
        <w:t xml:space="preserve">, </w:t>
      </w:r>
      <w:r w:rsidRPr="00F42F80">
        <w:rPr>
          <w:rFonts w:ascii="Lustria" w:hAnsi="Lustria"/>
          <w:i/>
          <w:iCs/>
          <w:noProof/>
          <w:szCs w:val="24"/>
        </w:rPr>
        <w:t>1</w:t>
      </w:r>
      <w:r w:rsidRPr="00F42F80">
        <w:rPr>
          <w:rFonts w:ascii="Lustria" w:hAnsi="Lustria"/>
          <w:noProof/>
          <w:szCs w:val="24"/>
        </w:rPr>
        <w:t>(1), 1–15.</w:t>
      </w:r>
    </w:p>
    <w:p w14:paraId="4A5F68F3" w14:textId="77777777" w:rsidR="002C2F0A" w:rsidRPr="00F42F80" w:rsidRDefault="002C2F0A" w:rsidP="002C2F0A">
      <w:pPr>
        <w:widowControl w:val="0"/>
        <w:autoSpaceDE w:val="0"/>
        <w:autoSpaceDN w:val="0"/>
        <w:adjustRightInd w:val="0"/>
        <w:ind w:left="480" w:hanging="480"/>
        <w:jc w:val="both"/>
        <w:rPr>
          <w:rFonts w:ascii="Lustria" w:hAnsi="Lustria"/>
          <w:noProof/>
          <w:szCs w:val="24"/>
        </w:rPr>
      </w:pPr>
      <w:r w:rsidRPr="00F42F80">
        <w:rPr>
          <w:rFonts w:ascii="Lustria" w:hAnsi="Lustria"/>
          <w:noProof/>
          <w:szCs w:val="24"/>
        </w:rPr>
        <w:t xml:space="preserve">Williams, M., Payne, G., Hodgkinson, L., &amp; Poade, D. (2008). Does British sociology count? Sociology students’ attitudes toward quantitative methods. </w:t>
      </w:r>
      <w:r w:rsidRPr="00F42F80">
        <w:rPr>
          <w:rFonts w:ascii="Lustria" w:hAnsi="Lustria"/>
          <w:i/>
          <w:iCs/>
          <w:noProof/>
          <w:szCs w:val="24"/>
        </w:rPr>
        <w:t>Sociology</w:t>
      </w:r>
      <w:r w:rsidRPr="00F42F80">
        <w:rPr>
          <w:rFonts w:ascii="Lustria" w:hAnsi="Lustria"/>
          <w:noProof/>
          <w:szCs w:val="24"/>
        </w:rPr>
        <w:t xml:space="preserve">, </w:t>
      </w:r>
      <w:r w:rsidRPr="00F42F80">
        <w:rPr>
          <w:rFonts w:ascii="Lustria" w:hAnsi="Lustria"/>
          <w:i/>
          <w:iCs/>
          <w:noProof/>
          <w:szCs w:val="24"/>
        </w:rPr>
        <w:t>42</w:t>
      </w:r>
      <w:r w:rsidRPr="00F42F80">
        <w:rPr>
          <w:rFonts w:ascii="Lustria" w:hAnsi="Lustria"/>
          <w:noProof/>
          <w:szCs w:val="24"/>
        </w:rPr>
        <w:t>(5), 1003–1021.</w:t>
      </w:r>
    </w:p>
    <w:p w14:paraId="494A061F" w14:textId="77777777" w:rsidR="002C2F0A" w:rsidRPr="00F42F80" w:rsidRDefault="002C2F0A" w:rsidP="002C2F0A">
      <w:pPr>
        <w:widowControl w:val="0"/>
        <w:autoSpaceDE w:val="0"/>
        <w:autoSpaceDN w:val="0"/>
        <w:adjustRightInd w:val="0"/>
        <w:ind w:left="480" w:hanging="480"/>
        <w:jc w:val="both"/>
        <w:rPr>
          <w:rFonts w:ascii="Lustria" w:hAnsi="Lustria"/>
          <w:noProof/>
        </w:rPr>
      </w:pPr>
      <w:r w:rsidRPr="00F42F80">
        <w:rPr>
          <w:rFonts w:ascii="Lustria" w:hAnsi="Lustria"/>
          <w:noProof/>
          <w:szCs w:val="24"/>
        </w:rPr>
        <w:t xml:space="preserve">Wu, J., &amp; Lu, X. (2013). Effects of extrinsic and intrinsic motivators on using utilitarian, hedonic, and dual-purposed information systems: A meta-analysis. </w:t>
      </w:r>
      <w:r w:rsidRPr="00F42F80">
        <w:rPr>
          <w:rFonts w:ascii="Lustria" w:hAnsi="Lustria"/>
          <w:i/>
          <w:iCs/>
          <w:noProof/>
          <w:szCs w:val="24"/>
        </w:rPr>
        <w:t>Journal of the Association for Information Systems</w:t>
      </w:r>
      <w:r w:rsidRPr="00F42F80">
        <w:rPr>
          <w:rFonts w:ascii="Lustria" w:hAnsi="Lustria"/>
          <w:noProof/>
          <w:szCs w:val="24"/>
        </w:rPr>
        <w:t xml:space="preserve">, </w:t>
      </w:r>
      <w:r w:rsidRPr="00F42F80">
        <w:rPr>
          <w:rFonts w:ascii="Lustria" w:hAnsi="Lustria"/>
          <w:i/>
          <w:iCs/>
          <w:noProof/>
          <w:szCs w:val="24"/>
        </w:rPr>
        <w:t>14</w:t>
      </w:r>
      <w:r w:rsidRPr="00F42F80">
        <w:rPr>
          <w:rFonts w:ascii="Lustria" w:hAnsi="Lustria"/>
          <w:noProof/>
          <w:szCs w:val="24"/>
        </w:rPr>
        <w:t>(3), 1.</w:t>
      </w:r>
    </w:p>
    <w:p w14:paraId="0353ED94" w14:textId="3E8833AB" w:rsidR="00440DD7" w:rsidRPr="00F42F80" w:rsidRDefault="002C2F0A" w:rsidP="002C2F0A">
      <w:pPr>
        <w:widowControl w:val="0"/>
        <w:pBdr>
          <w:top w:val="nil"/>
          <w:left w:val="nil"/>
          <w:bottom w:val="nil"/>
          <w:right w:val="nil"/>
          <w:between w:val="nil"/>
        </w:pBdr>
        <w:spacing w:line="276" w:lineRule="auto"/>
        <w:ind w:left="567" w:hanging="567"/>
        <w:jc w:val="both"/>
        <w:rPr>
          <w:rFonts w:ascii="Lustria" w:eastAsia="Lustria" w:hAnsi="Lustria" w:cs="Lustria"/>
          <w:color w:val="000000"/>
        </w:rPr>
        <w:sectPr w:rsidR="00440DD7" w:rsidRPr="00F42F80">
          <w:type w:val="continuous"/>
          <w:pgSz w:w="11907" w:h="16840"/>
          <w:pgMar w:top="1418" w:right="1418" w:bottom="1418" w:left="1701" w:header="1134" w:footer="1134" w:gutter="0"/>
          <w:pgNumType w:start="1"/>
          <w:cols w:num="2" w:space="720" w:equalWidth="0">
            <w:col w:w="4034" w:space="720"/>
            <w:col w:w="4034" w:space="0"/>
          </w:cols>
          <w:titlePg/>
        </w:sectPr>
      </w:pPr>
      <w:r w:rsidRPr="00F42F80">
        <w:rPr>
          <w:rFonts w:ascii="Lustria" w:eastAsia="Lustria" w:hAnsi="Lustria" w:cs="Lustria"/>
          <w:color w:val="000000"/>
        </w:rPr>
        <w:fldChar w:fldCharType="end"/>
      </w:r>
    </w:p>
    <w:p w14:paraId="45CDE5DC" w14:textId="77777777" w:rsidR="00440DD7" w:rsidRPr="00F42F80" w:rsidRDefault="00E74908">
      <w:pPr>
        <w:widowControl w:val="0"/>
        <w:pBdr>
          <w:top w:val="nil"/>
          <w:left w:val="nil"/>
          <w:bottom w:val="nil"/>
          <w:right w:val="nil"/>
          <w:between w:val="nil"/>
        </w:pBdr>
        <w:spacing w:line="276" w:lineRule="auto"/>
        <w:ind w:left="567" w:hanging="567"/>
        <w:jc w:val="both"/>
        <w:rPr>
          <w:rFonts w:ascii="Lustria" w:eastAsia="Lustria" w:hAnsi="Lustria" w:cs="Lustria"/>
          <w:color w:val="000000"/>
          <w:sz w:val="22"/>
          <w:szCs w:val="22"/>
        </w:rPr>
        <w:sectPr w:rsidR="00440DD7" w:rsidRPr="00F42F80">
          <w:type w:val="continuous"/>
          <w:pgSz w:w="11907" w:h="16840"/>
          <w:pgMar w:top="1418" w:right="1418" w:bottom="1418" w:left="1701" w:header="1134" w:footer="1134" w:gutter="0"/>
          <w:pgNumType w:start="1"/>
          <w:cols w:space="720"/>
          <w:titlePg/>
        </w:sectPr>
      </w:pPr>
      <w:r w:rsidRPr="00F42F80">
        <w:rPr>
          <w:rFonts w:ascii="Lustria" w:eastAsia="Lustria" w:hAnsi="Lustria" w:cs="Lustria"/>
          <w:color w:val="000000"/>
          <w:sz w:val="22"/>
          <w:szCs w:val="22"/>
        </w:rPr>
        <w:t xml:space="preserve"> </w:t>
      </w:r>
    </w:p>
    <w:p w14:paraId="06F81161" w14:textId="77777777" w:rsidR="00440DD7" w:rsidRPr="00F42F80" w:rsidRDefault="00440DD7">
      <w:pPr>
        <w:widowControl w:val="0"/>
        <w:jc w:val="both"/>
        <w:rPr>
          <w:rFonts w:ascii="Lustria" w:eastAsia="Lustria" w:hAnsi="Lustria" w:cs="Lustria"/>
          <w:sz w:val="22"/>
          <w:szCs w:val="22"/>
        </w:rPr>
      </w:pPr>
    </w:p>
    <w:sectPr w:rsidR="00440DD7" w:rsidRPr="00F42F80">
      <w:type w:val="continuous"/>
      <w:pgSz w:w="11907" w:h="16840"/>
      <w:pgMar w:top="1418" w:right="1418" w:bottom="1418" w:left="1701" w:header="1134" w:footer="1134" w:gutter="0"/>
      <w:pgNumType w:start="1"/>
      <w:cols w:num="2" w:space="720" w:equalWidth="0">
        <w:col w:w="4034" w:space="720"/>
        <w:col w:w="4034"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4AD20" w14:textId="77777777" w:rsidR="00D16E3F" w:rsidRDefault="00D16E3F">
      <w:r>
        <w:separator/>
      </w:r>
    </w:p>
  </w:endnote>
  <w:endnote w:type="continuationSeparator" w:id="0">
    <w:p w14:paraId="59E10631" w14:textId="77777777" w:rsidR="00D16E3F" w:rsidRDefault="00D1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panose1 w:val="00000000000000000000"/>
    <w:charset w:val="00"/>
    <w:family w:val="roman"/>
    <w:notTrueType/>
    <w:pitch w:val="default"/>
  </w:font>
  <w:font w:name="TimesNewRomanPSMT">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Lustria">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FA4E2" w14:textId="77777777" w:rsidR="00E74908" w:rsidRDefault="00E7490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251B64" w14:textId="77777777" w:rsidR="00E74908" w:rsidRDefault="00E74908">
    <w:pPr>
      <w:pBdr>
        <w:top w:val="nil"/>
        <w:left w:val="nil"/>
        <w:bottom w:val="nil"/>
        <w:right w:val="nil"/>
        <w:between w:val="nil"/>
      </w:pBdr>
      <w:tabs>
        <w:tab w:val="center" w:pos="4320"/>
        <w:tab w:val="right" w:pos="8640"/>
        <w:tab w:val="left" w:pos="2992"/>
      </w:tabs>
      <w:spacing w:before="24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10F3" w14:textId="77777777" w:rsidR="00E74908" w:rsidRDefault="00E74908">
    <w:pPr>
      <w:pBdr>
        <w:top w:val="nil"/>
        <w:left w:val="nil"/>
        <w:bottom w:val="nil"/>
        <w:right w:val="nil"/>
        <w:between w:val="nil"/>
      </w:pBdr>
      <w:tabs>
        <w:tab w:val="center" w:pos="4320"/>
        <w:tab w:val="right" w:pos="8640"/>
      </w:tabs>
      <w:jc w:val="center"/>
      <w:rPr>
        <w:color w:val="000000"/>
      </w:rPr>
    </w:pPr>
  </w:p>
  <w:p w14:paraId="04B40A4E" w14:textId="77777777" w:rsidR="00E74908" w:rsidRDefault="00E74908">
    <w:pPr>
      <w:pBdr>
        <w:top w:val="single" w:sz="4" w:space="0" w:color="000000"/>
        <w:left w:val="nil"/>
        <w:bottom w:val="nil"/>
        <w:right w:val="nil"/>
        <w:between w:val="nil"/>
      </w:pBdr>
      <w:tabs>
        <w:tab w:val="center" w:pos="4320"/>
        <w:tab w:val="right" w:pos="8640"/>
      </w:tabs>
      <w:jc w:val="right"/>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297D9" w14:textId="77777777" w:rsidR="00E74908" w:rsidRDefault="00E7490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4E86009" w14:textId="77777777" w:rsidR="00E74908" w:rsidRDefault="00E74908">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98F1" w14:textId="77777777" w:rsidR="00E74908" w:rsidRDefault="00E74908">
    <w:pPr>
      <w:pBdr>
        <w:top w:val="nil"/>
        <w:left w:val="nil"/>
        <w:bottom w:val="nil"/>
        <w:right w:val="nil"/>
        <w:between w:val="nil"/>
      </w:pBdr>
      <w:tabs>
        <w:tab w:val="center" w:pos="4320"/>
        <w:tab w:val="right" w:pos="8640"/>
      </w:tabs>
      <w:jc w:val="center"/>
      <w:rPr>
        <w:color w:val="000000"/>
      </w:rPr>
    </w:pPr>
  </w:p>
  <w:p w14:paraId="7D2923C6" w14:textId="77777777" w:rsidR="00E74908" w:rsidRDefault="00E74908">
    <w:pPr>
      <w:pBdr>
        <w:top w:val="single" w:sz="4" w:space="0" w:color="000000"/>
        <w:left w:val="nil"/>
        <w:bottom w:val="nil"/>
        <w:right w:val="nil"/>
        <w:between w:val="nil"/>
      </w:pBdr>
      <w:tabs>
        <w:tab w:val="center" w:pos="4320"/>
        <w:tab w:val="right" w:pos="8640"/>
      </w:tabs>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8C311" w14:textId="77777777" w:rsidR="00D16E3F" w:rsidRDefault="00D16E3F">
      <w:r>
        <w:separator/>
      </w:r>
    </w:p>
  </w:footnote>
  <w:footnote w:type="continuationSeparator" w:id="0">
    <w:p w14:paraId="7C41284C" w14:textId="77777777" w:rsidR="00D16E3F" w:rsidRDefault="00D1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DE14" w14:textId="77777777" w:rsidR="00E74908" w:rsidRDefault="00E74908">
    <w:pPr>
      <w:pBdr>
        <w:top w:val="nil"/>
        <w:left w:val="nil"/>
        <w:bottom w:val="nil"/>
        <w:right w:val="nil"/>
        <w:between w:val="nil"/>
      </w:pBdr>
      <w:tabs>
        <w:tab w:val="center" w:pos="4320"/>
        <w:tab w:val="right" w:pos="8640"/>
        <w:tab w:val="right" w:pos="851"/>
        <w:tab w:val="left" w:pos="3405"/>
        <w:tab w:val="right" w:pos="8789"/>
      </w:tabs>
      <w:spacing w:after="240"/>
      <w:jc w:val="center"/>
      <w:rPr>
        <w:color w:val="000000"/>
      </w:rPr>
    </w:pPr>
    <w:r>
      <w:rPr>
        <w:color w:val="000000"/>
      </w:rPr>
      <w:t xml:space="preserve">Author, Author, &amp; Author/ </w:t>
    </w:r>
    <w:r>
      <w:rPr>
        <w:color w:val="000000"/>
        <w:highlight w:val="yellow"/>
      </w:rPr>
      <w:t>Dinamika Pendidikan 13 (2) (2018) 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CC440" w14:textId="77777777" w:rsidR="00E74908" w:rsidRDefault="00E74908">
    <w:pPr>
      <w:pBdr>
        <w:top w:val="nil"/>
        <w:left w:val="nil"/>
        <w:bottom w:val="nil"/>
        <w:right w:val="nil"/>
        <w:between w:val="nil"/>
      </w:pBdr>
      <w:tabs>
        <w:tab w:val="center" w:pos="4320"/>
        <w:tab w:val="right" w:pos="8640"/>
        <w:tab w:val="right" w:pos="851"/>
        <w:tab w:val="left" w:pos="3405"/>
        <w:tab w:val="right" w:pos="8789"/>
      </w:tabs>
      <w:spacing w:after="240"/>
      <w:jc w:val="center"/>
      <w:rPr>
        <w:color w:val="000000"/>
      </w:rPr>
    </w:pPr>
    <w:r>
      <w:rPr>
        <w:color w:val="000000"/>
      </w:rPr>
      <w:t xml:space="preserve">Achmad Buchori et al/ Dinamika Pendidikan 13 (2) (2018) </w:t>
    </w:r>
    <w:r>
      <w:rPr>
        <w:color w:val="000000"/>
        <w:highlight w:val="yellow"/>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C4EC1" w14:textId="77777777" w:rsidR="00E74908" w:rsidRDefault="00E74908">
    <w:pPr>
      <w:pBdr>
        <w:top w:val="nil"/>
        <w:left w:val="nil"/>
        <w:bottom w:val="nil"/>
        <w:right w:val="nil"/>
        <w:between w:val="nil"/>
      </w:pBdr>
      <w:tabs>
        <w:tab w:val="center" w:pos="4320"/>
        <w:tab w:val="right" w:pos="8640"/>
      </w:tabs>
      <w:ind w:right="45"/>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56723"/>
    <w:multiLevelType w:val="multilevel"/>
    <w:tmpl w:val="066CA086"/>
    <w:lvl w:ilvl="0">
      <w:start w:val="1"/>
      <w:numFmt w:val="decimal"/>
      <w:pStyle w:val="yang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D7"/>
    <w:rsid w:val="002C2F0A"/>
    <w:rsid w:val="00332E2E"/>
    <w:rsid w:val="00440DD7"/>
    <w:rsid w:val="00475D06"/>
    <w:rsid w:val="0067115B"/>
    <w:rsid w:val="006B308A"/>
    <w:rsid w:val="00752D76"/>
    <w:rsid w:val="00D16E3F"/>
    <w:rsid w:val="00E74908"/>
    <w:rsid w:val="00F42F80"/>
    <w:rsid w:val="00F6477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93F09"/>
  <w15:docId w15:val="{AA05F276-5EB6-46F9-9A11-48781F78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uiPriority w:val="9"/>
    <w:qFormat/>
    <w:rsid w:val="00C15A56"/>
    <w:pPr>
      <w:keepNext/>
      <w:spacing w:line="480" w:lineRule="auto"/>
      <w:jc w:val="center"/>
      <w:outlineLvl w:val="0"/>
    </w:pPr>
    <w:rPr>
      <w:b/>
      <w:bCs/>
    </w:rPr>
  </w:style>
  <w:style w:type="paragraph" w:styleId="Heading2">
    <w:name w:val="heading 2"/>
    <w:basedOn w:val="Normal"/>
    <w:next w:val="Normal"/>
    <w:uiPriority w:val="9"/>
    <w:semiHidden/>
    <w:unhideWhenUsed/>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4710EE"/>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DB3D8C"/>
    <w:pPr>
      <w:spacing w:before="240" w:after="60"/>
      <w:outlineLvl w:val="4"/>
    </w:pPr>
    <w:rPr>
      <w:b/>
      <w:bCs/>
      <w:i/>
      <w:iCs/>
      <w:sz w:val="26"/>
      <w:szCs w:val="26"/>
    </w:rPr>
  </w:style>
  <w:style w:type="paragraph" w:styleId="Heading6">
    <w:name w:val="heading 6"/>
    <w:basedOn w:val="Normal"/>
    <w:next w:val="Normal"/>
    <w:uiPriority w:val="9"/>
    <w:semiHidden/>
    <w:unhideWhenUsed/>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rPr>
  </w:style>
  <w:style w:type="paragraph" w:styleId="Heading9">
    <w:name w:val="heading 9"/>
    <w:basedOn w:val="Normal"/>
    <w:next w:val="Normal"/>
    <w:qFormat/>
    <w:rsid w:val="00097958"/>
    <w:pPr>
      <w:keepNext/>
      <w:ind w:right="-40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946F64"/>
    <w:rPr>
      <w:b/>
      <w:bCs/>
      <w:sz w:val="28"/>
      <w:szCs w:val="24"/>
    </w:rPr>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102A61"/>
    <w:rPr>
      <w:color w:val="0000FF"/>
      <w:u w:val="single"/>
      <w:lang w:val="en-US" w:eastAsia="en-US"/>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qFormat/>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lang w:val="en-US" w:eastAsia="en-US"/>
    </w:rPr>
  </w:style>
  <w:style w:type="paragraph" w:styleId="FootnoteText">
    <w:name w:val="footnote text"/>
    <w:basedOn w:val="Normal"/>
    <w:semiHidden/>
    <w:rsid w:val="00FA0403"/>
    <w:rPr>
      <w:rFonts w:cs="Traditional Arabic"/>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customStyle="1" w:styleId="AutoBiography">
    <w:name w:val="AutoBiography"/>
    <w:basedOn w:val="Normal"/>
    <w:rsid w:val="004E154B"/>
    <w:pPr>
      <w:jc w:val="both"/>
    </w:pPr>
    <w:rPr>
      <w:rFonts w:eastAsia="TimesNewRomanPSMT"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TimesNewRomanPSMT" w:cs="Angsana New"/>
      <w:lang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TimesNewRomanPSMT" w:hAnsi="Arial" w:cs="Arial"/>
      <w:iCs/>
    </w:rPr>
  </w:style>
  <w:style w:type="character" w:customStyle="1" w:styleId="Style10ptJustifiedChar">
    <w:name w:val="Style 10 pt Justified Char"/>
    <w:link w:val="Style10ptJustified"/>
    <w:rsid w:val="00353885"/>
    <w:rPr>
      <w:rFonts w:ascii="Arial" w:eastAsia="TimesNewRomanPSMT" w:hAnsi="Arial" w:cs="Arial"/>
      <w:iCs/>
      <w:lang w:val="en-US" w:eastAsia="en-US" w:bidi="ar-SA"/>
    </w:rPr>
  </w:style>
  <w:style w:type="paragraph" w:customStyle="1" w:styleId="paperbody">
    <w:name w:val="paper body"/>
    <w:basedOn w:val="Normal"/>
    <w:rsid w:val="00097958"/>
    <w:pPr>
      <w:jc w:val="both"/>
    </w:pPr>
    <w:rPr>
      <w:sz w:val="24"/>
      <w:szCs w:val="24"/>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next w:val="Normal"/>
    <w:uiPriority w:val="11"/>
    <w:qFormat/>
    <w:pPr>
      <w:jc w:val="center"/>
    </w:pPr>
    <w:rPr>
      <w:b/>
      <w:sz w:val="32"/>
      <w:szCs w:val="32"/>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rPr>
  </w:style>
  <w:style w:type="paragraph" w:customStyle="1" w:styleId="Text">
    <w:name w:val="Text"/>
    <w:basedOn w:val="Normal"/>
    <w:rsid w:val="00097958"/>
    <w:pPr>
      <w:widowControl w:val="0"/>
      <w:autoSpaceDE w:val="0"/>
      <w:autoSpaceDN w:val="0"/>
      <w:spacing w:line="252" w:lineRule="auto"/>
      <w:ind w:firstLine="202"/>
      <w:jc w:val="both"/>
    </w:pPr>
    <w:rPr>
      <w:rFonts w:eastAsia="Batang"/>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lang w:val="en-US" w:eastAsia="en-U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lang w:val="en-US" w:eastAsia="en-US"/>
    </w:rPr>
  </w:style>
  <w:style w:type="paragraph" w:customStyle="1" w:styleId="Abstract">
    <w:name w:val="Abstract"/>
    <w:basedOn w:val="Normal"/>
    <w:link w:val="AbstractChar"/>
    <w:rsid w:val="003A4FBD"/>
    <w:pPr>
      <w:jc w:val="both"/>
    </w:pPr>
    <w:rPr>
      <w:rFonts w:ascii="Calisto MT" w:eastAsia="SimSun" w:hAnsi="Calisto MT"/>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tabs>
        <w:tab w:val="num" w:pos="720"/>
      </w:tabs>
      <w:spacing w:before="240" w:after="120" w:line="216" w:lineRule="auto"/>
      <w:ind w:left="720" w:hanging="720"/>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Colorful List - Accent 11,Body of text+2,Body of text1,List Paragraph11,Body of text+1,Body of text+3,soal jawab,Medium Grid 1 - Accent 21,Body of textCxSp"/>
    <w:basedOn w:val="Normal"/>
    <w:link w:val="ListParagraphChar"/>
    <w:qFormat/>
    <w:rsid w:val="00C35B8F"/>
    <w:pPr>
      <w:spacing w:after="200" w:line="276" w:lineRule="auto"/>
      <w:ind w:left="720"/>
      <w:contextualSpacing/>
    </w:pPr>
    <w:rPr>
      <w:rFonts w:ascii="Calibri" w:hAnsi="Calibri"/>
      <w:sz w:val="22"/>
      <w:szCs w:val="22"/>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link w:val="IJMMSParagraph"/>
    <w:locked/>
    <w:rsid w:val="00A40A58"/>
    <w:rPr>
      <w:sz w:val="24"/>
      <w:szCs w:val="24"/>
      <w:lang w:val="en-US" w:eastAsia="en-US"/>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rPr>
  </w:style>
  <w:style w:type="character" w:customStyle="1" w:styleId="ListParagraphChar">
    <w:name w:val="List Paragraph Char"/>
    <w:aliases w:val="Body of text Char,List Paragraph1 Char,Colorful List - Accent 11 Char,Body of text+2 Char,Body of text1 Char,List Paragraph11 Char,Body of text+1 Char,Body of text+3 Char,soal jawab Char,Medium Grid 1 - Accent 21 Char"/>
    <w:link w:val="ListParagraph"/>
    <w:qFormat/>
    <w:rsid w:val="00944E1C"/>
    <w:rPr>
      <w:rFonts w:ascii="Calibri" w:hAnsi="Calibri"/>
      <w:sz w:val="22"/>
      <w:szCs w:val="22"/>
      <w:lang w:val="en-US" w:eastAsia="en-US"/>
    </w:rPr>
  </w:style>
  <w:style w:type="character" w:customStyle="1" w:styleId="FooterChar">
    <w:name w:val="Footer Char"/>
    <w:basedOn w:val="DefaultParagraphFont"/>
    <w:link w:val="Footer"/>
    <w:uiPriority w:val="99"/>
    <w:rsid w:val="002125D0"/>
  </w:style>
  <w:style w:type="paragraph" w:styleId="Bibliography">
    <w:name w:val="Bibliography"/>
    <w:basedOn w:val="Normal"/>
    <w:next w:val="Normal"/>
    <w:uiPriority w:val="37"/>
    <w:unhideWhenUsed/>
    <w:rsid w:val="00635110"/>
    <w:pPr>
      <w:spacing w:after="200" w:line="276" w:lineRule="auto"/>
    </w:pPr>
    <w:rPr>
      <w:rFonts w:ascii="Calibri" w:eastAsia="Calibri" w:hAnsi="Calibri"/>
      <w:sz w:val="22"/>
      <w:szCs w:val="22"/>
    </w:rPr>
  </w:style>
  <w:style w:type="character" w:customStyle="1" w:styleId="HeaderChar">
    <w:name w:val="Header Char"/>
    <w:link w:val="Header"/>
    <w:uiPriority w:val="99"/>
    <w:rsid w:val="000961A5"/>
  </w:style>
  <w:style w:type="paragraph" w:customStyle="1" w:styleId="JPPMAbstrakKeywords">
    <w:name w:val="JPPM_AbstrakKeywords"/>
    <w:basedOn w:val="Normal"/>
    <w:qFormat/>
    <w:rsid w:val="003F4B0A"/>
    <w:pPr>
      <w:spacing w:before="120" w:after="120"/>
      <w:jc w:val="both"/>
    </w:pPr>
    <w:rPr>
      <w:rFonts w:ascii="Constantia" w:hAnsi="Constantia"/>
      <w:sz w:val="22"/>
      <w:szCs w:val="22"/>
      <w:lang w:val="id-ID"/>
    </w:rPr>
  </w:style>
  <w:style w:type="paragraph" w:customStyle="1" w:styleId="JRPMHeading1">
    <w:name w:val="JRPM_Heading 1"/>
    <w:basedOn w:val="Normal"/>
    <w:qFormat/>
    <w:rsid w:val="004948B6"/>
    <w:pPr>
      <w:spacing w:before="120" w:after="120"/>
    </w:pPr>
    <w:rPr>
      <w:b/>
      <w:sz w:val="22"/>
      <w:szCs w:val="22"/>
    </w:rPr>
  </w:style>
  <w:style w:type="paragraph" w:customStyle="1" w:styleId="JRPMBody">
    <w:name w:val="JRPM_Body"/>
    <w:basedOn w:val="Normal"/>
    <w:qFormat/>
    <w:rsid w:val="004948B6"/>
    <w:pPr>
      <w:ind w:firstLine="567"/>
      <w:jc w:val="both"/>
    </w:pPr>
    <w:rPr>
      <w:sz w:val="22"/>
      <w:szCs w:val="24"/>
      <w:lang w:val="id-ID"/>
    </w:rPr>
  </w:style>
  <w:style w:type="paragraph" w:customStyle="1" w:styleId="JPMSHeading1">
    <w:name w:val="JPMS_Heading 1"/>
    <w:basedOn w:val="Normal"/>
    <w:qFormat/>
    <w:rsid w:val="004948B6"/>
    <w:pPr>
      <w:spacing w:before="120" w:after="120"/>
    </w:pPr>
    <w:rPr>
      <w:b/>
      <w:sz w:val="22"/>
      <w:szCs w:val="22"/>
    </w:rPr>
  </w:style>
  <w:style w:type="character" w:customStyle="1" w:styleId="tlid-translation">
    <w:name w:val="tlid-translation"/>
    <w:rsid w:val="0081680A"/>
  </w:style>
  <w:style w:type="paragraph" w:customStyle="1" w:styleId="Title1">
    <w:name w:val="Title1"/>
    <w:basedOn w:val="Normal"/>
    <w:link w:val="TITLEChar"/>
    <w:qFormat/>
    <w:rsid w:val="00006444"/>
    <w:rPr>
      <w:rFonts w:ascii="Calisto MT" w:hAnsi="Calisto MT"/>
      <w:b/>
      <w:sz w:val="24"/>
      <w:szCs w:val="32"/>
    </w:rPr>
  </w:style>
  <w:style w:type="paragraph" w:customStyle="1" w:styleId="AUTHOR">
    <w:name w:val="AUTHOR"/>
    <w:basedOn w:val="Normal"/>
    <w:link w:val="AUTHORChar"/>
    <w:qFormat/>
    <w:rsid w:val="00DF3494"/>
    <w:rPr>
      <w:rFonts w:ascii="Calisto MT" w:hAnsi="Calisto MT"/>
      <w:b/>
      <w:sz w:val="22"/>
    </w:rPr>
  </w:style>
  <w:style w:type="paragraph" w:customStyle="1" w:styleId="Institution">
    <w:name w:val="Institution"/>
    <w:basedOn w:val="Normal"/>
    <w:link w:val="InstitutionChar"/>
    <w:qFormat/>
    <w:rsid w:val="00DF3494"/>
    <w:rPr>
      <w:rFonts w:ascii="Calisto MT" w:hAnsi="Calisto MT"/>
      <w:sz w:val="22"/>
      <w:szCs w:val="22"/>
    </w:rPr>
  </w:style>
  <w:style w:type="character" w:customStyle="1" w:styleId="TITLEChar">
    <w:name w:val="TITLE Char"/>
    <w:basedOn w:val="DefaultParagraphFont"/>
    <w:link w:val="Title1"/>
    <w:rsid w:val="00DF3494"/>
    <w:rPr>
      <w:rFonts w:ascii="Calisto MT" w:hAnsi="Calisto MT"/>
      <w:b/>
      <w:sz w:val="24"/>
      <w:szCs w:val="32"/>
      <w:lang w:val="en-GB"/>
    </w:rPr>
  </w:style>
  <w:style w:type="character" w:customStyle="1" w:styleId="InstitutionChar">
    <w:name w:val="Institution Char"/>
    <w:basedOn w:val="DefaultParagraphFont"/>
    <w:link w:val="Institution"/>
    <w:rsid w:val="00DF3494"/>
    <w:rPr>
      <w:rFonts w:ascii="Calisto MT" w:hAnsi="Calisto MT"/>
      <w:sz w:val="22"/>
      <w:szCs w:val="22"/>
      <w:lang w:val="en-GB"/>
    </w:rPr>
  </w:style>
  <w:style w:type="character" w:customStyle="1" w:styleId="AUTHORChar">
    <w:name w:val="AUTHOR Char"/>
    <w:basedOn w:val="TITLEChar"/>
    <w:link w:val="AUTHOR"/>
    <w:rsid w:val="00DF3494"/>
    <w:rPr>
      <w:rFonts w:ascii="Calisto MT" w:hAnsi="Calisto MT"/>
      <w:b/>
      <w:sz w:val="22"/>
      <w:szCs w:val="32"/>
      <w:lang w:val="en-GB"/>
    </w:rPr>
  </w:style>
  <w:style w:type="paragraph" w:customStyle="1" w:styleId="ArticleHistory">
    <w:name w:val="Article History"/>
    <w:basedOn w:val="Normal"/>
    <w:link w:val="ArticleHistoryChar"/>
    <w:qFormat/>
    <w:rsid w:val="003A4FBD"/>
    <w:rPr>
      <w:rFonts w:ascii="Calisto MT" w:hAnsi="Calisto MT"/>
      <w:color w:val="000000"/>
      <w:sz w:val="16"/>
      <w:szCs w:val="22"/>
    </w:rPr>
  </w:style>
  <w:style w:type="paragraph" w:customStyle="1" w:styleId="Keyword">
    <w:name w:val="Keyword"/>
    <w:basedOn w:val="Normal"/>
    <w:link w:val="KeywordChar"/>
    <w:qFormat/>
    <w:rsid w:val="003A4FBD"/>
    <w:rPr>
      <w:rFonts w:ascii="Calisto MT" w:hAnsi="Calisto MT"/>
      <w:sz w:val="16"/>
      <w:szCs w:val="22"/>
    </w:rPr>
  </w:style>
  <w:style w:type="character" w:customStyle="1" w:styleId="ArticleHistoryChar">
    <w:name w:val="Article History Char"/>
    <w:basedOn w:val="DefaultParagraphFont"/>
    <w:link w:val="ArticleHistory"/>
    <w:rsid w:val="003A4FBD"/>
    <w:rPr>
      <w:rFonts w:ascii="Calisto MT" w:hAnsi="Calisto MT"/>
      <w:color w:val="000000"/>
      <w:sz w:val="16"/>
      <w:szCs w:val="22"/>
      <w:lang w:val="en-GB"/>
    </w:rPr>
  </w:style>
  <w:style w:type="paragraph" w:customStyle="1" w:styleId="BAB">
    <w:name w:val="BAB"/>
    <w:basedOn w:val="Normal"/>
    <w:link w:val="BABChar"/>
    <w:qFormat/>
    <w:rsid w:val="009241F3"/>
    <w:pPr>
      <w:tabs>
        <w:tab w:val="left" w:pos="426"/>
      </w:tabs>
      <w:spacing w:before="240" w:after="240"/>
    </w:pPr>
    <w:rPr>
      <w:rFonts w:ascii="Calisto MT" w:hAnsi="Calisto MT"/>
      <w:b/>
      <w:caps/>
      <w:sz w:val="24"/>
      <w:szCs w:val="22"/>
    </w:rPr>
  </w:style>
  <w:style w:type="character" w:customStyle="1" w:styleId="KeywordChar">
    <w:name w:val="Keyword Char"/>
    <w:basedOn w:val="DefaultParagraphFont"/>
    <w:link w:val="Keyword"/>
    <w:rsid w:val="003A4FBD"/>
    <w:rPr>
      <w:rFonts w:ascii="Calisto MT" w:hAnsi="Calisto MT"/>
      <w:sz w:val="16"/>
      <w:szCs w:val="22"/>
      <w:lang w:val="en-GB"/>
    </w:rPr>
  </w:style>
  <w:style w:type="paragraph" w:customStyle="1" w:styleId="Content">
    <w:name w:val="Content"/>
    <w:basedOn w:val="Normal"/>
    <w:qFormat/>
    <w:rsid w:val="003F58DA"/>
    <w:pPr>
      <w:spacing w:line="276" w:lineRule="auto"/>
      <w:ind w:firstLine="567"/>
      <w:jc w:val="both"/>
    </w:pPr>
    <w:rPr>
      <w:rFonts w:ascii="Calisto MT" w:hAnsi="Calisto MT"/>
      <w:sz w:val="22"/>
    </w:rPr>
  </w:style>
  <w:style w:type="character" w:customStyle="1" w:styleId="BABChar">
    <w:name w:val="BAB Char"/>
    <w:basedOn w:val="DefaultParagraphFont"/>
    <w:link w:val="BAB"/>
    <w:rsid w:val="009241F3"/>
    <w:rPr>
      <w:rFonts w:ascii="Calisto MT" w:hAnsi="Calisto MT"/>
      <w:b/>
      <w:caps/>
      <w:sz w:val="24"/>
      <w:szCs w:val="22"/>
      <w:lang w:val="en-GB"/>
    </w:rPr>
  </w:style>
  <w:style w:type="paragraph" w:customStyle="1" w:styleId="Explanation">
    <w:name w:val="Explanation"/>
    <w:basedOn w:val="Normal"/>
    <w:link w:val="ExplanationChar"/>
    <w:qFormat/>
    <w:rsid w:val="003F58DA"/>
    <w:pPr>
      <w:spacing w:line="276" w:lineRule="auto"/>
    </w:pPr>
    <w:rPr>
      <w:rFonts w:ascii="Calisto MT" w:hAnsi="Calisto MT" w:cs="Calibri"/>
      <w:sz w:val="22"/>
      <w:szCs w:val="22"/>
      <w:lang w:val="id-ID"/>
    </w:rPr>
  </w:style>
  <w:style w:type="paragraph" w:customStyle="1" w:styleId="Table">
    <w:name w:val="Table"/>
    <w:basedOn w:val="TableofFigures"/>
    <w:link w:val="TableChar"/>
    <w:qFormat/>
    <w:rsid w:val="008A2C38"/>
    <w:pPr>
      <w:spacing w:line="276" w:lineRule="auto"/>
      <w:outlineLvl w:val="0"/>
    </w:pPr>
    <w:rPr>
      <w:rFonts w:ascii="Calisto MT" w:hAnsi="Calisto MT"/>
      <w:sz w:val="22"/>
      <w:szCs w:val="22"/>
    </w:rPr>
  </w:style>
  <w:style w:type="character" w:customStyle="1" w:styleId="ExplanationChar">
    <w:name w:val="Explanation Char"/>
    <w:basedOn w:val="DefaultParagraphFont"/>
    <w:link w:val="Explanation"/>
    <w:rsid w:val="003F58DA"/>
    <w:rPr>
      <w:rFonts w:ascii="Calisto MT" w:hAnsi="Calisto MT" w:cs="Calibri"/>
      <w:sz w:val="22"/>
      <w:szCs w:val="22"/>
      <w:lang w:val="id-ID"/>
    </w:rPr>
  </w:style>
  <w:style w:type="paragraph" w:customStyle="1" w:styleId="SubBAB">
    <w:name w:val="Sub BAB"/>
    <w:basedOn w:val="Normal"/>
    <w:qFormat/>
    <w:rsid w:val="008A2C38"/>
    <w:pPr>
      <w:spacing w:line="276" w:lineRule="auto"/>
      <w:jc w:val="both"/>
    </w:pPr>
    <w:rPr>
      <w:rFonts w:ascii="Calisto MT" w:hAnsi="Calisto MT"/>
      <w:b/>
      <w:sz w:val="22"/>
      <w:szCs w:val="22"/>
    </w:rPr>
  </w:style>
  <w:style w:type="paragraph" w:styleId="TableofFigures">
    <w:name w:val="table of figures"/>
    <w:basedOn w:val="Normal"/>
    <w:next w:val="Normal"/>
    <w:link w:val="TableofFiguresChar"/>
    <w:uiPriority w:val="99"/>
    <w:semiHidden/>
    <w:unhideWhenUsed/>
    <w:rsid w:val="008A2C38"/>
  </w:style>
  <w:style w:type="character" w:customStyle="1" w:styleId="TableofFiguresChar">
    <w:name w:val="Table of Figures Char"/>
    <w:basedOn w:val="DefaultParagraphFont"/>
    <w:link w:val="TableofFigures"/>
    <w:uiPriority w:val="99"/>
    <w:semiHidden/>
    <w:rsid w:val="008A2C38"/>
  </w:style>
  <w:style w:type="character" w:customStyle="1" w:styleId="TableChar">
    <w:name w:val="Table Char"/>
    <w:basedOn w:val="TableofFiguresChar"/>
    <w:link w:val="Table"/>
    <w:rsid w:val="008A2C38"/>
    <w:rPr>
      <w:rFonts w:ascii="Calisto MT" w:hAnsi="Calisto MT"/>
      <w:sz w:val="22"/>
      <w:szCs w:val="22"/>
      <w:lang w:val="en-GB"/>
    </w:rPr>
  </w:style>
  <w:style w:type="paragraph" w:customStyle="1" w:styleId="SubSubBAB">
    <w:name w:val="Sub Sub BAB"/>
    <w:basedOn w:val="ListParagraph"/>
    <w:link w:val="SubSubBABChar"/>
    <w:qFormat/>
    <w:rsid w:val="008A2C38"/>
    <w:pPr>
      <w:spacing w:after="0" w:line="240" w:lineRule="auto"/>
      <w:ind w:left="0"/>
      <w:jc w:val="both"/>
    </w:pPr>
    <w:rPr>
      <w:rFonts w:ascii="Calisto MT" w:hAnsi="Calisto MT"/>
      <w:i/>
    </w:rPr>
  </w:style>
  <w:style w:type="paragraph" w:customStyle="1" w:styleId="References">
    <w:name w:val="References"/>
    <w:basedOn w:val="Normal"/>
    <w:qFormat/>
    <w:rsid w:val="000461C2"/>
    <w:pPr>
      <w:widowControl w:val="0"/>
      <w:autoSpaceDE w:val="0"/>
      <w:autoSpaceDN w:val="0"/>
      <w:adjustRightInd w:val="0"/>
      <w:spacing w:line="276" w:lineRule="auto"/>
      <w:ind w:left="567" w:hanging="567"/>
      <w:jc w:val="both"/>
    </w:pPr>
    <w:rPr>
      <w:rFonts w:ascii="Calisto MT" w:hAnsi="Calisto MT"/>
      <w:szCs w:val="24"/>
    </w:rPr>
  </w:style>
  <w:style w:type="character" w:customStyle="1" w:styleId="SubSubBABChar">
    <w:name w:val="Sub Sub BAB Char"/>
    <w:basedOn w:val="ListParagraphChar"/>
    <w:link w:val="SubSubBAB"/>
    <w:rsid w:val="008A2C38"/>
    <w:rPr>
      <w:rFonts w:ascii="Calisto MT" w:hAnsi="Calisto MT"/>
      <w:i/>
      <w:sz w:val="22"/>
      <w:szCs w:val="22"/>
      <w:lang w:val="en-GB" w:eastAsia="en-US"/>
    </w:rPr>
  </w:style>
  <w:style w:type="character" w:customStyle="1" w:styleId="AbstractChar">
    <w:name w:val="Abstract Char"/>
    <w:basedOn w:val="DefaultParagraphFont"/>
    <w:link w:val="Abstract"/>
    <w:rsid w:val="009241F3"/>
    <w:rPr>
      <w:rFonts w:ascii="Calisto MT" w:eastAsia="SimSun" w:hAnsi="Calisto MT"/>
      <w:sz w:val="18"/>
    </w:rPr>
  </w:style>
  <w:style w:type="paragraph" w:customStyle="1" w:styleId="ISI">
    <w:name w:val="ISI"/>
    <w:basedOn w:val="Normal"/>
    <w:uiPriority w:val="99"/>
    <w:rsid w:val="009241F3"/>
    <w:pPr>
      <w:autoSpaceDE w:val="0"/>
      <w:autoSpaceDN w:val="0"/>
      <w:adjustRightInd w:val="0"/>
      <w:spacing w:line="288" w:lineRule="auto"/>
      <w:ind w:firstLine="547"/>
      <w:jc w:val="both"/>
      <w:textAlignment w:val="center"/>
    </w:pPr>
    <w:rPr>
      <w:rFonts w:ascii="Calisto MT" w:eastAsiaTheme="minorHAnsi" w:hAnsi="Calisto MT" w:cs="Calisto MT"/>
      <w:color w:val="000000"/>
      <w:sz w:val="22"/>
      <w:szCs w:val="22"/>
      <w:lang w:val="fi-F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1.png"/><Relationship Id="rId17" Type="http://schemas.openxmlformats.org/officeDocument/2006/relationships/image" Target="media/image2.png"/><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1.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24" Type="http://schemas.openxmlformats.org/officeDocument/2006/relationships/footer" Target="footer1.xml"/><Relationship Id="rId32" Type="http://schemas.microsoft.com/office/2007/relationships/hdphoto" Target="media/hdphoto2.wdp"/><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image" Target="media/image2.jpg"/><Relationship Id="rId19" Type="http://schemas.openxmlformats.org/officeDocument/2006/relationships/image" Target="media/image5.png"/><Relationship Id="rId31"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hdphoto" Target="media/hdphoto1.wdp"/><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drjPZ8aaqHU1UD3pTbg6roXkew==">AMUW2mXmFzCBt8B/jqjS5paGH8XWHoWE6X9pz+B9x/RPrUL7P67mFpNIVFBY2AtGWRrU2GL0DbCXLS6jLHdqLjjyNPuFrQNlYMkCWquaWpuWCmFe+zKLiinod2uUBG8gLy8+wpsxv+v+</go:docsCustomData>
</go:gDocsCustomXmlDataStorage>
</file>

<file path=customXml/itemProps1.xml><?xml version="1.0" encoding="utf-8"?>
<ds:datastoreItem xmlns:ds="http://schemas.openxmlformats.org/officeDocument/2006/customXml" ds:itemID="{31FFD1EE-5ABF-4D1A-B4C8-AFB10DCAF50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18298</Words>
  <Characters>104303</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cairo</dc:creator>
  <cp:lastModifiedBy>Gaffar Sagala</cp:lastModifiedBy>
  <cp:revision>3</cp:revision>
  <dcterms:created xsi:type="dcterms:W3CDTF">2020-11-23T12:52:00Z</dcterms:created>
  <dcterms:modified xsi:type="dcterms:W3CDTF">2020-11-23T13:06:00Z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http://www.zotero.org/styles/data-in-brief</vt:lpwstr>
  </property>
  <property fmtid="{D5CDD505-2E9C-101B-9397-08002B2CF9AE}" pid="13" name="Mendeley Recent Style Name 5_1">
    <vt:lpwstr>Data in Brief</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85e1c89e-fa1e-3bdf-bf82-df4a519e1e5a</vt:lpwstr>
  </property>
  <property fmtid="{D5CDD505-2E9C-101B-9397-08002B2CF9AE}" pid="24" name="Mendeley Citation Style_1">
    <vt:lpwstr>http://www.zotero.org/styles/apa</vt:lpwstr>
  </property>
</Properties>
</file>