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INSTRUMEN EVALUASI PENYELENGGARAAN PENDIDIKAN INKLUSI </w:t>
      </w: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/>
        </w:rPr>
        <w:t>DI SEKOLAH DASAR PROVINSI YOGYAKARTA</w:t>
      </w: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/>
        </w:rPr>
        <w:t>Nama Sekolah:</w:t>
      </w:r>
    </w:p>
    <w:p>
      <w:pPr>
        <w:jc w:val="both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Alat ini mengukur tingkat keberhasilan penyelenggaraan pendidikan inklusi yang diselenggarakan di sekolah dasar.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Tujuan: untuk mendeskripsikan tingkat kelayakan penyelenggaraan pendidikan inklusi di sekolah dasar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Dalam evaluasi ini terdapat tiga pokok utama yang akan dievaluasi yaitu input, proses dan output yang berkaitan dengan sila pertama Pancasila yaitu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Ketuhanan Yang Maha Esa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Input berkaitan dengan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Visi, misi, tujuan sekolah, guru, GPK, fasilitas, peserta didik, dan sikap kemandirian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Proses berkaitan dengan 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 xml:space="preserve">Implikasi kurikulum, perencanaan pembelajaran,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pelaksanaan pembelajaran dan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evaluasi belajar</w:t>
      </w:r>
    </w:p>
    <w:p>
      <w:pPr>
        <w:jc w:val="both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Output berkaitan dengan p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restasi akade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mik dan non akademik lulusan dan peserta didik yang masih di sekolah, dampak bagi warga sekolah dan masyarakat</w:t>
      </w: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  <w:t>Daftar pertanyaan untuk alat evaluasi berdasarkan sila pertama pancasila</w:t>
      </w:r>
    </w:p>
    <w:p>
      <w:pPr>
        <w:widowControl w:val="0"/>
        <w:jc w:val="both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tbl>
      <w:tblPr>
        <w:tblStyle w:val="4"/>
        <w:tblW w:w="86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5485"/>
        <w:gridCol w:w="519"/>
        <w:gridCol w:w="519"/>
        <w:gridCol w:w="519"/>
        <w:gridCol w:w="519"/>
        <w:gridCol w:w="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tblHeader/>
        </w:trPr>
        <w:tc>
          <w:tcPr>
            <w:tcW w:w="609" w:type="dxa"/>
            <w:vMerge w:val="restart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No.</w:t>
            </w:r>
          </w:p>
        </w:tc>
        <w:tc>
          <w:tcPr>
            <w:tcW w:w="548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/>
              </w:rPr>
              <w:t>Pernyataan</w:t>
            </w:r>
          </w:p>
        </w:tc>
        <w:tc>
          <w:tcPr>
            <w:tcW w:w="2595" w:type="dxa"/>
            <w:gridSpan w:val="5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/>
              </w:rPr>
              <w:t>Skala Penilaian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tblHeader/>
        </w:trPr>
        <w:tc>
          <w:tcPr>
            <w:tcW w:w="609" w:type="dxa"/>
            <w:vMerge w:val="continue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8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/>
              </w:rPr>
              <w:t>5: sangat Baik              2: kurang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/>
              </w:rPr>
              <w:t>4: baik                    1: sangat kurang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/>
              </w:rPr>
              <w:t xml:space="preserve">3: cukup </w:t>
            </w:r>
          </w:p>
        </w:tc>
        <w:tc>
          <w:tcPr>
            <w:tcW w:w="519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/>
              </w:rPr>
              <w:t>1</w:t>
            </w:r>
          </w:p>
        </w:tc>
        <w:tc>
          <w:tcPr>
            <w:tcW w:w="519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/>
              </w:rPr>
              <w:t>2</w:t>
            </w:r>
          </w:p>
        </w:tc>
        <w:tc>
          <w:tcPr>
            <w:tcW w:w="519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/>
              </w:rPr>
              <w:t>3</w:t>
            </w:r>
          </w:p>
        </w:tc>
        <w:tc>
          <w:tcPr>
            <w:tcW w:w="519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/>
              </w:rPr>
              <w:t>4</w:t>
            </w:r>
          </w:p>
        </w:tc>
        <w:tc>
          <w:tcPr>
            <w:tcW w:w="519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/>
              </w:rPr>
              <w:t xml:space="preserve">A. </w:t>
            </w:r>
          </w:p>
        </w:tc>
        <w:tc>
          <w:tcPr>
            <w:tcW w:w="548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Input berkaitan dengan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Visi, misi, tujuan sekolah, guru, GPK, </w:t>
            </w:r>
            <w:r>
              <w:rPr>
                <w:rFonts w:hint="default"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shadow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, fasilitas, peserta didik, dan sikap kemandirian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 xml:space="preserve">1. </w:t>
            </w:r>
          </w:p>
        </w:tc>
        <w:tc>
          <w:tcPr>
            <w:tcW w:w="548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Visi sekolah berdasar pada ketuhanan yang maha esa.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 xml:space="preserve">2. </w:t>
            </w:r>
          </w:p>
        </w:tc>
        <w:tc>
          <w:tcPr>
            <w:tcW w:w="548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 xml:space="preserve">Visi sekolah tidak merujuk pada satu kepercayaan. 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3.</w:t>
            </w:r>
          </w:p>
        </w:tc>
        <w:tc>
          <w:tcPr>
            <w:tcW w:w="548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pacing w:val="0"/>
                <w:sz w:val="24"/>
                <w:szCs w:val="24"/>
                <w:u w:val="none"/>
                <w:lang w:val="en-US"/>
              </w:rPr>
              <w:t xml:space="preserve">Visi sekolah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mengedepankan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 xml:space="preserve"> sikap hormat menghormati</w:t>
            </w:r>
            <w:r>
              <w:rPr>
                <w:rFonts w:hint="default" w:ascii="Times New Roman" w:hAnsi="Times New Roman" w:cs="Times New Roman"/>
                <w:i w:val="0"/>
                <w:color w:val="auto"/>
                <w:spacing w:val="0"/>
                <w:sz w:val="24"/>
                <w:szCs w:val="24"/>
                <w:u w:val="none"/>
                <w:lang w:val="en-US"/>
              </w:rPr>
              <w:t xml:space="preserve"> a</w:t>
            </w:r>
            <w:r>
              <w:rPr>
                <w:rFonts w:hint="default" w:ascii="Times New Roman" w:hAnsi="Times New Roman" w:cs="Times New Roman"/>
                <w:i w:val="0"/>
                <w:color w:val="auto"/>
                <w:spacing w:val="0"/>
                <w:sz w:val="24"/>
                <w:szCs w:val="24"/>
                <w:u w:val="none"/>
              </w:rPr>
              <w:t xml:space="preserve">ntara 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pemeluk agama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/>
              </w:rPr>
              <w:t>.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4.</w:t>
            </w:r>
          </w:p>
        </w:tc>
        <w:tc>
          <w:tcPr>
            <w:tcW w:w="548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pacing w:val="0"/>
                <w:sz w:val="24"/>
                <w:szCs w:val="24"/>
                <w:u w:val="none"/>
              </w:rPr>
              <w:t xml:space="preserve">Kerukunan 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hidup di antara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umat beragama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/>
              </w:rPr>
              <w:t xml:space="preserve"> dijalankan sesuai visi s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ekolah.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5.</w:t>
            </w:r>
          </w:p>
        </w:tc>
        <w:tc>
          <w:tcPr>
            <w:tcW w:w="548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pacing w:val="0"/>
                <w:sz w:val="24"/>
                <w:szCs w:val="24"/>
                <w:u w:val="none"/>
              </w:rPr>
              <w:t xml:space="preserve">Kebebasan 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 xml:space="preserve">menjalankan ibadah 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/>
              </w:rPr>
              <w:t>di s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 xml:space="preserve">ekolah diatur melalui visi. 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6.</w:t>
            </w:r>
          </w:p>
        </w:tc>
        <w:tc>
          <w:tcPr>
            <w:tcW w:w="548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Visi sekolah t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idak memaksakan suatu agama dan kepercayaan kepada orang lain.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7.</w:t>
            </w:r>
          </w:p>
        </w:tc>
        <w:tc>
          <w:tcPr>
            <w:tcW w:w="548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pacing w:val="0"/>
                <w:sz w:val="24"/>
                <w:szCs w:val="24"/>
                <w:u w:val="none"/>
              </w:rPr>
              <w:t xml:space="preserve">Hubungan 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pribadi manusia dengan Tuhan Yang Maha Esa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/>
              </w:rPr>
              <w:t xml:space="preserve"> mempengaruhi visi sekolah.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8.</w:t>
            </w:r>
          </w:p>
        </w:tc>
        <w:tc>
          <w:tcPr>
            <w:tcW w:w="548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Misi sekolah berdasar pada ketuhanan yang maha Esa.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9.</w:t>
            </w:r>
          </w:p>
        </w:tc>
        <w:tc>
          <w:tcPr>
            <w:tcW w:w="548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 xml:space="preserve">Pencapaian misi sekolah tidak merujuk pada satu kepercayaan. 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10.</w:t>
            </w:r>
          </w:p>
        </w:tc>
        <w:tc>
          <w:tcPr>
            <w:tcW w:w="548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Misi sekolah mengedepankan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 xml:space="preserve"> sikap hormat menghormati antara pemeluk agama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/>
              </w:rPr>
              <w:t>.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11.</w:t>
            </w:r>
          </w:p>
        </w:tc>
        <w:tc>
          <w:tcPr>
            <w:tcW w:w="548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Misi sekolah m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embina kerukunan hidup di antara sesama umat beragama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/>
              </w:rPr>
              <w:t>.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12.</w:t>
            </w:r>
          </w:p>
        </w:tc>
        <w:tc>
          <w:tcPr>
            <w:tcW w:w="548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Misi sekolah m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 xml:space="preserve">engembangkan sikap saling menghormati 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/>
              </w:rPr>
              <w:t>antar pemeluk agama.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13.</w:t>
            </w:r>
          </w:p>
        </w:tc>
        <w:tc>
          <w:tcPr>
            <w:tcW w:w="548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Misi sekolah t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idak memaksakan suatu agama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kepada orang lain.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14.</w:t>
            </w:r>
          </w:p>
        </w:tc>
        <w:tc>
          <w:tcPr>
            <w:tcW w:w="548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 xml:space="preserve">Misi sekolah tidak mengikat seseorang untuk memeluk 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Agama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/>
              </w:rPr>
              <w:t xml:space="preserve"> tertentu.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15.</w:t>
            </w:r>
          </w:p>
        </w:tc>
        <w:tc>
          <w:tcPr>
            <w:tcW w:w="548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Guru memahami kebebasan beragama setiap siswa.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16.</w:t>
            </w:r>
          </w:p>
        </w:tc>
        <w:tc>
          <w:tcPr>
            <w:tcW w:w="548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Guru tidak memaksakan kepercayaannya kepada siswa.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17.</w:t>
            </w:r>
          </w:p>
        </w:tc>
        <w:tc>
          <w:tcPr>
            <w:tcW w:w="548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Guru m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 xml:space="preserve">embina kerukunan hidup 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/>
              </w:rPr>
              <w:t>pada semua warga sekolah.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18.</w:t>
            </w:r>
          </w:p>
        </w:tc>
        <w:tc>
          <w:tcPr>
            <w:tcW w:w="548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Semua guru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 xml:space="preserve"> saling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menghormati kebebasan menjalankan ibadah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/>
              </w:rPr>
              <w:t>.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19.</w:t>
            </w:r>
          </w:p>
        </w:tc>
        <w:tc>
          <w:tcPr>
            <w:tcW w:w="548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 xml:space="preserve">Sekolah memfasilitasi anak untuk 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percaya dan taqwa terhadap Tuhan Yang Maha Esa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/>
              </w:rPr>
              <w:t>.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20.</w:t>
            </w:r>
          </w:p>
        </w:tc>
        <w:tc>
          <w:tcPr>
            <w:tcW w:w="5485" w:type="dxa"/>
            <w:vAlign w:val="top"/>
          </w:tcPr>
          <w:p>
            <w:pPr>
              <w:widowControl w:val="0"/>
              <w:ind w:left="120" w:hanging="120" w:hangingChars="5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 xml:space="preserve">Sekolah memfasilitasi warga sekolah untuk saling 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menghormati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/>
              </w:rPr>
              <w:t>.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21.</w:t>
            </w:r>
          </w:p>
        </w:tc>
        <w:tc>
          <w:tcPr>
            <w:tcW w:w="548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Sekolah memfasilitasi warga sekolah untuk m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embina kerukunan hidup umat beragama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/>
              </w:rPr>
              <w:t>.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22.</w:t>
            </w:r>
          </w:p>
        </w:tc>
        <w:tc>
          <w:tcPr>
            <w:tcW w:w="548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 xml:space="preserve">Sekolah memfasilitasi warga sekolah untuk 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menjalankan ibadah sesuai dengan agama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/>
              </w:rPr>
              <w:t xml:space="preserve"> yang diyakini.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23.</w:t>
            </w:r>
          </w:p>
        </w:tc>
        <w:tc>
          <w:tcPr>
            <w:tcW w:w="548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Fasilitas sekolah t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idak memaksakan suatu agama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/>
              </w:rPr>
              <w:t xml:space="preserve"> untuk diyakini kepada warga sekolah.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24.</w:t>
            </w:r>
          </w:p>
        </w:tc>
        <w:tc>
          <w:tcPr>
            <w:tcW w:w="548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Peserta didik diterima tidak didasarkan pada agama yang diyakini kepala sekolah.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25.</w:t>
            </w:r>
          </w:p>
        </w:tc>
        <w:tc>
          <w:tcPr>
            <w:tcW w:w="548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Peserta didik yang berbeda agama diberikan perlakuan sama.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26.</w:t>
            </w:r>
          </w:p>
        </w:tc>
        <w:tc>
          <w:tcPr>
            <w:tcW w:w="548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Peserta didik meneladani sikap mandiri dari kepala sekolah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4"/>
                <w:szCs w:val="24"/>
                <w:vertAlign w:val="baseline"/>
                <w:lang w:val="en-US"/>
              </w:rPr>
              <w:t>Tuliskan contoh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: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27.</w:t>
            </w:r>
          </w:p>
        </w:tc>
        <w:tc>
          <w:tcPr>
            <w:tcW w:w="548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Peserta didik meneladani sikap mandiri dari guru.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/>
              </w:rPr>
              <w:t>B.</w:t>
            </w:r>
          </w:p>
        </w:tc>
        <w:tc>
          <w:tcPr>
            <w:tcW w:w="548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Proses berkaitan dengan 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Implikasi kurikulum, perencanaan pembelajaran,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pelaksanaan pembelajaran dan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evaluasi belajar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/>
              </w:rPr>
              <w:t>1.</w:t>
            </w:r>
          </w:p>
        </w:tc>
        <w:tc>
          <w:tcPr>
            <w:tcW w:w="548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Implikasi Kurikulum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1.</w:t>
            </w:r>
          </w:p>
        </w:tc>
        <w:tc>
          <w:tcPr>
            <w:tcW w:w="548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 xml:space="preserve">Melibatkan para siswa untuk 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menyatakan kepercayaannya dan ketaqwaannya terhadap Tuhan Yang Maha Esa.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2.</w:t>
            </w:r>
          </w:p>
        </w:tc>
        <w:tc>
          <w:tcPr>
            <w:tcW w:w="548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 xml:space="preserve">Membuat siswa 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percaya dan taqwa terhadap Tuhan Yang Maha Esa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/>
              </w:rPr>
              <w:t>.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3.</w:t>
            </w:r>
          </w:p>
        </w:tc>
        <w:tc>
          <w:tcPr>
            <w:tcW w:w="548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 xml:space="preserve">engembangkan sikap hormat menghormati dan bekerjasama antara 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/>
              </w:rPr>
              <w:t>semua warga sekolah.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4.</w:t>
            </w:r>
          </w:p>
        </w:tc>
        <w:tc>
          <w:tcPr>
            <w:tcW w:w="548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 xml:space="preserve">embina kerukunan hidup 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/>
              </w:rPr>
              <w:t>warga sekolah.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5.</w:t>
            </w:r>
          </w:p>
        </w:tc>
        <w:tc>
          <w:tcPr>
            <w:tcW w:w="548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 xml:space="preserve">Memberikan kebebasan kepada semua warga sekolah untuk meyakini 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 xml:space="preserve">Agama 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/>
              </w:rPr>
              <w:t>tertentu.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6.</w:t>
            </w:r>
          </w:p>
        </w:tc>
        <w:tc>
          <w:tcPr>
            <w:tcW w:w="548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 xml:space="preserve">enghormati kebebasan menjalankan ibadah 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/>
              </w:rPr>
              <w:t>kepada semua warga sekolah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7.</w:t>
            </w:r>
          </w:p>
        </w:tc>
        <w:tc>
          <w:tcPr>
            <w:tcW w:w="548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/>
              </w:rPr>
              <w:t>T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 xml:space="preserve">idak memaksakan suatu agama 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/>
              </w:rPr>
              <w:t>semua warga sekolah.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/>
              </w:rPr>
              <w:t>2.</w:t>
            </w:r>
          </w:p>
        </w:tc>
        <w:tc>
          <w:tcPr>
            <w:tcW w:w="548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/>
              </w:rPr>
              <w:t>Perencanaan Pembelajaran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1.</w:t>
            </w:r>
          </w:p>
        </w:tc>
        <w:tc>
          <w:tcPr>
            <w:tcW w:w="548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Tidak bertentangan dengan keyakinan agama para siswa.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2.</w:t>
            </w:r>
          </w:p>
        </w:tc>
        <w:tc>
          <w:tcPr>
            <w:tcW w:w="548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 xml:space="preserve">Dirancang untuk membuat para siswa 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menya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/>
              </w:rPr>
              <w:t>kini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Tuhan Yang Maha Esa.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3.</w:t>
            </w:r>
          </w:p>
        </w:tc>
        <w:tc>
          <w:tcPr>
            <w:tcW w:w="548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/>
                <w:iCs/>
                <w:caps w:val="0"/>
                <w:color w:val="auto"/>
                <w:spacing w:val="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 xml:space="preserve">Membantu siswa 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percaya dan taqwa terhadap Tuhan Yang Maha Esa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/>
              </w:rPr>
              <w:t>.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4.</w:t>
            </w:r>
          </w:p>
        </w:tc>
        <w:tc>
          <w:tcPr>
            <w:tcW w:w="5485" w:type="dxa"/>
            <w:vAlign w:val="top"/>
          </w:tcPr>
          <w:p>
            <w:pPr>
              <w:widowControl w:val="0"/>
              <w:ind w:left="120" w:hanging="120" w:hangingChars="5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 xml:space="preserve">engembangkan sikap bekerjasama antara 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/>
              </w:rPr>
              <w:t>siswa dan guru sekalipun berbeda keyakinan.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5.</w:t>
            </w:r>
          </w:p>
        </w:tc>
        <w:tc>
          <w:tcPr>
            <w:tcW w:w="548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 xml:space="preserve">embina kerukunan hidup antara 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/>
              </w:rPr>
              <w:t>siswa dan guru sekalipun berbeda keyakinan.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6.</w:t>
            </w:r>
          </w:p>
        </w:tc>
        <w:tc>
          <w:tcPr>
            <w:tcW w:w="548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 xml:space="preserve">Memberikan kebebasan kepada 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/>
              </w:rPr>
              <w:t xml:space="preserve">siswa dan guru untuk meyakini satu 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Agama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/>
              </w:rPr>
              <w:t>.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7.</w:t>
            </w:r>
          </w:p>
        </w:tc>
        <w:tc>
          <w:tcPr>
            <w:tcW w:w="548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 xml:space="preserve">engembangkan sikap saling menghormati kebebasan menjalankan ibadah 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/>
              </w:rPr>
              <w:t>di sekolah.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8.</w:t>
            </w:r>
          </w:p>
        </w:tc>
        <w:tc>
          <w:tcPr>
            <w:tcW w:w="548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/>
              </w:rPr>
              <w:t>T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 xml:space="preserve">idak memaksakan suatu agama kepada 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/>
              </w:rPr>
              <w:t>siswa.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9.</w:t>
            </w:r>
          </w:p>
        </w:tc>
        <w:tc>
          <w:tcPr>
            <w:tcW w:w="548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 xml:space="preserve">Membuat siswa 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/>
              </w:rPr>
              <w:t>percaya dan takwa kepada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 xml:space="preserve"> Tuhan Yang Maha Esa.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3.</w:t>
            </w:r>
          </w:p>
        </w:tc>
        <w:tc>
          <w:tcPr>
            <w:tcW w:w="548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/>
              </w:rPr>
              <w:t>Pelaksanaan Pembelajaran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1.</w:t>
            </w:r>
          </w:p>
        </w:tc>
        <w:tc>
          <w:tcPr>
            <w:tcW w:w="548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 xml:space="preserve">Membantu siswa 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percaya dan taqwa terhadap Tuhan Yang Maha Esa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/>
              </w:rPr>
              <w:t>.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2.</w:t>
            </w:r>
          </w:p>
        </w:tc>
        <w:tc>
          <w:tcPr>
            <w:tcW w:w="548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 xml:space="preserve">engembangkan sikap 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/>
              </w:rPr>
              <w:t>hormat kepada yang tua, menghargai sesama, dan menyayangi yang lebih muda sekalipun berbeda agama.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3.</w:t>
            </w:r>
          </w:p>
        </w:tc>
        <w:tc>
          <w:tcPr>
            <w:tcW w:w="548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 xml:space="preserve">embina kerukunan hidup 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/>
              </w:rPr>
              <w:t>warga sekolah.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4.</w:t>
            </w:r>
          </w:p>
        </w:tc>
        <w:tc>
          <w:tcPr>
            <w:tcW w:w="548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Memberikan kebebasan kepada siswa untuk melaksanakan ajaran agama di sekolah.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5.</w:t>
            </w:r>
          </w:p>
        </w:tc>
        <w:tc>
          <w:tcPr>
            <w:tcW w:w="548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 xml:space="preserve">engembangkan sikap saling menghormati kebebasan menjalankan ibadah 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/>
              </w:rPr>
              <w:t>di sekolah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6.</w:t>
            </w:r>
          </w:p>
        </w:tc>
        <w:tc>
          <w:tcPr>
            <w:tcW w:w="548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/>
              </w:rPr>
              <w:t>T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 xml:space="preserve">idak memaksakan suatu agama dan kepercayaan kepada 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/>
              </w:rPr>
              <w:t>siswa.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/>
              </w:rPr>
              <w:t>4.</w:t>
            </w:r>
          </w:p>
        </w:tc>
        <w:tc>
          <w:tcPr>
            <w:tcW w:w="548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/>
              </w:rPr>
              <w:t>Evaluasi Hasil Belajar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1.</w:t>
            </w:r>
          </w:p>
        </w:tc>
        <w:tc>
          <w:tcPr>
            <w:tcW w:w="548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/>
                <w:iCs/>
                <w:caps w:val="0"/>
                <w:color w:val="auto"/>
                <w:spacing w:val="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Tidak memandang latar belakang agama.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 xml:space="preserve">2. </w:t>
            </w:r>
          </w:p>
        </w:tc>
        <w:tc>
          <w:tcPr>
            <w:tcW w:w="548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/>
              </w:rPr>
              <w:t>Tidak mempengaruhi ketaatan beragama.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3.</w:t>
            </w:r>
          </w:p>
        </w:tc>
        <w:tc>
          <w:tcPr>
            <w:tcW w:w="548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/>
              </w:rPr>
              <w:t>T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 xml:space="preserve">idak 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/>
              </w:rPr>
              <w:t>memaksa siswa untuk meyakini suatu agama tertentu.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4.</w:t>
            </w:r>
          </w:p>
        </w:tc>
        <w:tc>
          <w:tcPr>
            <w:tcW w:w="548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pacing w:val="0"/>
                <w:sz w:val="24"/>
                <w:szCs w:val="24"/>
                <w:u w:val="none"/>
                <w:lang w:val="en-US"/>
              </w:rPr>
              <w:t>T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/>
              </w:rPr>
              <w:t>idak membatasi kebebasan menjalankan ibadah.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/>
              </w:rPr>
              <w:t>C.</w:t>
            </w:r>
          </w:p>
        </w:tc>
        <w:tc>
          <w:tcPr>
            <w:tcW w:w="548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Output berkaitan dengan p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restasi akademik dan non akademik lulusan dan peserta didik yang masih di sekolah, dampak bagi warga sekolah dan masyarakat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1.</w:t>
            </w:r>
          </w:p>
        </w:tc>
        <w:tc>
          <w:tcPr>
            <w:tcW w:w="548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P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restasi akademik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yang dicapai tidak membuat siswa lain mengikuti agama yang dianut oleh anak berprestasi.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2.</w:t>
            </w:r>
          </w:p>
        </w:tc>
        <w:tc>
          <w:tcPr>
            <w:tcW w:w="548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P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restasi akademik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diakui tanpa memandang perbedaan agama.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3.</w:t>
            </w:r>
          </w:p>
        </w:tc>
        <w:tc>
          <w:tcPr>
            <w:tcW w:w="548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P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restasi akademik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dicapai dengan usaha dan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 xml:space="preserve"> doa sesuai agama dan kepercayaan yang dianutnya.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4.</w:t>
            </w:r>
          </w:p>
        </w:tc>
        <w:tc>
          <w:tcPr>
            <w:tcW w:w="5485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P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restasi akademik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yang dicapai membuat keyakinan  kepada Tuhan Yang Maha Esa semakin kuat. 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  <w:t>5.</w:t>
            </w:r>
          </w:p>
        </w:tc>
        <w:tc>
          <w:tcPr>
            <w:tcW w:w="5485" w:type="dxa"/>
            <w:vAlign w:val="top"/>
          </w:tcPr>
          <w:p>
            <w:pPr>
              <w:widowControl w:val="0"/>
              <w:ind w:left="120" w:hanging="120" w:hangingChars="5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Warga sekolah mendukung dengan doa untuk siswa lain yang mengikuti lomba/kejuaraan.</w:t>
            </w: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0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485" w:type="dxa"/>
            <w:vAlign w:val="top"/>
          </w:tcPr>
          <w:p>
            <w:pPr>
              <w:widowControl w:val="0"/>
              <w:ind w:left="120" w:hanging="120" w:hangingChars="5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Jumlah</w:t>
            </w:r>
            <w:bookmarkStart w:id="0" w:name="_GoBack"/>
            <w:bookmarkEnd w:id="0"/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</w:tr>
    </w:tbl>
    <w:p>
      <w:pPr>
        <w:pStyle w:val="5"/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eastAsiaTheme="minorEastAsia"/>
          <w:b/>
          <w:sz w:val="24"/>
        </w:rPr>
      </w:pPr>
    </w:p>
    <w:p>
      <w:pPr>
        <w:pStyle w:val="5"/>
        <w:spacing w:after="0" w:line="240" w:lineRule="auto"/>
        <w:ind w:firstLine="3753" w:firstLineChars="0"/>
        <w:jc w:val="both"/>
        <w:rPr>
          <w:rFonts w:hint="default" w:ascii="Times New Roman"/>
          <w:sz w:val="24"/>
          <w:lang w:val="en-US"/>
        </w:rPr>
      </w:pPr>
    </w:p>
    <w:p>
      <w:pPr>
        <w:spacing w:after="0" w:line="480" w:lineRule="auto"/>
        <w:jc w:val="both"/>
        <w:rPr>
          <w:rFonts w:hint="default" w:ascii="Times New Roman"/>
          <w:sz w:val="24"/>
        </w:rPr>
      </w:pPr>
    </w:p>
    <w:p>
      <w:pPr>
        <w:spacing w:after="0" w:line="480" w:lineRule="auto"/>
        <w:jc w:val="both"/>
        <w:rPr>
          <w:rFonts w:hint="default" w:ascii="Times New Roman"/>
          <w:sz w:val="24"/>
        </w:rPr>
      </w:pPr>
    </w:p>
    <w:p>
      <w:pPr>
        <w:pStyle w:val="5"/>
        <w:spacing w:after="0" w:line="480" w:lineRule="auto"/>
        <w:ind w:firstLine="3753" w:firstLineChars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libri">
    <w:panose1 w:val="020F0502020204030204"/>
    <w:charset w:val="A3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A3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A3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47E88"/>
    <w:rsid w:val="00FD6BC1"/>
    <w:rsid w:val="016024FB"/>
    <w:rsid w:val="01891142"/>
    <w:rsid w:val="04D06697"/>
    <w:rsid w:val="059E6968"/>
    <w:rsid w:val="05A27896"/>
    <w:rsid w:val="06F26D64"/>
    <w:rsid w:val="09420FFD"/>
    <w:rsid w:val="0B0C1E65"/>
    <w:rsid w:val="0C6E43C4"/>
    <w:rsid w:val="0D8555C1"/>
    <w:rsid w:val="0F740F28"/>
    <w:rsid w:val="12417343"/>
    <w:rsid w:val="138F7E0E"/>
    <w:rsid w:val="149661C4"/>
    <w:rsid w:val="14CE1E96"/>
    <w:rsid w:val="15C77098"/>
    <w:rsid w:val="17916734"/>
    <w:rsid w:val="1A943855"/>
    <w:rsid w:val="1C8168CA"/>
    <w:rsid w:val="1E1B3D05"/>
    <w:rsid w:val="1EDA7AE9"/>
    <w:rsid w:val="1EDB7D98"/>
    <w:rsid w:val="1EF44D51"/>
    <w:rsid w:val="1FD0246F"/>
    <w:rsid w:val="21422BB5"/>
    <w:rsid w:val="2190186F"/>
    <w:rsid w:val="21C94AF4"/>
    <w:rsid w:val="23276497"/>
    <w:rsid w:val="239356EE"/>
    <w:rsid w:val="24055E89"/>
    <w:rsid w:val="26C1416C"/>
    <w:rsid w:val="283E1E4F"/>
    <w:rsid w:val="285E76D5"/>
    <w:rsid w:val="2963113D"/>
    <w:rsid w:val="2AF76146"/>
    <w:rsid w:val="2F1373DB"/>
    <w:rsid w:val="321E7B84"/>
    <w:rsid w:val="322B75F3"/>
    <w:rsid w:val="33B46471"/>
    <w:rsid w:val="33CC1E40"/>
    <w:rsid w:val="342917DC"/>
    <w:rsid w:val="343F344E"/>
    <w:rsid w:val="34BA5380"/>
    <w:rsid w:val="35847E88"/>
    <w:rsid w:val="35E11A21"/>
    <w:rsid w:val="382E7A9C"/>
    <w:rsid w:val="389A21F0"/>
    <w:rsid w:val="39060F7B"/>
    <w:rsid w:val="391A2582"/>
    <w:rsid w:val="398F400C"/>
    <w:rsid w:val="3AA811AF"/>
    <w:rsid w:val="3B71528C"/>
    <w:rsid w:val="3E686683"/>
    <w:rsid w:val="3EA91452"/>
    <w:rsid w:val="3F3D41A6"/>
    <w:rsid w:val="3FF64CC6"/>
    <w:rsid w:val="419E316F"/>
    <w:rsid w:val="421445FC"/>
    <w:rsid w:val="448B4B2A"/>
    <w:rsid w:val="45AC0FC4"/>
    <w:rsid w:val="47740451"/>
    <w:rsid w:val="47FD042E"/>
    <w:rsid w:val="4A7B5951"/>
    <w:rsid w:val="4BF55D66"/>
    <w:rsid w:val="4C197E38"/>
    <w:rsid w:val="4C3F1C52"/>
    <w:rsid w:val="4C477191"/>
    <w:rsid w:val="4CA36218"/>
    <w:rsid w:val="4D21159F"/>
    <w:rsid w:val="4E463AAF"/>
    <w:rsid w:val="4F873821"/>
    <w:rsid w:val="4FB05E15"/>
    <w:rsid w:val="4FCC7025"/>
    <w:rsid w:val="50B03F05"/>
    <w:rsid w:val="518F0063"/>
    <w:rsid w:val="523331C3"/>
    <w:rsid w:val="52335A44"/>
    <w:rsid w:val="52340E89"/>
    <w:rsid w:val="55261BAE"/>
    <w:rsid w:val="55A33784"/>
    <w:rsid w:val="55F72124"/>
    <w:rsid w:val="563A36BE"/>
    <w:rsid w:val="573912F8"/>
    <w:rsid w:val="583E2DD6"/>
    <w:rsid w:val="58600A60"/>
    <w:rsid w:val="59072690"/>
    <w:rsid w:val="59990C0C"/>
    <w:rsid w:val="5A4B7E23"/>
    <w:rsid w:val="5BB66C83"/>
    <w:rsid w:val="5CE54E1F"/>
    <w:rsid w:val="5DA8211C"/>
    <w:rsid w:val="5E637F1A"/>
    <w:rsid w:val="5E880590"/>
    <w:rsid w:val="5F02116A"/>
    <w:rsid w:val="60CB3650"/>
    <w:rsid w:val="614D79F4"/>
    <w:rsid w:val="61E94B74"/>
    <w:rsid w:val="631C242B"/>
    <w:rsid w:val="635D2546"/>
    <w:rsid w:val="63AB7E4E"/>
    <w:rsid w:val="64665007"/>
    <w:rsid w:val="65353580"/>
    <w:rsid w:val="65AB66FE"/>
    <w:rsid w:val="66F02353"/>
    <w:rsid w:val="68665C0A"/>
    <w:rsid w:val="69034203"/>
    <w:rsid w:val="6BCE7C61"/>
    <w:rsid w:val="6BE11CBF"/>
    <w:rsid w:val="6C415CA7"/>
    <w:rsid w:val="6CA931E5"/>
    <w:rsid w:val="6DF70E30"/>
    <w:rsid w:val="6DF805FF"/>
    <w:rsid w:val="6E60234D"/>
    <w:rsid w:val="6E7F3158"/>
    <w:rsid w:val="6F0E2F1C"/>
    <w:rsid w:val="6FF765A6"/>
    <w:rsid w:val="703A2D89"/>
    <w:rsid w:val="70E45C4B"/>
    <w:rsid w:val="736C1BF7"/>
    <w:rsid w:val="740C494F"/>
    <w:rsid w:val="74551B1A"/>
    <w:rsid w:val="74F23132"/>
    <w:rsid w:val="74F770DC"/>
    <w:rsid w:val="76CD4CFB"/>
    <w:rsid w:val="77BF06D1"/>
    <w:rsid w:val="7A3533EC"/>
    <w:rsid w:val="7B155999"/>
    <w:rsid w:val="7BC73BF5"/>
    <w:rsid w:val="7BD07342"/>
    <w:rsid w:val="7C423E6B"/>
    <w:rsid w:val="7CA57089"/>
    <w:rsid w:val="7E544E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List Paragraph"/>
    <w:basedOn w:val="1"/>
    <w:unhideWhenUsed/>
    <w:qFormat/>
    <w:uiPriority w:val="34"/>
    <w:pPr>
      <w:ind w:left="720"/>
    </w:pPr>
    <w:rPr>
      <w:rFonts w:hint="default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2018-02-07T07:35:00Z</dcterms:created>
  <dc:creator>HP</dc:creator>
  <cp:lastModifiedBy>HP</cp:lastModifiedBy>
  <dcterms:modified xsi:type="dcterms:W3CDTF">2018-02-25T13:46:05Z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