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0E" w:rsidRPr="0066035F" w:rsidRDefault="00ED1771" w:rsidP="006D0C47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DIVERSITY</w:t>
      </w:r>
      <w:r w:rsidR="00D049FF" w:rsidRPr="006603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OF SPECIES A</w:t>
      </w:r>
      <w:r w:rsidRPr="006603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ND CONSERVATION PRIORITY OF BUTTERFLY</w:t>
      </w:r>
    </w:p>
    <w:p w:rsidR="006D0C47" w:rsidRPr="0066035F" w:rsidRDefault="0041180E" w:rsidP="006D0C47">
      <w:pPr>
        <w:spacing w:after="0"/>
        <w:jc w:val="center"/>
        <w:rPr>
          <w:color w:val="000000" w:themeColor="text1"/>
        </w:rPr>
      </w:pPr>
      <w:r w:rsidRPr="006603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AT</w:t>
      </w:r>
      <w:r w:rsidRPr="006603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SURANADI NATURAL RESERVATION</w:t>
      </w:r>
      <w:r w:rsidR="003B39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6D0C47" w:rsidRPr="0066035F"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  <w:t>WEST LOMBOK</w:t>
      </w:r>
      <w:r w:rsidR="006D0C47" w:rsidRPr="0066035F">
        <w:rPr>
          <w:rFonts w:ascii="Times New Roman" w:hAnsi="Times New Roman"/>
          <w:b/>
          <w:color w:val="000000" w:themeColor="text1"/>
          <w:sz w:val="24"/>
          <w:szCs w:val="24"/>
        </w:rPr>
        <w:br/>
      </w:r>
    </w:p>
    <w:p w:rsidR="0041180E" w:rsidRDefault="00167A11" w:rsidP="00D7520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M.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Liwa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Ilhamdi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Agil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Idrus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Didik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Santoso</w:t>
      </w:r>
      <w:proofErr w:type="spellEnd"/>
    </w:p>
    <w:p w:rsidR="00167A11" w:rsidRPr="0066035F" w:rsidRDefault="00167A11" w:rsidP="00167A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val="id-ID"/>
        </w:rPr>
      </w:pPr>
      <w:bookmarkStart w:id="0" w:name="_GoBack"/>
      <w:bookmarkEnd w:id="0"/>
      <w:r w:rsidRPr="0066035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Biology Education </w:t>
      </w:r>
      <w:r w:rsidRPr="0066035F">
        <w:rPr>
          <w:rFonts w:ascii="Times New Roman" w:hAnsi="Times New Roman"/>
          <w:bCs/>
          <w:color w:val="000000" w:themeColor="text1"/>
          <w:sz w:val="24"/>
          <w:szCs w:val="24"/>
          <w:lang w:val="id-ID"/>
        </w:rPr>
        <w:t xml:space="preserve">–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Faculty of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Teache</w:t>
      </w:r>
      <w:proofErr w:type="spellEnd"/>
      <w:r w:rsidRPr="0066035F">
        <w:rPr>
          <w:rFonts w:ascii="Times New Roman" w:hAnsi="Times New Roman"/>
          <w:bCs/>
          <w:color w:val="000000" w:themeColor="text1"/>
          <w:sz w:val="24"/>
          <w:szCs w:val="24"/>
          <w:lang w:val="id-ID"/>
        </w:rPr>
        <w:t>r Training and Education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6035F">
        <w:rPr>
          <w:rFonts w:ascii="Times New Roman" w:hAnsi="Times New Roman"/>
          <w:bCs/>
          <w:color w:val="000000" w:themeColor="text1"/>
          <w:sz w:val="24"/>
          <w:szCs w:val="24"/>
          <w:lang w:val="id-ID"/>
        </w:rPr>
        <w:t xml:space="preserve">University of Mataram </w:t>
      </w:r>
    </w:p>
    <w:p w:rsidR="00167A11" w:rsidRPr="00167A11" w:rsidRDefault="00167A11" w:rsidP="00D7520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  <w:vertAlign w:val="superscript"/>
        </w:rPr>
      </w:pPr>
      <w:r>
        <w:rPr>
          <w:rFonts w:ascii="Times New Roman" w:hAnsi="Times New Roman"/>
          <w:color w:val="000000" w:themeColor="text1"/>
          <w:sz w:val="36"/>
          <w:szCs w:val="36"/>
          <w:vertAlign w:val="superscript"/>
        </w:rPr>
        <w:t xml:space="preserve">Jl. </w:t>
      </w:r>
      <w:proofErr w:type="spellStart"/>
      <w:r>
        <w:rPr>
          <w:rFonts w:ascii="Times New Roman" w:hAnsi="Times New Roman"/>
          <w:color w:val="000000" w:themeColor="text1"/>
          <w:sz w:val="36"/>
          <w:szCs w:val="36"/>
          <w:vertAlign w:val="superscript"/>
        </w:rPr>
        <w:t>Majapahit</w:t>
      </w:r>
      <w:proofErr w:type="spellEnd"/>
      <w:r>
        <w:rPr>
          <w:rFonts w:ascii="Times New Roman" w:hAnsi="Times New Roman"/>
          <w:color w:val="000000" w:themeColor="text1"/>
          <w:sz w:val="36"/>
          <w:szCs w:val="36"/>
          <w:vertAlign w:val="superscript"/>
        </w:rPr>
        <w:t xml:space="preserve"> 62 </w:t>
      </w:r>
      <w:proofErr w:type="spellStart"/>
      <w:r>
        <w:rPr>
          <w:rFonts w:ascii="Times New Roman" w:hAnsi="Times New Roman"/>
          <w:color w:val="000000" w:themeColor="text1"/>
          <w:sz w:val="36"/>
          <w:szCs w:val="36"/>
          <w:vertAlign w:val="superscript"/>
        </w:rPr>
        <w:t>Mataram</w:t>
      </w:r>
      <w:proofErr w:type="spellEnd"/>
      <w:r>
        <w:rPr>
          <w:rFonts w:ascii="Times New Roman" w:hAnsi="Times New Roman"/>
          <w:color w:val="000000" w:themeColor="text1"/>
          <w:sz w:val="36"/>
          <w:szCs w:val="36"/>
          <w:vertAlign w:val="superscript"/>
        </w:rPr>
        <w:t xml:space="preserve"> 83125</w:t>
      </w:r>
    </w:p>
    <w:p w:rsidR="003B39F7" w:rsidRPr="0066035F" w:rsidRDefault="003B39F7" w:rsidP="003B39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Email: liwa_ilhamdi@yahoo.co.id</w:t>
      </w:r>
    </w:p>
    <w:p w:rsidR="003B39F7" w:rsidRPr="0066035F" w:rsidRDefault="003B39F7" w:rsidP="00D7520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6"/>
          <w:szCs w:val="36"/>
          <w:vertAlign w:val="superscript"/>
        </w:rPr>
      </w:pPr>
    </w:p>
    <w:p w:rsidR="00D7520A" w:rsidRPr="0066035F" w:rsidRDefault="00D7520A" w:rsidP="00434DD9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D1771" w:rsidRPr="0066035F" w:rsidRDefault="00B44F2D" w:rsidP="00C30640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66035F"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  <w:t>Abstract</w:t>
      </w:r>
    </w:p>
    <w:p w:rsidR="00E74663" w:rsidRPr="0066035F" w:rsidRDefault="0041180E" w:rsidP="00D752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present study aimed at analyzing the diversity and determining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priority of butterfly conservation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 ​​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Suranadi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Natural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 of West Lombok. This 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 an explorat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ive descriptive study</w:t>
      </w:r>
      <w:r w:rsidR="00C30640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conducted in April-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 2017. The data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were 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collected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through four-time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repetition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the morning and </w:t>
      </w:r>
      <w:r w:rsidR="00C30640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the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afternoon for two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months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The 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 collection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instrument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survey with sweeping net technique following observation path (</w:t>
      </w:r>
      <w:r w:rsidR="00880E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line left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80E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line r</w:t>
      </w:r>
      <w:r w:rsidR="00167A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ight</w:t>
      </w:r>
      <w:proofErr w:type="gram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67A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0E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="00167A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ine</w:t>
      </w:r>
      <w:proofErr w:type="gramEnd"/>
      <w:r w:rsidR="00167A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0E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="00167A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entral 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880E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line w</w:t>
      </w:r>
      <w:r w:rsidR="00B41C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aterway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 40 species of butterflies belonging to 5 families</w:t>
      </w:r>
      <w:r w:rsidR="00E74663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were identified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The diversity index (H ') of</w:t>
      </w:r>
      <w:r w:rsidR="00E74663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butterflies ranges from 2.63 to 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E74663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.43 (medium-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high). Of all </w:t>
      </w:r>
      <w:r w:rsidR="00E74663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butterfly species found in TWA 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Suranadi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2 species of the 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Papilionidae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family</w:t>
      </w:r>
      <w:r w:rsidR="00C2002B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2002B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namely</w:t>
      </w:r>
      <w:proofErr w:type="gramStart"/>
      <w:r w:rsidR="00C2002B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E74663" w:rsidRPr="006603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Troides</w:t>
      </w:r>
      <w:proofErr w:type="spellEnd"/>
      <w:proofErr w:type="gramEnd"/>
      <w:r w:rsidR="00E74663" w:rsidRPr="006603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E74663" w:rsidRPr="006603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helena</w:t>
      </w:r>
      <w:proofErr w:type="spellEnd"/>
      <w:r w:rsidR="00E74663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="00E74663" w:rsidRPr="006603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Papilio</w:t>
      </w:r>
      <w:proofErr w:type="spellEnd"/>
      <w:r w:rsidR="00E74663" w:rsidRPr="006603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E74663" w:rsidRPr="006603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memnon</w:t>
      </w:r>
      <w:proofErr w:type="spellEnd"/>
      <w:r w:rsidR="00E74663" w:rsidRPr="006603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 the priority conservation</w:t>
      </w:r>
      <w:r w:rsidR="00E74663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E74663" w:rsidRPr="0066035F" w:rsidRDefault="00E74663" w:rsidP="00D752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049FF" w:rsidRPr="0066035F" w:rsidRDefault="00D049FF" w:rsidP="00D752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Key Words: </w:t>
      </w:r>
      <w:r w:rsidRPr="006603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Diversity, Conservation Priority, Butterfly, </w:t>
      </w:r>
      <w:proofErr w:type="spellStart"/>
      <w:r w:rsidRPr="006603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Suranadi</w:t>
      </w:r>
      <w:proofErr w:type="spellEnd"/>
    </w:p>
    <w:p w:rsidR="00D049FF" w:rsidRPr="0066035F" w:rsidRDefault="00D049FF" w:rsidP="00D752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7520A" w:rsidRPr="0066035F" w:rsidRDefault="00D7520A" w:rsidP="00D04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049FF" w:rsidRPr="0066035F" w:rsidRDefault="000E6B90" w:rsidP="00D049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INTRODUCTION</w:t>
      </w:r>
    </w:p>
    <w:p w:rsidR="00D049FF" w:rsidRPr="0066035F" w:rsidRDefault="00D049FF" w:rsidP="00D049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D1771" w:rsidRPr="0066035F" w:rsidRDefault="000E6B90" w:rsidP="009A01F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Lombok </w:t>
      </w:r>
      <w:proofErr w:type="gram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sland</w:t>
      </w:r>
      <w:proofErr w:type="gram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one of the islands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Indonesia in which 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high level of animal diversity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found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one of which is the diversity of butterflies.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Gradually, the </w:t>
      </w:r>
      <w:r w:rsidR="0028089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making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use of land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any </w:t>
      </w:r>
      <w:r w:rsidR="001454F5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purposes </w:t>
      </w:r>
      <w:r w:rsidR="0028089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outside 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forestry field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increased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This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makes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condition of the forest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significantly 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depleted</w:t>
      </w:r>
      <w:r w:rsidR="0028089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which</w:t>
      </w:r>
      <w:proofErr w:type="spellEnd"/>
      <w:r w:rsidR="0028089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leads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de</w:t>
      </w:r>
      <w:r w:rsidR="00043A1D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forestation,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 that</w:t>
      </w:r>
      <w:r w:rsidR="00043A1D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existence </w:t>
      </w:r>
      <w:r w:rsidR="0028089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is threatened 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28089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habitat of butterflies is</w:t>
      </w:r>
      <w:r w:rsidR="001454F5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rarely found</w:t>
      </w:r>
      <w:r w:rsidR="0045774C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One of the areas in Lombok </w:t>
      </w:r>
      <w:proofErr w:type="gramStart"/>
      <w:r w:rsidR="0045774C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sland</w:t>
      </w:r>
      <w:proofErr w:type="gram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that is</w:t>
      </w:r>
      <w:r w:rsidR="00AA62CC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still </w:t>
      </w:r>
      <w:r w:rsidR="0028089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well-</w:t>
      </w:r>
      <w:r w:rsidR="00AA62CC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preserved as a forest for 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biodiversity protection is the 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AA62CC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uranadi</w:t>
      </w:r>
      <w:proofErr w:type="spellEnd"/>
      <w:r w:rsidR="00AA62CC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Natural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Tourism Park (</w:t>
      </w:r>
      <w:r w:rsidR="00AA62CC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hereafter SNTP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ED1771" w:rsidRPr="0066035F" w:rsidRDefault="00AA62CC" w:rsidP="009A01F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SNTP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was formerly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recognized as 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Suranadi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Ranget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Protected Forest based o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the decision of Bali Resident-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Lombok no. 1/4/3 and No. 1/4/4 of 2 February 1934 on the establishment of 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Suranadi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Ranget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Protected Forests.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news event of the boundaries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ofSuranandi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forest area signed 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 September 10, 1941has been declared</w:t>
      </w:r>
      <w:r w:rsidR="00805ED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forest area that needs to be protected </w:t>
      </w:r>
      <w:r w:rsidR="00805ED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covers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area about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60 ha.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Ministe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 of Agriculture Decree no. 646/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Kpts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 Um/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10/1976 da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ted October 15, 1976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no. 274/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Kpts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/Um/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5/1977 dated May 30, 1977 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uranadi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Natural Park 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covering 52 hectar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 has been designated as SNTP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ED1771" w:rsidRPr="0066035F" w:rsidRDefault="00805ED7" w:rsidP="009A01F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Its natural potency</w:t>
      </w:r>
      <w:r w:rsidR="00441518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which is relatively maintained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</w:t>
      </w:r>
      <w:r w:rsidR="00441518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esSNTP</w:t>
      </w:r>
      <w:proofErr w:type="spellEnd"/>
      <w:r w:rsidR="00441518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forest rich of 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various flora and fauna. Several studies have been conducted to </w:t>
      </w:r>
      <w:r w:rsidR="00441518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discover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 diversity of fauna species at </w:t>
      </w:r>
      <w:r w:rsidR="00441518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SNTP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The fauna species found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</w:t>
      </w:r>
      <w:r w:rsidR="00441518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SNTP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include four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species of amphibians of the 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anura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order (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Saty</w:t>
      </w:r>
      <w:r w:rsidR="00441518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awan</w:t>
      </w:r>
      <w:proofErr w:type="spellEnd"/>
      <w:r w:rsidR="00441518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2009), mammals (Gray apes/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Macaca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Fascicularis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 Black macaques (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Presbytis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cristata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 Water civet (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Cyngale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benniti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jelarang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="00F7620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atufa</w:t>
      </w:r>
      <w:proofErr w:type="spellEnd"/>
      <w:r w:rsidR="00F7620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bicolor</w:t>
      </w:r>
      <w:r w:rsidR="007C7422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 Birds (Eagle/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Falchonidae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Honeybirds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Nectariniidae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 Reptile Lizard (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Varanus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Salvator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and Snake 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Calobridae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(BKSDA NTB, 2015). </w:t>
      </w:r>
    </w:p>
    <w:p w:rsidR="00EB2BF8" w:rsidRPr="0066035F" w:rsidRDefault="00D049FF" w:rsidP="009A01F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One of the fauna that plays an im</w:t>
      </w:r>
      <w:r w:rsidR="00805ED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portant role in the ecosystem </w:t>
      </w:r>
      <w:proofErr w:type="spellStart"/>
      <w:r w:rsidR="00805ED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</w:t>
      </w:r>
      <w:r w:rsidR="0000777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SNTP</w:t>
      </w:r>
      <w:proofErr w:type="spellEnd"/>
      <w:r w:rsidR="0000777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butterfly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Ariani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et.al.</w:t>
      </w:r>
      <w:proofErr w:type="gram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(2013) found 28 species of butterflies in the </w:t>
      </w:r>
      <w:r w:rsidR="00805ED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SNTP region. Butterfly is</w:t>
      </w:r>
      <w:r w:rsidR="00F7620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type of wildlife that play</w:t>
      </w:r>
      <w:r w:rsidR="00805ED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 important role in the life cycle of flowering plants. Butterflies help preserve the existence a</w:t>
      </w:r>
      <w:r w:rsidR="00F7620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nd diversity of flora by facilitating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process of pollination. </w:t>
      </w:r>
    </w:p>
    <w:p w:rsidR="00EB2BF8" w:rsidRPr="0066035F" w:rsidRDefault="00F7620F" w:rsidP="009A01F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great variety</w:t>
      </w:r>
      <w:r w:rsidR="00EB2BF8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the butterfly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species</w:t>
      </w:r>
      <w:r w:rsidR="00EB2BF8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provides an interesting </w:t>
      </w:r>
      <w:proofErr w:type="spellStart"/>
      <w:r w:rsidR="00EB2BF8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icture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protection purposes as well as for the benefit of sustainable research and utilization. The </w:t>
      </w:r>
      <w:r w:rsidR="00505AA4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number of the 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identified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</w:t>
      </w:r>
      <w:r w:rsidR="00505AA4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tterflies is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about 17,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000 species. The survival of the butterfly is strongly influenced by its adaptability to climate an</w:t>
      </w:r>
      <w:r w:rsidR="00505AA4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 its habitat state. Butterflies do not only play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 important role as a pollinator or flower pollinator, </w:t>
      </w:r>
      <w:r w:rsidR="00505AA4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but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are also very vulnerable to environmental changes that can be used as 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bioindicators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environmental quality changes (Basset et al., 2012). Many butterflies are hunted by collectors </w:t>
      </w:r>
      <w:r w:rsidR="00505AA4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their collections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 </w:t>
      </w:r>
      <w:r w:rsidR="00805ED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that</w:t>
      </w:r>
      <w:proofErr w:type="gramEnd"/>
      <w:r w:rsidR="00805ED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butterflies have a high selling value (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Ngatimin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et al., 2014). This condition triggers </w:t>
      </w:r>
      <w:r w:rsidR="00505AA4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excessive and uncontrolled 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hunting and exploitation. In addition, clearing land and forest conversion for economic purposes is one of the major factors in the loss of butterfly habitat</w:t>
      </w:r>
      <w:r w:rsidR="00805ED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If this continues, then negative impacts</w:t>
      </w:r>
      <w:r w:rsidR="00805ED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such as </w:t>
      </w:r>
      <w:r w:rsidR="00505AA4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drop of the 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numbers </w:t>
      </w:r>
      <w:r w:rsidR="00FF07C5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even 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extinction</w:t>
      </w:r>
      <w:r w:rsidR="00FF07C5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species,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poses a serious threat to the </w:t>
      </w:r>
      <w:r w:rsidR="00FF07C5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existence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butterfly populations. </w:t>
      </w:r>
    </w:p>
    <w:p w:rsidR="00D049FF" w:rsidRPr="0066035F" w:rsidRDefault="00D049FF" w:rsidP="009A01F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Given the importance of the role of butterflies for the balance of </w:t>
      </w:r>
      <w:r w:rsidR="00055601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forest ecosystems, it is imperative that conservation efforts be undertaken to reduce the negative impacts of forest exploitation and </w:t>
      </w:r>
      <w:r w:rsidR="00805ED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convers</w:t>
      </w:r>
      <w:r w:rsidR="00055601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ions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 the survival of the butterfly population. To determine </w:t>
      </w:r>
      <w:r w:rsidR="00055601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accurate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strategy for </w:t>
      </w:r>
      <w:r w:rsidR="00055601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conservation of butterflies in the </w:t>
      </w:r>
      <w:r w:rsidR="00055601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SNTP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region, it is necessary to study the species diversity and prioritize the conservation of bu</w:t>
      </w:r>
      <w:r w:rsidR="00055601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tterfly species at SNTP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049FF" w:rsidRPr="0066035F" w:rsidRDefault="00D049FF" w:rsidP="009A01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7520A" w:rsidRDefault="00D7520A" w:rsidP="009A01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438FA" w:rsidRPr="0066035F" w:rsidRDefault="004438FA" w:rsidP="009A01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049FF" w:rsidRPr="0066035F" w:rsidRDefault="00D049FF" w:rsidP="009A01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METHOD</w:t>
      </w:r>
    </w:p>
    <w:p w:rsidR="00D049FF" w:rsidRPr="0066035F" w:rsidRDefault="00D049FF" w:rsidP="009A01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study was conducted from April to</w:t>
      </w:r>
      <w:r w:rsidR="00805ED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May 2017 at SNTP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West Lombok (Figure 1).</w:t>
      </w:r>
    </w:p>
    <w:p w:rsidR="00EB2BF8" w:rsidRPr="0066035F" w:rsidRDefault="00EB2BF8" w:rsidP="00EB2BF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4878265" cy="3770800"/>
            <wp:effectExtent l="19050" t="0" r="0" b="0"/>
            <wp:docPr id="6" name="Picture 1" descr="D:\Peta\Peta Suranadi\Peta Fix\peta lok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eta\Peta Suranadi\Peta Fix\peta lokas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847" cy="3773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9FF" w:rsidRPr="0066035F" w:rsidRDefault="00EB2BF8" w:rsidP="00EB2BF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Figure </w:t>
      </w:r>
      <w:proofErr w:type="gram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 :</w:t>
      </w:r>
      <w:proofErr w:type="gram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Research Area</w:t>
      </w:r>
    </w:p>
    <w:p w:rsidR="00D049FF" w:rsidRPr="0066035F" w:rsidRDefault="00D049FF" w:rsidP="009A01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B2BF8" w:rsidRPr="0066035F" w:rsidRDefault="00055601" w:rsidP="00EB2BF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process of 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collection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this study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employed 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direct surv</w:t>
      </w:r>
      <w:r w:rsidR="00A97F49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ey method. Butterfly catching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done by sweeping net technique along observation lines that have been determined based on the observation. The butterfly samples taken in this study were adult butterflies. Sampling is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taken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along each path using insect </w:t>
      </w:r>
      <w:r w:rsidR="00E1132B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net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Data </w:t>
      </w:r>
      <w:r w:rsidR="00E1132B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collection was done through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 repetitions wi</w:t>
      </w:r>
      <w:r w:rsidR="00E1132B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</w:t>
      </w:r>
      <w:r w:rsidR="00A97F49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2 months. Butterfly catching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done in the</w:t>
      </w:r>
      <w:r w:rsidR="00E1132B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morning from 08.00 - 11.00 AM Central Indonesian Time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E1132B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the 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afternoon </w:t>
      </w:r>
      <w:r w:rsidR="00E1132B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 starts at 30:00 – 5:00 PM Central Indonesian Time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EB2BF8" w:rsidRPr="0066035F" w:rsidRDefault="00A97F49" w:rsidP="00EB2BF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sample b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utterflies caught in the field </w:t>
      </w:r>
      <w:r w:rsidR="00356DAA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 preserved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by injecting 4% formalin solution in their t</w:t>
      </w:r>
      <w:r w:rsidR="00356DAA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horacic parts using syringes and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then stored using 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papilot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paper. The sample was then identified in the biology laboratory of FKIP 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Universitas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Mataram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the number of individuals</w:t>
      </w:r>
      <w:r w:rsidR="00356DAA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was counted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Butterfly samples were identified using the Practical Handbook of 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Butterflies at the Bogor Botanical Gardens (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Peggie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Amir, 2006) and the Butterfly Field Guide at TWA 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Kerandangan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Wahyuni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​​and 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Fatahullah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2015). </w:t>
      </w:r>
    </w:p>
    <w:p w:rsidR="00EB2BF8" w:rsidRPr="0066035F" w:rsidRDefault="00D049FF" w:rsidP="00EB2BF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data analysis used to calculate the Shannon-Wiener diversity index, as follows: </w:t>
      </w:r>
    </w:p>
    <w:p w:rsidR="00EB2BF8" w:rsidRPr="0066035F" w:rsidRDefault="00EB2BF8" w:rsidP="00EB2BF8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6035F">
        <w:rPr>
          <w:rFonts w:ascii="Times New Roman" w:hAnsi="Times New Roman"/>
          <w:color w:val="000000" w:themeColor="text1"/>
          <w:sz w:val="24"/>
          <w:szCs w:val="24"/>
        </w:rPr>
        <w:t>H'= -</w:t>
      </w:r>
      <m:oMath>
        <m:nary>
          <m:naryPr>
            <m:chr m:val="∑"/>
            <m:grow m:val="on"/>
            <m:ctrlPr>
              <w:rPr>
                <w:rFonts w:ascii="Cambria Math" w:hAnsi="Times New Roman"/>
                <w:color w:val="000000" w:themeColor="text1"/>
                <w:sz w:val="24"/>
                <w:szCs w:val="24"/>
              </w:rPr>
            </m:ctrlPr>
          </m:naryPr>
          <m:sub>
            <m:r>
              <w:rPr>
                <w:rFonts w:ascii="Cambria Math" w:eastAsia="Cambria Math" w:hAnsi="Cambria Math"/>
                <w:color w:val="000000" w:themeColor="text1"/>
                <w:sz w:val="24"/>
                <w:szCs w:val="24"/>
              </w:rPr>
              <m:t>i</m:t>
            </m:r>
            <m:r>
              <w:rPr>
                <w:rFonts w:ascii="Cambria Math" w:eastAsia="Cambria Math" w:hAnsi="Times New Roman"/>
                <w:color w:val="000000" w:themeColor="text1"/>
                <w:sz w:val="24"/>
                <w:szCs w:val="24"/>
              </w:rPr>
              <m:t>=1</m:t>
            </m:r>
          </m:sub>
          <m:sup>
            <m:r>
              <w:rPr>
                <w:rFonts w:ascii="Cambria Math" w:eastAsia="Cambria Math" w:hAnsi="Cambria Math"/>
                <w:color w:val="000000" w:themeColor="text1"/>
                <w:sz w:val="24"/>
                <w:szCs w:val="24"/>
              </w:rPr>
              <m:t>s</m:t>
            </m:r>
          </m:sup>
          <m:e>
            <m:r>
              <w:rPr>
                <w:rFonts w:ascii="Cambria Math" w:hAnsi="Times New Roman"/>
                <w:color w:val="000000" w:themeColor="text1"/>
                <w:sz w:val="24"/>
                <w:szCs w:val="24"/>
              </w:rPr>
              <m:t>pi</m:t>
            </m:r>
          </m:e>
        </m:nary>
      </m:oMath>
      <w:r w:rsidRPr="0066035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ln </w:t>
      </w:r>
      <w:r w:rsidRPr="0066035F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pi</w:t>
      </w:r>
    </w:p>
    <w:p w:rsidR="00EB2BF8" w:rsidRPr="0066035F" w:rsidRDefault="00EB2BF8" w:rsidP="00EB2BF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B2BF8" w:rsidRPr="0066035F" w:rsidRDefault="00111A0D" w:rsidP="00111A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Where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H ': Index of diversity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Proportional abundance </w:t>
      </w:r>
    </w:p>
    <w:p w:rsidR="00EB2BF8" w:rsidRPr="0066035F" w:rsidRDefault="00356DAA" w:rsidP="00EB2BF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p</w:t>
      </w:r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riority for conservation is determined by Minister of Forestry Regulation Number: P.57 / </w:t>
      </w:r>
      <w:proofErr w:type="spellStart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Menhut</w:t>
      </w:r>
      <w:proofErr w:type="spellEnd"/>
      <w:r w:rsidR="00D049FF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-II / 2008 on Strategic References for National Species Conservation 2008 - 2018. </w:t>
      </w:r>
    </w:p>
    <w:p w:rsidR="00EB2BF8" w:rsidRPr="0066035F" w:rsidRDefault="00EB2BF8" w:rsidP="00EB2B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11A0D" w:rsidRPr="0066035F" w:rsidRDefault="00D049FF" w:rsidP="00EB2B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RESULTS AND DISCUSSION </w:t>
      </w:r>
    </w:p>
    <w:p w:rsidR="00111A0D" w:rsidRPr="0066035F" w:rsidRDefault="00D049FF" w:rsidP="00EB2B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Diversity of Butterfly Species at </w:t>
      </w:r>
      <w:r w:rsidR="00805ED7" w:rsidRPr="006603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SNTP</w:t>
      </w:r>
    </w:p>
    <w:p w:rsidR="00111A0D" w:rsidRPr="0066035F" w:rsidRDefault="00D049FF" w:rsidP="00EB2B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results showed that </w:t>
      </w:r>
      <w:r w:rsidR="00356DAA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the SNTP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area, 40 species of butterflies belonging to the 5 families of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Papilionidae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Nymphalidae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Pieriidae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Lycaenidae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Hesperii</w:t>
      </w:r>
      <w:r w:rsidR="00356DAA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dae</w:t>
      </w:r>
      <w:proofErr w:type="spellEnd"/>
      <w:r w:rsidR="00356DAA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were found. Table 1displays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species of butterfly found along with the diversity index (H ') on each observation path. The number of species found in this study is more than those </w:t>
      </w:r>
      <w:r w:rsidR="00356DAA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found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</w:t>
      </w:r>
      <w:r w:rsidR="00356DAA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other sites such as those conducted by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Ariani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et.al. (2013) </w:t>
      </w:r>
      <w:r w:rsidR="00356DAA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who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found 28 species of butterflies,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Koneri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Saroyo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(2012) found 28 species of 4 families on Mount Manado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Tua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Bunaken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Marine National Park, North Sulawesi. The same number (40 species) </w:t>
      </w:r>
      <w:r w:rsidR="001953BD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classified in four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families </w:t>
      </w:r>
      <w:r w:rsidR="001953BD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were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found in the area of ​​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Halimun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Salak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National Park of West Java (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Murwitaningsih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&amp; Dharma, 2014). The differen</w:t>
      </w:r>
      <w:r w:rsidR="001953BD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results obtained may be due to habitat conditions, precision factors and observation time.</w:t>
      </w:r>
    </w:p>
    <w:p w:rsidR="00111A0D" w:rsidRPr="0066035F" w:rsidRDefault="00111A0D" w:rsidP="00111A0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2831123" cy="1881554"/>
            <wp:effectExtent l="0" t="0" r="0" b="0"/>
            <wp:docPr id="1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11A0D" w:rsidRPr="0066035F" w:rsidRDefault="00D049FF" w:rsidP="00111A0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Figure 2.</w:t>
      </w:r>
      <w:proofErr w:type="gram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proportion of the number of butterfly species found in TWA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Suranadi</w:t>
      </w:r>
      <w:proofErr w:type="spellEnd"/>
    </w:p>
    <w:p w:rsidR="00111A0D" w:rsidRPr="0066035F" w:rsidRDefault="00111A0D" w:rsidP="00EB2B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11A0D" w:rsidRPr="0066035F" w:rsidRDefault="00111A0D" w:rsidP="00EB2B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049FF" w:rsidRPr="0066035F" w:rsidRDefault="00D049FF" w:rsidP="00111A0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The existence of butterfly species is strongly influenced by vegetation conditions, environmental factors and human disturbance. Changes in vegetation and the environment </w:t>
      </w:r>
      <w:r w:rsidR="00F30BE3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affect the composition of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butterfly species. Figure 2 shows the proportion of butterfly species found in </w:t>
      </w:r>
      <w:r w:rsidR="00F30BE3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SNTP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Nymphalidae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a family with the highest proportion of species, 45%</w:t>
      </w:r>
      <w:r w:rsidR="00805ED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followed by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Pieridae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25%,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Papilionidae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15%,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Lycaenidae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13% and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Hesperiidae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2%.</w:t>
      </w:r>
    </w:p>
    <w:p w:rsidR="00111A0D" w:rsidRPr="0066035F" w:rsidRDefault="00DF2BF7" w:rsidP="009A01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Table 1.</w:t>
      </w:r>
      <w:proofErr w:type="gram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Diversity of Butterf</w:t>
      </w:r>
      <w:r w:rsidR="00111A0D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 Type on each observation line</w:t>
      </w:r>
    </w:p>
    <w:tbl>
      <w:tblPr>
        <w:tblW w:w="9478" w:type="dxa"/>
        <w:tblInd w:w="91" w:type="dxa"/>
        <w:tblLook w:val="04A0"/>
      </w:tblPr>
      <w:tblGrid>
        <w:gridCol w:w="583"/>
        <w:gridCol w:w="1509"/>
        <w:gridCol w:w="619"/>
        <w:gridCol w:w="2976"/>
        <w:gridCol w:w="945"/>
        <w:gridCol w:w="790"/>
        <w:gridCol w:w="943"/>
        <w:gridCol w:w="1113"/>
      </w:tblGrid>
      <w:tr w:rsidR="00111A0D" w:rsidRPr="0066035F" w:rsidTr="00C74D8B">
        <w:trPr>
          <w:trHeight w:val="125"/>
        </w:trPr>
        <w:tc>
          <w:tcPr>
            <w:tcW w:w="58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03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035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Family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</w:tcBorders>
            <w:vAlign w:val="center"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Species of butterflies</w:t>
            </w:r>
          </w:p>
        </w:tc>
        <w:tc>
          <w:tcPr>
            <w:tcW w:w="37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The number of individual species per line</w:t>
            </w:r>
          </w:p>
        </w:tc>
      </w:tr>
      <w:tr w:rsidR="00111A0D" w:rsidRPr="0066035F" w:rsidTr="00C74D8B">
        <w:trPr>
          <w:trHeight w:val="125"/>
        </w:trPr>
        <w:tc>
          <w:tcPr>
            <w:tcW w:w="58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Merge/>
            <w:tcBorders>
              <w:bottom w:val="single" w:sz="4" w:space="0" w:color="auto"/>
            </w:tcBorders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line</w:t>
            </w:r>
          </w:p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Left 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line</w:t>
            </w:r>
          </w:p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Right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line Central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1A0D" w:rsidRPr="0066035F" w:rsidRDefault="00111A0D" w:rsidP="00111A0D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line Waterway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Hesperiidae</w:t>
            </w:r>
            <w:proofErr w:type="spellEnd"/>
          </w:p>
        </w:tc>
        <w:tc>
          <w:tcPr>
            <w:tcW w:w="619" w:type="dxa"/>
            <w:tcBorders>
              <w:top w:val="single" w:sz="4" w:space="0" w:color="auto"/>
            </w:tcBorders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Ancisfroides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nigrita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Lycaenidae</w:t>
            </w:r>
            <w:proofErr w:type="spellEnd"/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Leptotes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sp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Jamides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alecto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Floss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annuela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Jamides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celeno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Lambides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boeticus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5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Nymphalidae</w:t>
            </w:r>
            <w:proofErr w:type="spellEnd"/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Euploea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eunica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Vindula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dejone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dorokusana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4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Danaus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genutia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Melanitis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leda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Mycalesis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janardana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Doleschallia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bisaltide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Ideopsis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juventa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Euploea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climena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Pantoporia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hardonia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Elymnias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hypermenestra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17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Hypolimnas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bolina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18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Tirumala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hamata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19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Mycalesis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horfieldi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Polyura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hebe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21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Junonia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sp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22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Athyma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nefte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23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Nepthis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hylas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24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Melanitis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phedipus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Papilionidae</w:t>
            </w:r>
            <w:proofErr w:type="spellEnd"/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25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Papilio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memnon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5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26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Papilio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polytes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Papilio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peranthus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28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Graphium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doson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29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Graphium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Agamemnon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6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30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Troides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Helena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Pieridae</w:t>
            </w:r>
            <w:proofErr w:type="spellEnd"/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Catopsila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sp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Leptosia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nina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Eurema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blanda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Cepora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iudith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4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Cepora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sp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Delias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sp</w:t>
            </w: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37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Catopsila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pamona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Catopsila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pyranthi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Hebomoia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glaucipe</w:t>
            </w:r>
            <w:proofErr w:type="spellEnd"/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bottom"/>
          </w:tcPr>
          <w:p w:rsidR="00111A0D" w:rsidRPr="0066035F" w:rsidRDefault="00111A0D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40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Eurema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id-ID"/>
              </w:rPr>
              <w:t>hecabe</w:t>
            </w:r>
            <w:proofErr w:type="spellEnd"/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0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1</w:t>
            </w:r>
          </w:p>
        </w:tc>
      </w:tr>
      <w:tr w:rsidR="00111A0D" w:rsidRPr="0066035F" w:rsidTr="00C74D8B">
        <w:trPr>
          <w:trHeight w:val="276"/>
        </w:trPr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0D" w:rsidRPr="0066035F" w:rsidRDefault="002C337E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Amount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272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208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48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41</w:t>
            </w:r>
          </w:p>
        </w:tc>
      </w:tr>
      <w:tr w:rsidR="00111A0D" w:rsidRPr="0066035F" w:rsidTr="00C74D8B">
        <w:trPr>
          <w:trHeight w:val="75"/>
        </w:trPr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1509" w:type="dxa"/>
            <w:tcBorders>
              <w:top w:val="single" w:sz="4" w:space="0" w:color="auto"/>
              <w:bottom w:val="single" w:sz="4" w:space="0" w:color="auto"/>
            </w:tcBorders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H'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3,29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3,43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2,63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A0D" w:rsidRPr="0066035F" w:rsidRDefault="00111A0D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d-ID"/>
              </w:rPr>
              <w:t>2,65</w:t>
            </w:r>
          </w:p>
        </w:tc>
      </w:tr>
    </w:tbl>
    <w:p w:rsidR="00DF2BF7" w:rsidRPr="0066035F" w:rsidRDefault="00DF2BF7" w:rsidP="009A01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F2BF7" w:rsidRPr="0066035F" w:rsidRDefault="00DF2BF7" w:rsidP="00C426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numbe</w:t>
      </w:r>
      <w:r w:rsidR="00F30BE3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 of butterfly species found at SNTP is less than </w:t>
      </w:r>
      <w:r w:rsidR="00805ED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those </w:t>
      </w:r>
      <w:r w:rsidR="00F30BE3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identified from other locations outside Lombok </w:t>
      </w:r>
      <w:proofErr w:type="gramStart"/>
      <w:r w:rsidR="00F30BE3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sland</w:t>
      </w:r>
      <w:proofErr w:type="gram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Rahayu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(2012) found 43 species (6 families) in the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r w:rsidR="00880E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bjah</w:t>
      </w:r>
      <w:proofErr w:type="spellEnd"/>
      <w:r w:rsidR="00880E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City Forest of Jambi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55 species (5 families) in Taman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Kehati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Unnes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Priyono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&amp; Abdullah, 2013), 60 species (5 families) in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Hapanasan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Rokan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tourism area Upstream Riau (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Febrita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2014), 63 species of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Papilionidae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family in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Banyuwindu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Limbangan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Kendal (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Oqtafiana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2013), 42 species (8 families) </w:t>
      </w:r>
      <w:r w:rsidR="00F30BE3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</w:t>
      </w:r>
      <w:proofErr w:type="spellStart"/>
      <w:r w:rsidR="00F30BE3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Tanjung</w:t>
      </w:r>
      <w:proofErr w:type="spellEnd"/>
      <w:r w:rsidR="00F30BE3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0BE3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Balai</w:t>
      </w:r>
      <w:proofErr w:type="spellEnd"/>
      <w:r w:rsidR="00F30BE3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0BE3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Karimun</w:t>
      </w:r>
      <w:proofErr w:type="spellEnd"/>
      <w:r w:rsidR="00F30BE3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Riau i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slands (Sutra et al., 2</w:t>
      </w:r>
      <w:r w:rsidR="00F30BE3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012) and 45 species were found i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the North Coast of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Manokwari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West Papua (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Hermawanto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2016).</w:t>
      </w:r>
    </w:p>
    <w:p w:rsidR="00C426FB" w:rsidRPr="0066035F" w:rsidRDefault="00DF2BF7" w:rsidP="00C426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number of species found in the </w:t>
      </w:r>
      <w:r w:rsidR="00F97F96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SNTP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area is also less than that found in other countries as reported by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Lodh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Agarwala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(2016) which found 53 species (5 fam</w:t>
      </w:r>
      <w:r w:rsidR="00F50824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ilies) in the </w:t>
      </w:r>
      <w:proofErr w:type="spellStart"/>
      <w:r w:rsidR="00F50824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Rowa</w:t>
      </w:r>
      <w:proofErr w:type="spellEnd"/>
      <w:r w:rsidR="00F50824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Indian Natural Reservation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63 species (5 families) on foot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Itanagar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hills India (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Sarma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et.al. 2012) and 74 species (6 families) in the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Rema-Kalenga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wildlife reserve of Bangladesh (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Shihan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Prodhan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2014). </w:t>
      </w:r>
      <w:proofErr w:type="spellStart"/>
      <w:proofErr w:type="gram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Majumder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et.al.</w:t>
      </w:r>
      <w:proofErr w:type="gram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0824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2013</w:t>
      </w:r>
      <w:r w:rsidR="00F50824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reports that i</w:t>
      </w:r>
      <w:r w:rsidR="00F97F96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 the South Asian </w:t>
      </w:r>
      <w:proofErr w:type="spellStart"/>
      <w:r w:rsidR="00F97F96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Trishna</w:t>
      </w:r>
      <w:proofErr w:type="spellEnd"/>
      <w:r w:rsidR="00F97F96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Natural Reservation</w:t>
      </w:r>
      <w:r w:rsidR="00F50824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it was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found 59 species of butterflies belonging to 12 distinct species and 9 threatened species. In the Bangladeshi Forest, 125 species (6 families) and 23 threatened species are found, including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Troides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helena</w:t>
      </w:r>
      <w:proofErr w:type="spellEnd"/>
      <w:proofErr w:type="gram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Haidar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et al. 2017).</w:t>
      </w:r>
    </w:p>
    <w:p w:rsidR="00C426FB" w:rsidRPr="0066035F" w:rsidRDefault="00DF2BF7" w:rsidP="00C426FB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Several species of dominant butterflies are found in the area of ​​</w:t>
      </w:r>
      <w:r w:rsidR="00F97F96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SNTP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(figure 3):</w:t>
      </w:r>
    </w:p>
    <w:p w:rsidR="00C426FB" w:rsidRPr="0066035F" w:rsidRDefault="008C2D3A" w:rsidP="00C426FB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D3A"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" o:spid="_x0000_s1026" type="#_x0000_t202" style="position:absolute;left:0;text-align:left;margin-left:282.55pt;margin-top:89.6pt;width:9.3pt;height:7.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" filled="f" stroked="f">
            <o:lock v:ext="edit" shapetype="t"/>
            <v:textbox style="mso-fit-shape-to-text:t">
              <w:txbxContent>
                <w:p w:rsidR="003B39F7" w:rsidRDefault="003B39F7" w:rsidP="009844A2">
                  <w:pPr>
                    <w:pStyle w:val="NormalWeb"/>
                    <w:spacing w:before="0" w:beforeAutospacing="0" w:after="0" w:afterAutospacing="0"/>
                    <w:jc w:val="center"/>
                  </w:pPr>
                  <w:proofErr w:type="gramStart"/>
                  <w:r>
                    <w:rPr>
                      <w:rFonts w:ascii="Arial Black" w:hAnsi="Arial Black"/>
                      <w:color w:val="FFFFFF" w:themeColor="background1"/>
                      <w:sz w:val="72"/>
                      <w:szCs w:val="72"/>
                    </w:rPr>
                    <w:t>b</w:t>
                  </w:r>
                  <w:proofErr w:type="gramEnd"/>
                  <w:r>
                    <w:rPr>
                      <w:rFonts w:ascii="Arial Black" w:hAnsi="Arial Black"/>
                      <w:color w:val="FFFFFF" w:themeColor="background1"/>
                      <w:sz w:val="72"/>
                      <w:szCs w:val="72"/>
                    </w:rPr>
                    <w:t>.</w:t>
                  </w:r>
                </w:p>
              </w:txbxContent>
            </v:textbox>
          </v:shape>
        </w:pict>
      </w:r>
      <w:r w:rsidRPr="008C2D3A">
        <w:rPr>
          <w:noProof/>
          <w:color w:val="000000" w:themeColor="text1"/>
        </w:rPr>
        <w:pict>
          <v:shape id="WordArt 2" o:spid="_x0000_s1027" type="#_x0000_t202" style="position:absolute;left:0;text-align:left;margin-left:107pt;margin-top:89.6pt;width:9.3pt;height:7.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" filled="f" stroked="f">
            <o:lock v:ext="edit" shapetype="t"/>
            <v:textbox style="mso-fit-shape-to-text:t">
              <w:txbxContent>
                <w:p w:rsidR="003B39F7" w:rsidRDefault="003B39F7" w:rsidP="009844A2">
                  <w:pPr>
                    <w:pStyle w:val="NormalWeb"/>
                    <w:spacing w:before="0" w:beforeAutospacing="0" w:after="0" w:afterAutospacing="0"/>
                    <w:jc w:val="center"/>
                  </w:pPr>
                  <w:proofErr w:type="gramStart"/>
                  <w:r>
                    <w:rPr>
                      <w:rFonts w:ascii="Arial Black" w:hAnsi="Arial Black"/>
                      <w:color w:val="FFFFFF" w:themeColor="background1"/>
                      <w:sz w:val="72"/>
                      <w:szCs w:val="72"/>
                    </w:rPr>
                    <w:t>a</w:t>
                  </w:r>
                  <w:proofErr w:type="gramEnd"/>
                  <w:r>
                    <w:rPr>
                      <w:rFonts w:ascii="Arial Black" w:hAnsi="Arial Black"/>
                      <w:color w:val="FFFFFF" w:themeColor="background1"/>
                      <w:sz w:val="72"/>
                      <w:szCs w:val="72"/>
                    </w:rPr>
                    <w:t>.</w:t>
                  </w:r>
                </w:p>
              </w:txbxContent>
            </v:textbox>
          </v:shape>
        </w:pict>
      </w:r>
      <w:r w:rsidR="00C426FB" w:rsidRPr="0066035F">
        <w:rPr>
          <w:noProof/>
          <w:color w:val="000000" w:themeColor="text1"/>
        </w:rPr>
        <w:drawing>
          <wp:inline distT="0" distB="0" distL="0" distR="0">
            <wp:extent cx="2151771" cy="1293727"/>
            <wp:effectExtent l="19050" t="0" r="879" b="0"/>
            <wp:docPr id="1" name="Picture 8" descr="C:\Users\user\AppData\Local\Microsoft\Windows\Temporary Internet Files\Content.Word\IMG_3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Temporary Internet Files\Content.Word\IMG_34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339" cy="129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26FB" w:rsidRPr="0066035F">
        <w:rPr>
          <w:noProof/>
          <w:color w:val="000000" w:themeColor="text1"/>
        </w:rPr>
        <w:drawing>
          <wp:inline distT="0" distB="0" distL="0" distR="0">
            <wp:extent cx="1370135" cy="1290753"/>
            <wp:effectExtent l="19050" t="0" r="1465" b="0"/>
            <wp:docPr id="2" name="Picture 5" descr="C:\Users\user\AppData\Local\Microsoft\Windows\Temporary Internet Files\Content.Word\IMG_3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IMG_33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77962" cy="129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6FB" w:rsidRPr="0066035F" w:rsidRDefault="008C2D3A" w:rsidP="00C426FB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D3A">
        <w:rPr>
          <w:noProof/>
          <w:color w:val="000000" w:themeColor="text1"/>
        </w:rPr>
        <w:lastRenderedPageBreak/>
        <w:pict>
          <v:shape id="WordArt 5" o:spid="_x0000_s1028" type="#_x0000_t202" style="position:absolute;left:0;text-align:left;margin-left:248.65pt;margin-top:82.15pt;width:9.3pt;height:7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" filled="f" stroked="f">
            <o:lock v:ext="edit" shapetype="t"/>
            <v:textbox style="mso-fit-shape-to-text:t">
              <w:txbxContent>
                <w:p w:rsidR="003B39F7" w:rsidRDefault="003B39F7" w:rsidP="009844A2">
                  <w:pPr>
                    <w:pStyle w:val="NormalWeb"/>
                    <w:spacing w:before="0" w:beforeAutospacing="0" w:after="0" w:afterAutospacing="0"/>
                    <w:jc w:val="center"/>
                  </w:pPr>
                  <w:proofErr w:type="gramStart"/>
                  <w:r>
                    <w:rPr>
                      <w:rFonts w:ascii="Arial Black" w:hAnsi="Arial Black"/>
                      <w:color w:val="FFFFFF" w:themeColor="background1"/>
                      <w:sz w:val="72"/>
                      <w:szCs w:val="72"/>
                    </w:rPr>
                    <w:t>d</w:t>
                  </w:r>
                  <w:proofErr w:type="gramEnd"/>
                  <w:r>
                    <w:rPr>
                      <w:rFonts w:ascii="Arial Black" w:hAnsi="Arial Black"/>
                      <w:color w:val="FFFFFF" w:themeColor="background1"/>
                      <w:sz w:val="72"/>
                      <w:szCs w:val="72"/>
                    </w:rPr>
                    <w:t>.</w:t>
                  </w:r>
                </w:p>
              </w:txbxContent>
            </v:textbox>
          </v:shape>
        </w:pict>
      </w:r>
      <w:r w:rsidRPr="008C2D3A">
        <w:rPr>
          <w:noProof/>
          <w:color w:val="000000" w:themeColor="text1"/>
        </w:rPr>
        <w:pict>
          <v:shape id="WordArt 4" o:spid="_x0000_s1029" type="#_x0000_t202" style="position:absolute;left:0;text-align:left;margin-left:107pt;margin-top:82.15pt;width:9.3pt;height:7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" filled="f" stroked="f">
            <o:lock v:ext="edit" shapetype="t"/>
            <v:textbox style="mso-fit-shape-to-text:t">
              <w:txbxContent>
                <w:p w:rsidR="003B39F7" w:rsidRDefault="003B39F7" w:rsidP="009844A2">
                  <w:pPr>
                    <w:pStyle w:val="NormalWeb"/>
                    <w:spacing w:before="0" w:beforeAutospacing="0" w:after="0" w:afterAutospacing="0"/>
                    <w:jc w:val="center"/>
                  </w:pPr>
                  <w:proofErr w:type="gramStart"/>
                  <w:r>
                    <w:rPr>
                      <w:rFonts w:ascii="Arial Black" w:hAnsi="Arial Black"/>
                      <w:color w:val="FFFFFF" w:themeColor="background1"/>
                      <w:sz w:val="72"/>
                      <w:szCs w:val="72"/>
                    </w:rPr>
                    <w:t>c</w:t>
                  </w:r>
                  <w:proofErr w:type="gramEnd"/>
                  <w:r>
                    <w:rPr>
                      <w:rFonts w:ascii="Arial Black" w:hAnsi="Arial Black"/>
                      <w:color w:val="FFFFFF" w:themeColor="background1"/>
                      <w:sz w:val="72"/>
                      <w:szCs w:val="72"/>
                    </w:rPr>
                    <w:t>.</w:t>
                  </w:r>
                </w:p>
              </w:txbxContent>
            </v:textbox>
          </v:shape>
        </w:pict>
      </w:r>
      <w:r w:rsidR="00C426FB" w:rsidRPr="0066035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698381" cy="1228468"/>
            <wp:effectExtent l="19050" t="0" r="0" b="0"/>
            <wp:docPr id="4" name="Picture 11" descr="D:\LoSTT\Suranadi (2017)\BUKU KUPU2\Kupu-Kupu Suranadi\IMG_2958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LoSTT\Suranadi (2017)\BUKU KUPU2\Kupu-Kupu Suranadi\IMG_2958x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22" cy="1229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26FB" w:rsidRPr="0066035F">
        <w:rPr>
          <w:noProof/>
          <w:color w:val="000000" w:themeColor="text1"/>
        </w:rPr>
        <w:drawing>
          <wp:inline distT="0" distB="0" distL="0" distR="0">
            <wp:extent cx="1826065" cy="1230923"/>
            <wp:effectExtent l="19050" t="0" r="2735" b="0"/>
            <wp:docPr id="10" name="Picture 13" descr="C:\Users\user\AppData\Local\Microsoft\Windows\Temporary Internet Files\Content.Word\IMG_2123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Temporary Internet Files\Content.Word\IMG_2123EDI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358" cy="1228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6FB" w:rsidRPr="0066035F" w:rsidRDefault="00DF2BF7" w:rsidP="00C42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Figure 3.</w:t>
      </w:r>
      <w:proofErr w:type="gram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Dominant butterfly species found in TWA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Suranadi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426FB" w:rsidRPr="0066035F" w:rsidRDefault="00C426FB" w:rsidP="00C42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(a</w:t>
      </w:r>
      <w:r w:rsidR="00DF2BF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DF2BF7" w:rsidRPr="006603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Papilio</w:t>
      </w:r>
      <w:proofErr w:type="spellEnd"/>
      <w:r w:rsidR="00DF2BF7" w:rsidRPr="006603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DF2BF7" w:rsidRPr="006603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polytes</w:t>
      </w:r>
      <w:proofErr w:type="spellEnd"/>
      <w:r w:rsidR="00DF2BF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b) </w:t>
      </w:r>
      <w:proofErr w:type="spellStart"/>
      <w:r w:rsidR="00DF2BF7" w:rsidRPr="006603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Jamides</w:t>
      </w:r>
      <w:proofErr w:type="spellEnd"/>
      <w:r w:rsidR="00DF2BF7" w:rsidRPr="006603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DF2BF7" w:rsidRPr="006603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celeno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c)</w:t>
      </w:r>
      <w:proofErr w:type="spellStart"/>
      <w:r w:rsidR="00DF2BF7" w:rsidRPr="006603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cepora</w:t>
      </w:r>
      <w:proofErr w:type="spellEnd"/>
      <w:r w:rsidR="00DF2BF7" w:rsidRPr="006603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DF2BF7" w:rsidRPr="006603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iudith</w:t>
      </w:r>
      <w:proofErr w:type="spellEnd"/>
      <w:r w:rsidR="00DF2BF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d) </w:t>
      </w:r>
      <w:proofErr w:type="spellStart"/>
      <w:r w:rsidR="00DF2BF7" w:rsidRPr="006603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Eurema</w:t>
      </w:r>
      <w:proofErr w:type="spellEnd"/>
      <w:r w:rsidR="00DF2BF7" w:rsidRPr="006603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DF2BF7" w:rsidRPr="006603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blanda</w:t>
      </w:r>
      <w:proofErr w:type="spellEnd"/>
      <w:r w:rsidR="00DF2BF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C426FB" w:rsidRPr="0066035F" w:rsidRDefault="00C426FB" w:rsidP="009A01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57768" w:rsidRPr="0066035F" w:rsidRDefault="00805ED7" w:rsidP="00F5082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Butterflies usually live</w:t>
      </w:r>
      <w:r w:rsidR="00DF2BF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DF2BF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terrestrial habitats but the composition of the species varies according t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their habitat conditions. B</w:t>
      </w:r>
      <w:r w:rsidR="00DF2BF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utterfly habitat is characterized by the availability of host plants to feed the larvae, and the nectar-producing plants for their imaging. When these two plants are available in a habitat, they allow the butterflies to survive. If only one of them </w:t>
      </w:r>
      <w:r w:rsidR="00F50824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 available, butterfly can</w:t>
      </w:r>
      <w:r w:rsidR="00DF2BF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 survive. In addition, it also needs a sufficient light factor, clean air, and wate</w:t>
      </w:r>
      <w:r w:rsidR="00F50824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 as the material needed to maintain the moisture of </w:t>
      </w:r>
      <w:r w:rsidR="00DF2BF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environment </w:t>
      </w:r>
      <w:r w:rsidR="00F50824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where the butterflies live</w:t>
      </w:r>
      <w:r w:rsidR="00DF2BF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F2BF7" w:rsidRPr="0066035F" w:rsidRDefault="00DF2BF7" w:rsidP="0055776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Figure 4 shows the proportion of the individual number of each butterfly family found at </w:t>
      </w:r>
      <w:r w:rsidR="00282364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SNTP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The la</w:t>
      </w:r>
      <w:r w:rsidR="00282364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rgest proportion of families is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Nymphalidae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(35%) followed by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Pieridae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(30%),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Lycaenidae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(18%),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Papilionidae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(16%) and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Hesperiidae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(1%). The dominance of the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Nymphalidae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family butterfly is a common pattern in many places. </w:t>
      </w:r>
      <w:r w:rsidR="00282364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proofErr w:type="spellStart"/>
      <w:r w:rsidR="00282364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Nymphalidae</w:t>
      </w:r>
      <w:proofErr w:type="spellEnd"/>
      <w:r w:rsidR="00282364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82364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family not only have</w:t>
      </w:r>
      <w:proofErr w:type="gram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high species diversity, </w:t>
      </w:r>
      <w:r w:rsidR="00282364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but also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has a wider range and higher abundance than other families.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Nymphalidae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generally </w:t>
      </w:r>
      <w:r w:rsidR="00282364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prefer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places like forests, bright areas and fields.</w:t>
      </w:r>
    </w:p>
    <w:p w:rsidR="00557768" w:rsidRPr="0066035F" w:rsidRDefault="00557768" w:rsidP="009A01FC">
      <w:pPr>
        <w:spacing w:after="0" w:line="360" w:lineRule="auto"/>
        <w:jc w:val="both"/>
        <w:rPr>
          <w:color w:val="000000" w:themeColor="text1"/>
        </w:rPr>
      </w:pPr>
    </w:p>
    <w:p w:rsidR="00DF2BF7" w:rsidRPr="0066035F" w:rsidRDefault="00557768" w:rsidP="00557768">
      <w:pPr>
        <w:spacing w:after="0" w:line="360" w:lineRule="auto"/>
        <w:jc w:val="center"/>
        <w:rPr>
          <w:color w:val="000000" w:themeColor="text1"/>
        </w:rPr>
      </w:pPr>
      <w:r w:rsidRPr="0066035F">
        <w:rPr>
          <w:noProof/>
          <w:color w:val="000000" w:themeColor="text1"/>
        </w:rPr>
        <w:drawing>
          <wp:inline distT="0" distB="0" distL="0" distR="0">
            <wp:extent cx="2611316" cy="1732084"/>
            <wp:effectExtent l="0" t="0" r="0" b="0"/>
            <wp:docPr id="9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57768" w:rsidRPr="0066035F" w:rsidRDefault="00DF2BF7" w:rsidP="005577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Figure 4.</w:t>
      </w:r>
      <w:proofErr w:type="gram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Proportion of Number of Individuals of each butterfly family found </w:t>
      </w:r>
    </w:p>
    <w:p w:rsidR="00557768" w:rsidRPr="0066035F" w:rsidRDefault="00DF2BF7" w:rsidP="005577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</w:t>
      </w:r>
      <w:proofErr w:type="gram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5D9E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SNTP</w:t>
      </w:r>
    </w:p>
    <w:p w:rsidR="00557768" w:rsidRPr="0066035F" w:rsidRDefault="00557768" w:rsidP="009A01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57768" w:rsidRPr="0066035F" w:rsidRDefault="00DF2BF7" w:rsidP="0055776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The index of the diversit</w:t>
      </w:r>
      <w:r w:rsidR="00365D9E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 of butterflies at SNTP is 3.47 which </w:t>
      </w:r>
      <w:proofErr w:type="gramStart"/>
      <w:r w:rsidR="00365D9E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</w:t>
      </w:r>
      <w:proofErr w:type="gramEnd"/>
      <w:r w:rsidR="00365D9E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analyzed with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Shannon-Wiener index</w:t>
      </w:r>
      <w:r w:rsidR="00365D9E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while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each observation path has</w:t>
      </w:r>
      <w:r w:rsidR="00805ED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different value. Figure 4 displays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highest index value found on the right lane (H '= 3.43) followed by the left lane (H' = 3.29), the water line (H '= 2.65) and the middle lane (H' = </w:t>
      </w:r>
      <w:proofErr w:type="gram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2 ,</w:t>
      </w:r>
      <w:proofErr w:type="gram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63). </w:t>
      </w:r>
      <w:r w:rsidR="00365D9E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d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ifferences in the index values ​​of the diversity of butterfly species in the </w:t>
      </w:r>
      <w:r w:rsidR="00365D9E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SNTP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region are influenced by </w:t>
      </w:r>
      <w:r w:rsidR="00365D9E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differences in vegetation structure of secondary forest composition in the form of tall trees and varied canopy. </w:t>
      </w:r>
    </w:p>
    <w:p w:rsidR="00557768" w:rsidRPr="0066035F" w:rsidRDefault="00A06A78" w:rsidP="0055776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DF2BF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variety of canopies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affects</w:t>
      </w:r>
      <w:r w:rsidR="00DF2BF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difference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of </w:t>
      </w:r>
      <w:r w:rsidR="00DF2BF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sunlight to each part of the forest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F2BF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 that habitat conditions vary. The right and left lanes are the margins of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DF2BF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secondary forest that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is </w:t>
      </w:r>
      <w:r w:rsidR="00DF2BF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directly adjacent to the community plantations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F2BF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 that they have a fairly open canopy. The existence of community flower fields and fields provides an attractive source of food for butterflies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F2BF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so that many species are concentrated in that location. Unlike the middle path that has a canopy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it</w:t>
      </w:r>
      <w:r w:rsidR="00DF2BF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solid enough to block the penetration of sunlight that affects the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less</w:t>
      </w:r>
      <w:r w:rsidR="00DF2BF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butterfly species found. </w:t>
      </w:r>
    </w:p>
    <w:p w:rsidR="00880E6F" w:rsidRPr="0066035F" w:rsidRDefault="00DF2BF7" w:rsidP="00880E6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index of the d</w:t>
      </w:r>
      <w:r w:rsidR="00A06A78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iversity of butterfly species at SNTP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greater compared to </w:t>
      </w:r>
      <w:r w:rsidR="00A06A78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those found in other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places.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Nisa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</w:t>
      </w:r>
      <w:proofErr w:type="gram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Al. (2013) find indices of diversity (H` = 2,199) in Malang City Green Open Space.</w:t>
      </w:r>
    </w:p>
    <w:p w:rsidR="00DF2BF7" w:rsidRPr="0066035F" w:rsidRDefault="00DF2BF7" w:rsidP="009A01FC">
      <w:pPr>
        <w:spacing w:after="0" w:line="360" w:lineRule="auto"/>
        <w:jc w:val="both"/>
        <w:rPr>
          <w:color w:val="000000" w:themeColor="text1"/>
        </w:rPr>
      </w:pPr>
    </w:p>
    <w:p w:rsidR="00557768" w:rsidRPr="0066035F" w:rsidRDefault="00880E6F" w:rsidP="00557768">
      <w:pPr>
        <w:spacing w:after="0" w:line="360" w:lineRule="auto"/>
        <w:jc w:val="center"/>
        <w:rPr>
          <w:color w:val="000000" w:themeColor="text1"/>
        </w:rPr>
      </w:pPr>
      <w:r w:rsidRPr="00880E6F">
        <w:rPr>
          <w:color w:val="000000" w:themeColor="text1"/>
        </w:rPr>
        <w:drawing>
          <wp:inline distT="0" distB="0" distL="0" distR="0">
            <wp:extent cx="3895725" cy="2247900"/>
            <wp:effectExtent l="19050" t="0" r="9525" b="0"/>
            <wp:docPr id="1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A01FC" w:rsidRPr="0066035F" w:rsidRDefault="009A01FC" w:rsidP="00557768">
      <w:pPr>
        <w:spacing w:after="0" w:line="360" w:lineRule="auto"/>
        <w:jc w:val="center"/>
        <w:rPr>
          <w:color w:val="000000" w:themeColor="text1"/>
        </w:rPr>
      </w:pPr>
    </w:p>
    <w:p w:rsidR="00557768" w:rsidRPr="0066035F" w:rsidRDefault="009A01FC" w:rsidP="0055776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Figure 5.</w:t>
      </w:r>
      <w:proofErr w:type="gram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Shannon-Wiener Diversity Index on each observation path</w:t>
      </w:r>
    </w:p>
    <w:p w:rsidR="00557768" w:rsidRDefault="00557768" w:rsidP="009A01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438FA" w:rsidRDefault="004438FA" w:rsidP="009A01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438FA" w:rsidRDefault="004438FA" w:rsidP="009A01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438FA" w:rsidRDefault="004438FA" w:rsidP="009A01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438FA" w:rsidRPr="0066035F" w:rsidRDefault="004438FA" w:rsidP="009A01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57768" w:rsidRPr="0066035F" w:rsidRDefault="009A01FC" w:rsidP="009A01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Priority of Butterfly Conservation at </w:t>
      </w:r>
      <w:r w:rsidR="002F6657" w:rsidRPr="006603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SNTP</w:t>
      </w:r>
    </w:p>
    <w:p w:rsidR="00557768" w:rsidRPr="0066035F" w:rsidRDefault="009A01FC" w:rsidP="009A01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Table 2.</w:t>
      </w:r>
      <w:proofErr w:type="gram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Prior</w:t>
      </w:r>
      <w:r w:rsidR="002F665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ity of butterfly conservation at SNTP</w:t>
      </w:r>
    </w:p>
    <w:tbl>
      <w:tblPr>
        <w:tblW w:w="5073" w:type="pct"/>
        <w:jc w:val="center"/>
        <w:tblLayout w:type="fixed"/>
        <w:tblLook w:val="04A0"/>
      </w:tblPr>
      <w:tblGrid>
        <w:gridCol w:w="539"/>
        <w:gridCol w:w="1349"/>
        <w:gridCol w:w="540"/>
        <w:gridCol w:w="3263"/>
        <w:gridCol w:w="414"/>
        <w:gridCol w:w="577"/>
        <w:gridCol w:w="711"/>
        <w:gridCol w:w="633"/>
        <w:gridCol w:w="676"/>
        <w:gridCol w:w="1014"/>
      </w:tblGrid>
      <w:tr w:rsidR="00094E96" w:rsidRPr="0066035F" w:rsidTr="00C74D8B">
        <w:trPr>
          <w:trHeight w:val="864"/>
          <w:jc w:val="center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96" w:rsidRPr="0066035F" w:rsidRDefault="00094E96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96" w:rsidRPr="0066035F" w:rsidRDefault="00094E96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Family</w:t>
            </w: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E96" w:rsidRPr="0066035F" w:rsidRDefault="00094E96" w:rsidP="00072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96" w:rsidRPr="0066035F" w:rsidRDefault="00094E96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Species</w:t>
            </w: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94E96" w:rsidRPr="0066035F" w:rsidRDefault="00094E96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2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94E96" w:rsidRPr="0066035F" w:rsidRDefault="00094E96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SP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94E96" w:rsidRPr="0066035F" w:rsidRDefault="00094E96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KH</w:t>
            </w:r>
          </w:p>
        </w:tc>
        <w:tc>
          <w:tcPr>
            <w:tcW w:w="3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94E96" w:rsidRPr="0066035F" w:rsidRDefault="00094E96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94E96" w:rsidRPr="0066035F" w:rsidRDefault="00094E96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SPS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94E96" w:rsidRPr="0066035F" w:rsidRDefault="00094E96" w:rsidP="00557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094E96" w:rsidRPr="0066035F" w:rsidTr="00C74D8B">
        <w:trPr>
          <w:trHeight w:val="288"/>
          <w:jc w:val="center"/>
        </w:trPr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Hesperiidae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</w:tcBorders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7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Ancistroides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nigrita</w:t>
            </w:r>
            <w:proofErr w:type="spellEnd"/>
          </w:p>
        </w:tc>
        <w:tc>
          <w:tcPr>
            <w:tcW w:w="21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Lycaenidae</w:t>
            </w:r>
            <w:proofErr w:type="spellEnd"/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Leptotes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sp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Jamides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alecto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Floss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annuela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Jamides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celeno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Lambides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boeticus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Nymphalidae</w:t>
            </w:r>
            <w:proofErr w:type="spellEnd"/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Euploea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eunica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Vindula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dejone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dorokusana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Danaus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genutia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Melanitis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leda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Mycalesis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janardana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Doleschallia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bisaltide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Ideopsis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juventa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Euploea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climena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Pantoporia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hardonia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Elymnias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hypermenestra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Hypolimnas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bolina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Tirumala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hamata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Mycalesis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horfieldi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Polyura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hebe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Junonia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sp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Athyma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nefte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Nepthis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hylas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Melanitis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phedipus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Papilionidae</w:t>
            </w:r>
            <w:proofErr w:type="spellEnd"/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Papilio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memnon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65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Papilio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polytes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Papilio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peranthus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Graphium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doson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Graphium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agamemnon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Troides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0"/>
                <w:szCs w:val="20"/>
              </w:rPr>
              <w:t>helena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75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Pieridae</w:t>
            </w:r>
            <w:proofErr w:type="spellEnd"/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Catopsila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sp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Leptosia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nina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Eurema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blanda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Cepora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iudith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Cepora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sp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Delias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sp</w:t>
            </w:r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Catopsila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pamona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094E96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Catopsila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pyranthi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C74D8B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pct"/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679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Hebomoia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glaucipe</w:t>
            </w:r>
            <w:proofErr w:type="spellEnd"/>
          </w:p>
        </w:tc>
        <w:tc>
          <w:tcPr>
            <w:tcW w:w="213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  <w:tr w:rsidR="00094E96" w:rsidRPr="0066035F" w:rsidTr="00C74D8B">
        <w:trPr>
          <w:trHeight w:val="288"/>
          <w:jc w:val="center"/>
        </w:trPr>
        <w:tc>
          <w:tcPr>
            <w:tcW w:w="277" w:type="pct"/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vAlign w:val="bottom"/>
          </w:tcPr>
          <w:p w:rsidR="00094E96" w:rsidRPr="0066035F" w:rsidRDefault="00094E96" w:rsidP="00072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67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Eurema</w:t>
            </w:r>
            <w:proofErr w:type="spellEnd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6035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hecabe</w:t>
            </w:r>
            <w:proofErr w:type="spellEnd"/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E96" w:rsidRPr="0066035F" w:rsidRDefault="00094E96" w:rsidP="00557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603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</w:tr>
    </w:tbl>
    <w:p w:rsidR="00094E96" w:rsidRDefault="00094E96" w:rsidP="002C33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A01FC" w:rsidRPr="0066035F" w:rsidRDefault="002C337E" w:rsidP="002C33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Where</w:t>
      </w:r>
      <w:r w:rsidR="009A01FC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E: </w:t>
      </w:r>
      <w:proofErr w:type="spellStart"/>
      <w:r w:rsidR="009A01FC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Endemicity</w:t>
      </w:r>
      <w:proofErr w:type="spellEnd"/>
      <w:r w:rsidR="009A01FC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SP: Status of Population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KH</w:t>
      </w:r>
      <w:r w:rsidR="009A01FC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Habitat Condition K: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Risk   </w:t>
      </w:r>
      <w:r w:rsidR="009A01FC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SPS: Status of Species Management</w:t>
      </w:r>
    </w:p>
    <w:p w:rsidR="009A01FC" w:rsidRPr="0066035F" w:rsidRDefault="009A01FC" w:rsidP="009A01FC">
      <w:pPr>
        <w:spacing w:after="0" w:line="360" w:lineRule="auto"/>
        <w:jc w:val="both"/>
        <w:rPr>
          <w:color w:val="000000" w:themeColor="text1"/>
        </w:rPr>
      </w:pPr>
    </w:p>
    <w:p w:rsidR="009A01FC" w:rsidRPr="0066035F" w:rsidRDefault="009A01FC" w:rsidP="002C33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Habitat is the result of interaction between the biotic and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abiotic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components,</w:t>
      </w:r>
      <w:proofErr w:type="gram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components interact to form interrelated relationships. If only one of them is av</w:t>
      </w:r>
      <w:r w:rsidR="002F665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ailable, then the butterfly can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not </w:t>
      </w:r>
      <w:r w:rsidR="002F6657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survive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especially if there is no host plant. The butterfly habitat is a moist place with lots of flower vegetation, aquatic bodies and plenty of sunshine. Most species live in agricultural areas, orchards, primary and secondary forests. The highest frequency of bu</w:t>
      </w:r>
      <w:r w:rsidR="00CE1B1E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tterflies flowering is at 09.00-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</w:t>
      </w:r>
      <w:r w:rsidR="00CE1B1E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 and the colors of flowers have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positive effect on the number of butterflies that perceive it (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Duara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Kalita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2014).</w:t>
      </w:r>
    </w:p>
    <w:p w:rsidR="002C337E" w:rsidRPr="0066035F" w:rsidRDefault="002C337E" w:rsidP="002C337E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337E" w:rsidRPr="0066035F" w:rsidRDefault="002C337E" w:rsidP="002C337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678101" cy="1266093"/>
            <wp:effectExtent l="19050" t="0" r="0" b="0"/>
            <wp:docPr id="3" name="Picture 4" descr="D:\LoSTT\Gn. Tunak (2017)\Kupu2_Gn. Tunak\T. hel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LoSTT\Gn. Tunak (2017)\Kupu2_Gn. Tunak\T. helen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217" cy="1269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2D3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WordArt 7" o:spid="_x0000_s1030" type="#_x0000_t202" style="position:absolute;left:0;text-align:left;margin-left:240.55pt;margin-top:90.75pt;width:9.3pt;height:7.7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" filled="f" stroked="f">
            <o:lock v:ext="edit" shapetype="t"/>
            <v:textbox style="mso-fit-shape-to-text:t">
              <w:txbxContent>
                <w:p w:rsidR="003B39F7" w:rsidRDefault="003B39F7" w:rsidP="009844A2">
                  <w:pPr>
                    <w:pStyle w:val="NormalWeb"/>
                    <w:spacing w:before="0" w:beforeAutospacing="0" w:after="0" w:afterAutospacing="0"/>
                    <w:jc w:val="center"/>
                  </w:pPr>
                  <w:proofErr w:type="gramStart"/>
                  <w:r>
                    <w:rPr>
                      <w:rFonts w:ascii="Arial Black" w:hAnsi="Arial Black"/>
                      <w:color w:val="FFFFFF" w:themeColor="background1"/>
                      <w:sz w:val="72"/>
                      <w:szCs w:val="72"/>
                    </w:rPr>
                    <w:t>b</w:t>
                  </w:r>
                  <w:proofErr w:type="gramEnd"/>
                  <w:r>
                    <w:rPr>
                      <w:rFonts w:ascii="Arial Black" w:hAnsi="Arial Black"/>
                      <w:color w:val="FFFFFF" w:themeColor="background1"/>
                      <w:sz w:val="72"/>
                      <w:szCs w:val="72"/>
                    </w:rPr>
                    <w:t>.</w:t>
                  </w:r>
                </w:p>
              </w:txbxContent>
            </v:textbox>
          </v:shape>
        </w:pict>
      </w:r>
      <w:r w:rsidR="008C2D3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 id="WordArt 6" o:spid="_x0000_s1031" type="#_x0000_t202" style="position:absolute;left:0;text-align:left;margin-left:86.75pt;margin-top:90.75pt;width:9.3pt;height:7.7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" filled="f" stroked="f">
            <o:lock v:ext="edit" shapetype="t"/>
            <v:textbox style="mso-fit-shape-to-text:t">
              <w:txbxContent>
                <w:p w:rsidR="003B39F7" w:rsidRDefault="003B39F7" w:rsidP="009844A2">
                  <w:pPr>
                    <w:pStyle w:val="NormalWeb"/>
                    <w:spacing w:before="0" w:beforeAutospacing="0" w:after="0" w:afterAutospacing="0"/>
                    <w:jc w:val="center"/>
                  </w:pPr>
                  <w:proofErr w:type="gramStart"/>
                  <w:r>
                    <w:rPr>
                      <w:rFonts w:ascii="Arial Black" w:hAnsi="Arial Black"/>
                      <w:color w:val="FFFFFF" w:themeColor="background1"/>
                      <w:sz w:val="72"/>
                      <w:szCs w:val="72"/>
                    </w:rPr>
                    <w:t>a</w:t>
                  </w:r>
                  <w:proofErr w:type="gramEnd"/>
                  <w:r>
                    <w:rPr>
                      <w:rFonts w:ascii="Arial Black" w:hAnsi="Arial Black"/>
                      <w:color w:val="FFFFFF" w:themeColor="background1"/>
                      <w:sz w:val="72"/>
                      <w:szCs w:val="72"/>
                    </w:rPr>
                    <w:t>.</w:t>
                  </w:r>
                </w:p>
              </w:txbxContent>
            </v:textbox>
          </v:shape>
        </w:pict>
      </w:r>
      <w:r w:rsidRPr="0066035F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1914698" cy="1266092"/>
            <wp:effectExtent l="19050" t="0" r="9352" b="0"/>
            <wp:docPr id="11" name="Picture 2" descr="D:\LoSTT\Suranadi (2017)\BUKU KUPU2\Kupu-Kupu Suranadi\Papilio memn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LoSTT\Suranadi (2017)\BUKU KUPU2\Kupu-Kupu Suranadi\Papilio memno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719" cy="126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37E" w:rsidRPr="0066035F" w:rsidRDefault="009A01FC" w:rsidP="002C337E">
      <w:pPr>
        <w:spacing w:after="0" w:line="240" w:lineRule="auto"/>
        <w:jc w:val="center"/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Figure 6.</w:t>
      </w:r>
      <w:proofErr w:type="gramEnd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Species of butterflies being a conservation priority at </w:t>
      </w:r>
      <w:r w:rsidR="002F6657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SNTP</w:t>
      </w:r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66035F">
        <w:rPr>
          <w:rStyle w:val="translation"/>
          <w:rFonts w:ascii="Times New Roman" w:hAnsi="Times New Roman" w:cs="Times New Roman"/>
          <w:i/>
          <w:color w:val="000000" w:themeColor="text1"/>
          <w:sz w:val="24"/>
          <w:szCs w:val="24"/>
        </w:rPr>
        <w:t>Troides</w:t>
      </w:r>
      <w:proofErr w:type="spellEnd"/>
      <w:r w:rsidRPr="0066035F">
        <w:rPr>
          <w:rStyle w:val="translation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6035F">
        <w:rPr>
          <w:rStyle w:val="translation"/>
          <w:rFonts w:ascii="Times New Roman" w:hAnsi="Times New Roman" w:cs="Times New Roman"/>
          <w:i/>
          <w:color w:val="000000" w:themeColor="text1"/>
          <w:sz w:val="24"/>
          <w:szCs w:val="24"/>
        </w:rPr>
        <w:t>helena</w:t>
      </w:r>
      <w:proofErr w:type="spellEnd"/>
      <w:proofErr w:type="gramEnd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2C337E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6035F">
        <w:rPr>
          <w:rStyle w:val="translation"/>
          <w:rFonts w:ascii="Times New Roman" w:hAnsi="Times New Roman" w:cs="Times New Roman"/>
          <w:i/>
          <w:color w:val="000000" w:themeColor="text1"/>
          <w:sz w:val="24"/>
          <w:szCs w:val="24"/>
        </w:rPr>
        <w:t>Papilio</w:t>
      </w:r>
      <w:proofErr w:type="spellEnd"/>
      <w:r w:rsidRPr="0066035F">
        <w:rPr>
          <w:rStyle w:val="translation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Style w:val="translation"/>
          <w:rFonts w:ascii="Times New Roman" w:hAnsi="Times New Roman" w:cs="Times New Roman"/>
          <w:i/>
          <w:color w:val="000000" w:themeColor="text1"/>
          <w:sz w:val="24"/>
          <w:szCs w:val="24"/>
        </w:rPr>
        <w:t>memnon</w:t>
      </w:r>
      <w:proofErr w:type="spellEnd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2C337E" w:rsidRPr="0066035F" w:rsidRDefault="002C337E" w:rsidP="002C337E">
      <w:pPr>
        <w:spacing w:after="0" w:line="240" w:lineRule="auto"/>
        <w:jc w:val="both"/>
        <w:rPr>
          <w:rStyle w:val="translation"/>
          <w:color w:val="000000" w:themeColor="text1"/>
        </w:rPr>
      </w:pPr>
    </w:p>
    <w:p w:rsidR="002C337E" w:rsidRPr="0066035F" w:rsidRDefault="00BE74FB" w:rsidP="002C337E">
      <w:pPr>
        <w:spacing w:after="0" w:line="360" w:lineRule="auto"/>
        <w:ind w:firstLine="720"/>
        <w:jc w:val="both"/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Based on</w:t>
      </w:r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the conservation priority analysis, two species of the </w:t>
      </w:r>
      <w:proofErr w:type="spellStart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Papilionidae</w:t>
      </w:r>
      <w:proofErr w:type="spellEnd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family are the main priority of butterfly conservation in TWA </w:t>
      </w:r>
      <w:proofErr w:type="spellStart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Suranadi</w:t>
      </w:r>
      <w:proofErr w:type="spellEnd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namely </w:t>
      </w:r>
      <w:proofErr w:type="spellStart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Troides</w:t>
      </w:r>
      <w:proofErr w:type="spellEnd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helena</w:t>
      </w:r>
      <w:proofErr w:type="spellEnd"/>
      <w:proofErr w:type="gramEnd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Papilio</w:t>
      </w:r>
      <w:proofErr w:type="spellEnd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memnon</w:t>
      </w:r>
      <w:proofErr w:type="spellEnd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. This type of butterfly </w:t>
      </w:r>
      <w:proofErr w:type="spellStart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Troides</w:t>
      </w:r>
      <w:proofErr w:type="spellEnd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helena</w:t>
      </w:r>
      <w:proofErr w:type="spellEnd"/>
      <w:proofErr w:type="gramEnd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(Common </w:t>
      </w:r>
      <w:proofErr w:type="spellStart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Birdwing</w:t>
      </w:r>
      <w:proofErr w:type="spellEnd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) is </w:t>
      </w:r>
      <w:r w:rsidR="00CE1B1E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one of the rare species found at SNTP</w:t>
      </w:r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Troides</w:t>
      </w:r>
      <w:proofErr w:type="spellEnd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helena</w:t>
      </w:r>
      <w:proofErr w:type="spellEnd"/>
      <w:proofErr w:type="gramEnd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is a type of butterfly </w:t>
      </w:r>
      <w:r w:rsidR="00CE1B1E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protected by SK </w:t>
      </w:r>
      <w:proofErr w:type="spellStart"/>
      <w:r w:rsidR="00CE1B1E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Mentan</w:t>
      </w:r>
      <w:proofErr w:type="spellEnd"/>
      <w:r w:rsidR="00CE1B1E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No.576/</w:t>
      </w:r>
      <w:proofErr w:type="spellStart"/>
      <w:r w:rsidR="00CE1B1E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Kpts</w:t>
      </w:r>
      <w:proofErr w:type="spellEnd"/>
      <w:r w:rsidR="00CE1B1E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/Um/</w:t>
      </w:r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8/1980; PP. No. 7 Year 1999, Minister of Agriculture Decree No.716</w:t>
      </w:r>
      <w:r w:rsidR="00CE1B1E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CE1B1E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Kpts</w:t>
      </w:r>
      <w:proofErr w:type="spellEnd"/>
      <w:r w:rsidR="00CE1B1E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/m1 /</w:t>
      </w:r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10/1980 and included in CITES Appendix II (</w:t>
      </w:r>
      <w:proofErr w:type="spellStart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Noerdjito</w:t>
      </w:r>
      <w:proofErr w:type="spellEnd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Aswari</w:t>
      </w:r>
      <w:proofErr w:type="spellEnd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, 2003). </w:t>
      </w:r>
    </w:p>
    <w:p w:rsidR="002C337E" w:rsidRPr="0066035F" w:rsidRDefault="009A01FC" w:rsidP="002C337E">
      <w:pPr>
        <w:spacing w:after="0" w:line="360" w:lineRule="auto"/>
        <w:ind w:firstLine="720"/>
        <w:jc w:val="both"/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Butterflie</w:t>
      </w:r>
      <w:r w:rsidR="00BE74FB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s from the </w:t>
      </w:r>
      <w:proofErr w:type="spellStart"/>
      <w:r w:rsidR="00BE74FB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Papilionoidea</w:t>
      </w:r>
      <w:proofErr w:type="spellEnd"/>
      <w:r w:rsidR="00BE74FB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Family</w:t>
      </w:r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love</w:t>
      </w:r>
      <w:r w:rsidR="00BE74FB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light</w:t>
      </w:r>
      <w:proofErr w:type="spellEnd"/>
      <w:r w:rsidR="00BE74FB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very much</w:t>
      </w:r>
      <w:r w:rsidR="00CE1B1E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CE1B1E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Light is needed to dry </w:t>
      </w:r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butterfly's wings upon exit from the c</w:t>
      </w:r>
      <w:r w:rsidR="00BE74FB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ocoon. Light </w:t>
      </w:r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provide</w:t>
      </w:r>
      <w:r w:rsidR="00BE74FB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heat energy to the body, so that body temperature increases and metabolism becomes faster. Increased body temperature accelerate</w:t>
      </w:r>
      <w:r w:rsidR="00BE74FB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the development of butterfly larvae. The </w:t>
      </w:r>
      <w:r w:rsidR="00BE74FB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existence</w:t>
      </w:r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Troides</w:t>
      </w:r>
      <w:proofErr w:type="spellEnd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helena</w:t>
      </w:r>
      <w:proofErr w:type="spellEnd"/>
      <w:proofErr w:type="gramEnd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and several other butterfly </w:t>
      </w:r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species, especially from the </w:t>
      </w:r>
      <w:proofErr w:type="spellStart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Papilionidae</w:t>
      </w:r>
      <w:proofErr w:type="spellEnd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family, is threatened with extinction in nature, due to human hunting for trading, or due to the decline in the quality of butterfly habitats in nature. Type </w:t>
      </w:r>
      <w:proofErr w:type="spellStart"/>
      <w:proofErr w:type="gramStart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helen</w:t>
      </w:r>
      <w:proofErr w:type="spellEnd"/>
      <w:proofErr w:type="gramEnd"/>
      <w:r w:rsidR="00BE74FB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74FB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helides</w:t>
      </w:r>
      <w:proofErr w:type="spellEnd"/>
      <w:r w:rsidR="00BE74FB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are much hunted for their</w:t>
      </w:r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beauty and rarity (</w:t>
      </w:r>
      <w:proofErr w:type="spellStart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Noerdjito</w:t>
      </w:r>
      <w:proofErr w:type="spellEnd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Aswari</w:t>
      </w:r>
      <w:proofErr w:type="spellEnd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, 2003). </w:t>
      </w:r>
    </w:p>
    <w:p w:rsidR="002C337E" w:rsidRPr="0066035F" w:rsidRDefault="009A01FC" w:rsidP="002C337E">
      <w:pPr>
        <w:spacing w:after="0" w:line="360" w:lineRule="auto"/>
        <w:ind w:firstLine="720"/>
        <w:jc w:val="both"/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Pontororing</w:t>
      </w:r>
      <w:proofErr w:type="spellEnd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et.al.</w:t>
      </w:r>
      <w:proofErr w:type="gramEnd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(2016) reported that T. </w:t>
      </w:r>
      <w:proofErr w:type="spellStart"/>
      <w:proofErr w:type="gramStart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helena</w:t>
      </w:r>
      <w:proofErr w:type="spellEnd"/>
      <w:proofErr w:type="gramEnd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belonged to animals with high flying ability. His ability to fly high </w:t>
      </w:r>
      <w:r w:rsidR="007873E6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is </w:t>
      </w:r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used to alight, eat, breed, and play. The </w:t>
      </w:r>
      <w:r w:rsidR="007873E6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range of </w:t>
      </w:r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fligh</w:t>
      </w:r>
      <w:r w:rsidR="007873E6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t frequency of T. </w:t>
      </w:r>
      <w:proofErr w:type="spellStart"/>
      <w:proofErr w:type="gramStart"/>
      <w:r w:rsidR="007873E6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helena</w:t>
      </w:r>
      <w:proofErr w:type="spellEnd"/>
      <w:proofErr w:type="gramEnd"/>
      <w:r w:rsidR="007873E6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is</w:t>
      </w:r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06.00 - 17.00. The highest fly</w:t>
      </w:r>
      <w:r w:rsidR="00CE1B1E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ing frequency is found at 08.00-</w:t>
      </w:r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10.00 am. Flying high is done to increase body temperature and dry the wings. </w:t>
      </w:r>
      <w:proofErr w:type="spellStart"/>
      <w:proofErr w:type="gramStart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Pontororing</w:t>
      </w:r>
      <w:proofErr w:type="spellEnd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et.al.</w:t>
      </w:r>
      <w:proofErr w:type="gramEnd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(2016) also reported that the frequency of T. </w:t>
      </w:r>
      <w:proofErr w:type="spellStart"/>
      <w:proofErr w:type="gramStart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helenes</w:t>
      </w:r>
      <w:proofErr w:type="spellEnd"/>
      <w:proofErr w:type="gramEnd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during nectar sipping (food) begins at 07.00 - 16.00. Frequency increases at 07.00 - 09.00</w:t>
      </w:r>
      <w:r w:rsidR="007873E6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, and </w:t>
      </w:r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it decreased and then increased again at 12.00 - 15.00. Nectar is needed by the butterfly as a foodstuff and </w:t>
      </w:r>
      <w:r w:rsidR="007873E6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then </w:t>
      </w:r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converted into energy to fly. </w:t>
      </w:r>
    </w:p>
    <w:p w:rsidR="002C337E" w:rsidRPr="0066035F" w:rsidRDefault="009A01FC" w:rsidP="002C337E">
      <w:pPr>
        <w:spacing w:after="0" w:line="360" w:lineRule="auto"/>
        <w:ind w:firstLine="720"/>
        <w:jc w:val="both"/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The existence of </w:t>
      </w:r>
      <w:proofErr w:type="spellStart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Troides</w:t>
      </w:r>
      <w:proofErr w:type="spellEnd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helena</w:t>
      </w:r>
      <w:proofErr w:type="spellEnd"/>
      <w:proofErr w:type="gramEnd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butterfly is influenced by the existence of feed and host plants. </w:t>
      </w:r>
      <w:proofErr w:type="spellStart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Aristolochia</w:t>
      </w:r>
      <w:proofErr w:type="spellEnd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tagala</w:t>
      </w:r>
      <w:proofErr w:type="spellEnd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from the family </w:t>
      </w:r>
      <w:proofErr w:type="spellStart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Aristolochiae</w:t>
      </w:r>
      <w:proofErr w:type="spellEnd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is a host plant for the species. </w:t>
      </w:r>
      <w:proofErr w:type="spellStart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Troides</w:t>
      </w:r>
      <w:proofErr w:type="spellEnd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helena</w:t>
      </w:r>
      <w:proofErr w:type="spellEnd"/>
      <w:proofErr w:type="gramEnd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was found in the waterway positioned between G1-G6 and only found at the thir</w:t>
      </w:r>
      <w:r w:rsidR="00CE1B1E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d sampling. This relates to </w:t>
      </w:r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butterfly flying period and is likely close to the host plant. According to </w:t>
      </w:r>
      <w:proofErr w:type="spellStart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Peggie</w:t>
      </w:r>
      <w:proofErr w:type="spellEnd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and Amir (2006)</w:t>
      </w:r>
      <w:r w:rsidR="007873E6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, the</w:t>
      </w:r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observations at different times may show different types because they have different flying periods. This is obviously</w:t>
      </w:r>
      <w:r w:rsidR="007873E6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observable </w:t>
      </w:r>
      <w:r w:rsidR="00CE1B1E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in the 4 </w:t>
      </w:r>
      <w:proofErr w:type="gramStart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seasons</w:t>
      </w:r>
      <w:proofErr w:type="gramEnd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area. In Indonesia</w:t>
      </w:r>
      <w:r w:rsidR="007873E6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there are also differences in the distribution and diversity of butterflies in the rainy season and in the dry season. </w:t>
      </w:r>
    </w:p>
    <w:p w:rsidR="009A01FC" w:rsidRPr="0066035F" w:rsidRDefault="007873E6" w:rsidP="002C337E">
      <w:pPr>
        <w:spacing w:after="0" w:line="360" w:lineRule="auto"/>
        <w:ind w:firstLine="720"/>
        <w:jc w:val="both"/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The p</w:t>
      </w:r>
      <w:r w:rsidR="002C337E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opulation </w:t>
      </w:r>
      <w:r w:rsidR="002C337E" w:rsidRPr="0066035F">
        <w:rPr>
          <w:rStyle w:val="translation"/>
          <w:rFonts w:ascii="Times New Roman" w:hAnsi="Times New Roman" w:cs="Times New Roman"/>
          <w:i/>
          <w:color w:val="000000" w:themeColor="text1"/>
          <w:sz w:val="24"/>
          <w:szCs w:val="24"/>
        </w:rPr>
        <w:t>of</w:t>
      </w:r>
      <w:r w:rsidR="009A01FC" w:rsidRPr="0066035F">
        <w:rPr>
          <w:rStyle w:val="translation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9A01FC" w:rsidRPr="0066035F">
        <w:rPr>
          <w:rStyle w:val="translation"/>
          <w:rFonts w:ascii="Times New Roman" w:hAnsi="Times New Roman" w:cs="Times New Roman"/>
          <w:i/>
          <w:color w:val="000000" w:themeColor="text1"/>
          <w:sz w:val="24"/>
          <w:szCs w:val="24"/>
        </w:rPr>
        <w:t>Troides</w:t>
      </w:r>
      <w:proofErr w:type="spellEnd"/>
      <w:r w:rsidR="009A01FC" w:rsidRPr="0066035F">
        <w:rPr>
          <w:rStyle w:val="translation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9A01FC" w:rsidRPr="0066035F">
        <w:rPr>
          <w:rStyle w:val="translation"/>
          <w:rFonts w:ascii="Times New Roman" w:hAnsi="Times New Roman" w:cs="Times New Roman"/>
          <w:i/>
          <w:color w:val="000000" w:themeColor="text1"/>
          <w:sz w:val="24"/>
          <w:szCs w:val="24"/>
        </w:rPr>
        <w:t>helena</w:t>
      </w:r>
      <w:proofErr w:type="spellEnd"/>
      <w:proofErr w:type="gramEnd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in the secondary forest of TWA </w:t>
      </w:r>
      <w:proofErr w:type="spellStart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Suranadi</w:t>
      </w:r>
      <w:proofErr w:type="spellEnd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is small. This condition can threaten</w:t>
      </w:r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the survival of </w:t>
      </w:r>
      <w:proofErr w:type="spellStart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Troides</w:t>
      </w:r>
      <w:proofErr w:type="spellEnd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helena</w:t>
      </w:r>
      <w:proofErr w:type="spellEnd"/>
      <w:proofErr w:type="gramEnd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because besides </w:t>
      </w:r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rare host plants, the breeding ability of this type is low. </w:t>
      </w:r>
      <w:proofErr w:type="spellStart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Troides</w:t>
      </w:r>
      <w:proofErr w:type="spellEnd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helena</w:t>
      </w:r>
      <w:proofErr w:type="spellEnd"/>
      <w:proofErr w:type="gramEnd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is large, eggs are produced a bit, and the reproduction time is long enough. Based on the </w:t>
      </w:r>
      <w:proofErr w:type="spellStart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Nurjannah</w:t>
      </w:r>
      <w:proofErr w:type="spellEnd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(2010) study, </w:t>
      </w:r>
      <w:proofErr w:type="spellStart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Troides</w:t>
      </w:r>
      <w:proofErr w:type="spellEnd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helena</w:t>
      </w:r>
      <w:proofErr w:type="spellEnd"/>
      <w:proofErr w:type="gramEnd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produces 35-150 eggs, and the success rate until imago phase is only 8-12%. This condition </w:t>
      </w:r>
      <w:r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decreases the</w:t>
      </w:r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number of </w:t>
      </w:r>
      <w:proofErr w:type="spellStart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Troides</w:t>
      </w:r>
      <w:proofErr w:type="spellEnd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helena</w:t>
      </w:r>
      <w:proofErr w:type="spellEnd"/>
      <w:proofErr w:type="gramEnd"/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1B1E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and the frequency </w:t>
      </w:r>
      <w:proofErr w:type="spellStart"/>
      <w:r w:rsidR="00CE1B1E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="00E82624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their</w:t>
      </w:r>
      <w:proofErr w:type="spellEnd"/>
      <w:r w:rsidR="00E82624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meeting with </w:t>
      </w:r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E82624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ir </w:t>
      </w:r>
      <w:r w:rsidR="00CE1B1E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‘</w:t>
      </w:r>
      <w:r w:rsidR="00E82624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imago</w:t>
      </w:r>
      <w:r w:rsidR="00CE1B1E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is rare. The phenomenon indicates that this natural tourism park area needs to be preserved. The population of butterflies is limited in nature, and its high sensitivity to </w:t>
      </w:r>
      <w:r w:rsidR="00E82624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potential </w:t>
      </w:r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disturbance </w:t>
      </w:r>
      <w:r w:rsidR="00E82624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due to the environmental imbalances threatens </w:t>
      </w:r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its survival</w:t>
      </w:r>
      <w:r w:rsidR="00E82624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>, even causes the extinction of the butterflies in their</w:t>
      </w:r>
      <w:r w:rsidR="009A01FC" w:rsidRPr="0066035F">
        <w:rPr>
          <w:rStyle w:val="translation"/>
          <w:rFonts w:ascii="Times New Roman" w:hAnsi="Times New Roman" w:cs="Times New Roman"/>
          <w:color w:val="000000" w:themeColor="text1"/>
          <w:sz w:val="24"/>
          <w:szCs w:val="24"/>
        </w:rPr>
        <w:t xml:space="preserve"> habitat.</w:t>
      </w:r>
    </w:p>
    <w:p w:rsidR="009A01FC" w:rsidRPr="0066035F" w:rsidRDefault="009A01FC" w:rsidP="009A01FC">
      <w:pPr>
        <w:spacing w:after="0" w:line="360" w:lineRule="auto"/>
        <w:jc w:val="both"/>
        <w:rPr>
          <w:rStyle w:val="translation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4E96" w:rsidRDefault="00094E96" w:rsidP="009A01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94E96" w:rsidRDefault="00094E96" w:rsidP="009A01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94E96" w:rsidRDefault="00094E96" w:rsidP="009A01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A008A" w:rsidRPr="0066035F" w:rsidRDefault="009A01FC" w:rsidP="009A01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CONCLUSION </w:t>
      </w:r>
    </w:p>
    <w:p w:rsidR="009A01FC" w:rsidRPr="0066035F" w:rsidRDefault="00CE1B1E" w:rsidP="000A008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sum up, </w:t>
      </w:r>
      <w:r w:rsidR="009A01FC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40 species of butterflies in 5 families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are found</w:t>
      </w:r>
      <w:r w:rsidR="009A01FC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9A01FC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Hesperiidae</w:t>
      </w:r>
      <w:proofErr w:type="spellEnd"/>
      <w:r w:rsidR="009A01FC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(1 species), </w:t>
      </w:r>
      <w:proofErr w:type="spellStart"/>
      <w:r w:rsidR="009A01FC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Lycaenidae</w:t>
      </w:r>
      <w:proofErr w:type="spellEnd"/>
      <w:r w:rsidR="009A01FC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(5 species), </w:t>
      </w:r>
      <w:proofErr w:type="spellStart"/>
      <w:r w:rsidR="009A01FC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Nymphalidae</w:t>
      </w:r>
      <w:proofErr w:type="spellEnd"/>
      <w:r w:rsidR="009A01FC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(18 species), </w:t>
      </w:r>
      <w:proofErr w:type="spellStart"/>
      <w:r w:rsidR="009A01FC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Papilionidae</w:t>
      </w:r>
      <w:proofErr w:type="spellEnd"/>
      <w:r w:rsidR="009A01FC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(6 sp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ecies) and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Pieridae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(10 species</w:t>
      </w:r>
      <w:r w:rsidR="009A01FC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 The index of</w:t>
      </w:r>
      <w:r w:rsidR="00325355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diversity of butterflies at SNTP </w:t>
      </w:r>
      <w:r w:rsidR="009A01FC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is 3.47. The species diversity varies on each observation path. There are 2 Species of the </w:t>
      </w:r>
      <w:proofErr w:type="spellStart"/>
      <w:r w:rsidR="009A01FC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Papilionidae</w:t>
      </w:r>
      <w:proofErr w:type="spellEnd"/>
      <w:r w:rsidR="009A01FC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01FC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family</w:t>
      </w:r>
      <w:proofErr w:type="gramStart"/>
      <w:r w:rsidR="00325355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25355" w:rsidRPr="006603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Troides</w:t>
      </w:r>
      <w:proofErr w:type="spellEnd"/>
      <w:proofErr w:type="gramEnd"/>
      <w:r w:rsidR="00325355" w:rsidRPr="006603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25355" w:rsidRPr="006603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helena</w:t>
      </w:r>
      <w:proofErr w:type="spellEnd"/>
      <w:r w:rsidR="00325355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proofErr w:type="spellStart"/>
      <w:r w:rsidR="00325355" w:rsidRPr="006603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Papilio</w:t>
      </w:r>
      <w:proofErr w:type="spellEnd"/>
      <w:r w:rsidR="00325355" w:rsidRPr="006603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25355" w:rsidRPr="006603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memnon</w:t>
      </w:r>
      <w:proofErr w:type="spellEnd"/>
      <w:r w:rsidR="00325355" w:rsidRPr="0066035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</w:t>
      </w:r>
      <w:r w:rsidR="00325355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at SNTP</w:t>
      </w:r>
      <w:r w:rsidR="009A01FC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which </w:t>
      </w:r>
      <w:r w:rsidR="00325355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must be the conservation priorities.</w:t>
      </w:r>
    </w:p>
    <w:p w:rsidR="000A008A" w:rsidRPr="0066035F" w:rsidRDefault="000A008A" w:rsidP="009A01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A01FC" w:rsidRPr="0066035F" w:rsidRDefault="00DA7802" w:rsidP="009A01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Acknowledgment</w:t>
      </w:r>
    </w:p>
    <w:p w:rsidR="009A01FC" w:rsidRPr="0066035F" w:rsidRDefault="009A01FC" w:rsidP="009A01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Thanks to the Directorate of Research and Community Service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Kemenristek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Dikti</w:t>
      </w:r>
      <w:proofErr w:type="spellEnd"/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7802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providing fund for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applied</w:t>
      </w:r>
      <w:r w:rsidR="00DA7802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product research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Thanks </w:t>
      </w:r>
      <w:r w:rsidR="00DA7802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also go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the "TIMBON" brothers who helped </w:t>
      </w:r>
      <w:r w:rsidR="00DA7802"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research team </w:t>
      </w:r>
      <w:r w:rsidRPr="006603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during the field research.</w:t>
      </w:r>
    </w:p>
    <w:p w:rsidR="00E95167" w:rsidRPr="0066035F" w:rsidRDefault="00E95167" w:rsidP="00E95167">
      <w:pPr>
        <w:rPr>
          <w:rStyle w:val="Emphasis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:rsidR="00E95167" w:rsidRPr="0066035F" w:rsidRDefault="00E95167" w:rsidP="00E95167">
      <w:pPr>
        <w:rPr>
          <w:rStyle w:val="Emphasis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66035F">
        <w:rPr>
          <w:rStyle w:val="Emphasis"/>
          <w:rFonts w:ascii="Times New Roman" w:hAnsi="Times New Roman" w:cs="Times New Roman"/>
          <w:b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REFERENCES</w:t>
      </w:r>
    </w:p>
    <w:p w:rsidR="00E95167" w:rsidRPr="0066035F" w:rsidRDefault="00E95167" w:rsidP="00E95167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820" w:right="96" w:hanging="8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Ariani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L.,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Artayasa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Ilhamdi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L., 2013,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Keanekaragaman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distribusi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kupu-kupu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Hutan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Suranadi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Biologi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Proseding</w:t>
      </w:r>
      <w:proofErr w:type="spellEnd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Seminar </w:t>
      </w:r>
      <w:proofErr w:type="spellStart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Nasional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Pascasarjana</w:t>
      </w:r>
      <w:proofErr w:type="spellEnd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Magister </w:t>
      </w:r>
      <w:proofErr w:type="spellStart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Pendidikan</w:t>
      </w:r>
      <w:proofErr w:type="spellEnd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IPA</w:t>
      </w:r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Universitas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Mataram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95167" w:rsidRPr="0066035F" w:rsidRDefault="00E95167" w:rsidP="00E95167">
      <w:pPr>
        <w:autoSpaceDE w:val="0"/>
        <w:autoSpaceDN w:val="0"/>
        <w:adjustRightInd w:val="0"/>
        <w:spacing w:after="120" w:line="240" w:lineRule="auto"/>
        <w:ind w:left="811" w:hanging="8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Basset.</w:t>
      </w:r>
      <w:proofErr w:type="gram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Y., R. Eastwood, L. Sam, D. J.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Lohman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V. Novotny, T.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Treuer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 E. Miller, G. D.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Weiblen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 E. Pierce, S.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Bunyavejchewin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W.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Sakchoowong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P.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Kongnoo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A. Osorio-arenas. 2012. Cross-continental Comparisons of Butterfly Assemblages in Tropical Rainforests: Implications for Biological Monitoring. </w:t>
      </w:r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Insect Conservation and Diversity doi:10.1111/j.1752-4598.2012.00205: 1-10</w:t>
      </w:r>
    </w:p>
    <w:p w:rsidR="00E95167" w:rsidRPr="0066035F" w:rsidRDefault="00E95167" w:rsidP="00E95167">
      <w:pPr>
        <w:spacing w:after="120" w:line="240" w:lineRule="auto"/>
        <w:ind w:left="811" w:hanging="8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Duara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P.,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Kalita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 2014. </w:t>
      </w:r>
      <w:proofErr w:type="gram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Butterfly as Pollinating Insects of Flowering Plants.</w:t>
      </w:r>
      <w:proofErr w:type="gram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Global Journal of Science Frontier Research (C),</w:t>
      </w:r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Vol. 14(1): 1 – 5 </w:t>
      </w:r>
    </w:p>
    <w:p w:rsidR="00E95167" w:rsidRPr="0066035F" w:rsidRDefault="00E95167" w:rsidP="00E95167">
      <w:pPr>
        <w:spacing w:after="120" w:line="240" w:lineRule="auto"/>
        <w:ind w:left="811" w:hanging="8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Febrita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E.,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Yustina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Dahmania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2014.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Keanekaragaman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kupu-kupu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subordo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rhopalocera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kawasan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wisata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hapanasan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rokan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hulu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keanekaragaman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hayati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Jurnal</w:t>
      </w:r>
      <w:proofErr w:type="spellEnd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biogenesis</w:t>
      </w:r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Vol. 10 (2)</w:t>
      </w:r>
    </w:p>
    <w:p w:rsidR="00E95167" w:rsidRPr="0066035F" w:rsidRDefault="00E95167" w:rsidP="00E95167">
      <w:pPr>
        <w:spacing w:after="120" w:line="240" w:lineRule="auto"/>
        <w:ind w:left="811" w:hanging="81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Haidar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gram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IKA.,</w:t>
      </w:r>
      <w:proofErr w:type="gram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Ahsan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MF., and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Kabir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MT. 2017. </w:t>
      </w:r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Species diversity and habitat preference of butterflies (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Insecta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Lepidoptera) in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Inani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Reserve Forest of Cox’s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Bazar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Bangladesh. </w:t>
      </w:r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Journal of Insect Biodiversity and </w:t>
      </w:r>
      <w:proofErr w:type="spellStart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Systematics</w:t>
      </w:r>
      <w:proofErr w:type="spellEnd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gram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Vol.3(</w:t>
      </w:r>
      <w:proofErr w:type="gram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1): 47–67</w:t>
      </w:r>
    </w:p>
    <w:p w:rsidR="00E95167" w:rsidRPr="0066035F" w:rsidRDefault="00E95167" w:rsidP="00E95167">
      <w:pPr>
        <w:autoSpaceDE w:val="0"/>
        <w:autoSpaceDN w:val="0"/>
        <w:adjustRightInd w:val="0"/>
        <w:spacing w:after="120" w:line="240" w:lineRule="auto"/>
        <w:ind w:left="811" w:hanging="81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Hermawanto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R.,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Rawati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P.,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Sepus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F. 2015.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Kupu-kupu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Papilionoidea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Pantai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Utara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Manokwari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Papua Barat: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Jenis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keanekaragaman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dan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pola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distribusi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66035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Prosiding</w:t>
      </w:r>
      <w:proofErr w:type="spellEnd"/>
      <w:r w:rsidRPr="0066035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Seminar </w:t>
      </w:r>
      <w:proofErr w:type="spellStart"/>
      <w:r w:rsidRPr="0066035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Seminar</w:t>
      </w:r>
      <w:proofErr w:type="spellEnd"/>
      <w:r w:rsidRPr="0066035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Nasional</w:t>
      </w:r>
      <w:proofErr w:type="spellEnd"/>
      <w:r w:rsidRPr="0066035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Masyarakat</w:t>
      </w:r>
      <w:proofErr w:type="spellEnd"/>
      <w:r w:rsidRPr="0066035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Biodiversitas</w:t>
      </w:r>
      <w:proofErr w:type="spellEnd"/>
      <w:r w:rsidRPr="0066035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Indonesia</w:t>
      </w:r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proofErr w:type="gram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Vol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1(6): 1341 – 1347. </w:t>
      </w:r>
    </w:p>
    <w:p w:rsidR="00E95167" w:rsidRPr="0066035F" w:rsidRDefault="00E95167" w:rsidP="00E95167">
      <w:pPr>
        <w:autoSpaceDE w:val="0"/>
        <w:autoSpaceDN w:val="0"/>
        <w:adjustRightInd w:val="0"/>
        <w:spacing w:after="0" w:line="240" w:lineRule="auto"/>
        <w:ind w:left="811" w:hanging="8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Koneri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R.,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Saroyo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2012.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Distribusi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keanekaragaman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kupu-kupu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lepidoptera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gunung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manado</w:t>
      </w:r>
      <w:proofErr w:type="spellEnd"/>
      <w:proofErr w:type="gram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tua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kawasan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taman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nasional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laut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bunaken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sulawesi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utara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Jurnal</w:t>
      </w:r>
      <w:proofErr w:type="spellEnd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Bumi</w:t>
      </w:r>
      <w:proofErr w:type="spellEnd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Lestari</w:t>
      </w:r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Vol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 (2): 357 – 365.</w:t>
      </w:r>
    </w:p>
    <w:p w:rsidR="00E95167" w:rsidRPr="0066035F" w:rsidRDefault="00E95167" w:rsidP="00E95167">
      <w:pPr>
        <w:autoSpaceDE w:val="0"/>
        <w:autoSpaceDN w:val="0"/>
        <w:adjustRightInd w:val="0"/>
        <w:spacing w:after="0" w:line="240" w:lineRule="auto"/>
        <w:ind w:left="811" w:hanging="8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Lodh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R.,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Agarwala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BK. 2016. </w:t>
      </w:r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Rapid assessment of diversity and conservation of butterflies in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Rowa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Wildlife Sanctuary: An Indo-Burmese hotspot - Tripura, N.E. India. </w:t>
      </w:r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Tropical Ecology</w:t>
      </w:r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Vol. 57(2): 231-242</w:t>
      </w:r>
    </w:p>
    <w:p w:rsidR="00E95167" w:rsidRPr="0066035F" w:rsidRDefault="00E95167" w:rsidP="00E95167">
      <w:pPr>
        <w:spacing w:after="120" w:line="240" w:lineRule="auto"/>
        <w:ind w:left="811" w:hanging="8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Majumder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J.,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Lodh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and R.,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Agarwala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BK. 2013. </w:t>
      </w:r>
      <w:proofErr w:type="gram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Butterfly species richness and diversity in the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Trishna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Wildlife Sanctuary in South Asia.</w:t>
      </w:r>
      <w:proofErr w:type="gram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Journal of Insect Science</w:t>
      </w:r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, Vol. 13 (79): 1 – 13</w:t>
      </w:r>
    </w:p>
    <w:p w:rsidR="00E95167" w:rsidRPr="0066035F" w:rsidRDefault="00E95167" w:rsidP="00E95167">
      <w:pPr>
        <w:spacing w:after="120" w:line="240" w:lineRule="auto"/>
        <w:ind w:left="811" w:hanging="8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Murwitaningsih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, S., and Dharma, AP. 2014.</w:t>
      </w:r>
      <w:proofErr w:type="gram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Species Diversity of Butterflies at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Suaka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Elang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Raptory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Santuary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at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Gunung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Halimun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Salak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National Park in West Java.</w:t>
      </w:r>
      <w:proofErr w:type="gram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Asian Journal of Conservation Biology</w:t>
      </w:r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, Vol. 3(2): 159–163</w:t>
      </w:r>
    </w:p>
    <w:p w:rsidR="00E95167" w:rsidRPr="0066035F" w:rsidRDefault="00E95167" w:rsidP="00E95167">
      <w:pPr>
        <w:autoSpaceDE w:val="0"/>
        <w:autoSpaceDN w:val="0"/>
        <w:adjustRightInd w:val="0"/>
        <w:spacing w:after="120" w:line="240" w:lineRule="auto"/>
        <w:ind w:left="811" w:hanging="811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Ngatimin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S. N. A., A. P.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Saranga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Agus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Achmad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I.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Ridwan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2014. Two Artificial Diet Formulations </w:t>
      </w:r>
      <w:proofErr w:type="gram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gram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Troides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Helena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Linne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Larvae (Lepidoptera: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Papilionidae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In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Bantimurung-Bulusaraung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National Park, South Sulawesi. </w:t>
      </w:r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International Journal of Scientific </w:t>
      </w:r>
      <w:proofErr w:type="spellStart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dan</w:t>
      </w:r>
      <w:proofErr w:type="spellEnd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Technology Research volume 3, issue 7. </w:t>
      </w:r>
      <w:proofErr w:type="spellStart"/>
      <w:proofErr w:type="gramStart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Issn</w:t>
      </w:r>
      <w:proofErr w:type="spellEnd"/>
      <w:proofErr w:type="gramEnd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2277-8616:170-173</w:t>
      </w:r>
    </w:p>
    <w:p w:rsidR="00E95167" w:rsidRPr="0066035F" w:rsidRDefault="00E95167" w:rsidP="00E95167">
      <w:pPr>
        <w:autoSpaceDE w:val="0"/>
        <w:autoSpaceDN w:val="0"/>
        <w:adjustRightInd w:val="0"/>
        <w:spacing w:after="0" w:line="240" w:lineRule="auto"/>
        <w:ind w:left="811" w:hanging="8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Nisa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ARK.,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Mukti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M.</w:t>
      </w:r>
      <w:proofErr w:type="gram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,Hamzah</w:t>
      </w:r>
      <w:proofErr w:type="spellEnd"/>
      <w:proofErr w:type="gram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MF.,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Mustakim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A.,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Abidin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Z. 2013. </w:t>
      </w:r>
      <w:proofErr w:type="gram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Butterflies’ Diversity in Green Open Space of Malang City, East Java Province, Indonesia.</w:t>
      </w:r>
      <w:proofErr w:type="gram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The Journal </w:t>
      </w:r>
      <w:proofErr w:type="gramStart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Of</w:t>
      </w:r>
      <w:proofErr w:type="gramEnd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Tropical Life Science</w:t>
      </w:r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Vol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3(2):104 – 107.</w:t>
      </w:r>
    </w:p>
    <w:p w:rsidR="00E95167" w:rsidRPr="0066035F" w:rsidRDefault="00E95167" w:rsidP="00E95167">
      <w:pPr>
        <w:spacing w:after="120" w:line="240" w:lineRule="auto"/>
        <w:ind w:left="811" w:hanging="8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Noerdjito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WA,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Aswari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P. 2003. </w:t>
      </w:r>
      <w:proofErr w:type="spellStart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Metode</w:t>
      </w:r>
      <w:proofErr w:type="spellEnd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Survei</w:t>
      </w:r>
      <w:proofErr w:type="spellEnd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dan</w:t>
      </w:r>
      <w:proofErr w:type="spellEnd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Pemantauan</w:t>
      </w:r>
      <w:proofErr w:type="spellEnd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Populasi</w:t>
      </w:r>
      <w:proofErr w:type="spellEnd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Satwa</w:t>
      </w:r>
      <w:proofErr w:type="spellEnd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: Seri </w:t>
      </w:r>
      <w:proofErr w:type="spellStart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Keempat</w:t>
      </w:r>
      <w:proofErr w:type="spellEnd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Kupu-kupu</w:t>
      </w:r>
      <w:proofErr w:type="spellEnd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Papilionidae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Bogor: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Pusat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Biologi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-LIPI Cibinong.</w:t>
      </w:r>
    </w:p>
    <w:p w:rsidR="00E95167" w:rsidRPr="0066035F" w:rsidRDefault="00E95167" w:rsidP="00E95167">
      <w:pPr>
        <w:autoSpaceDE w:val="0"/>
        <w:autoSpaceDN w:val="0"/>
        <w:adjustRightInd w:val="0"/>
        <w:spacing w:after="0" w:line="240" w:lineRule="auto"/>
        <w:ind w:left="811" w:hanging="8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Oqtafiana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R.,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Priyono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B.,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Rahayuningsing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M. 2013. </w:t>
      </w:r>
      <w:proofErr w:type="spellStart"/>
      <w:proofErr w:type="gram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Keanekaragaman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Kupu-Kupu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Superfamili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Papilionoidae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Banyuwindu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Limbangan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Kendal.</w:t>
      </w:r>
      <w:proofErr w:type="gram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Biosaintifika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Vol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5(1): 58 – 64.</w:t>
      </w:r>
    </w:p>
    <w:p w:rsidR="00E95167" w:rsidRPr="0066035F" w:rsidRDefault="00E95167" w:rsidP="00E95167">
      <w:pPr>
        <w:spacing w:after="120" w:line="240" w:lineRule="auto"/>
        <w:ind w:left="811" w:hanging="8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Peggie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D, Amir M. 2006. </w:t>
      </w:r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Practical Guide to the Butterflies of Bogor Botanic Garden – </w:t>
      </w:r>
      <w:proofErr w:type="spellStart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Panduan</w:t>
      </w:r>
      <w:proofErr w:type="spellEnd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Praktis</w:t>
      </w:r>
      <w:proofErr w:type="spellEnd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Kupu-kupu</w:t>
      </w:r>
      <w:proofErr w:type="spellEnd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di</w:t>
      </w:r>
      <w:proofErr w:type="spellEnd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Kebun</w:t>
      </w:r>
      <w:proofErr w:type="spellEnd"/>
      <w:r w:rsidRPr="0066035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Raya Bogor</w:t>
      </w:r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Tokyo: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Bidang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Zoologi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Pusat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Biologi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LIPI Cibinong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Nagao Natural Environment Foundation.</w:t>
      </w:r>
      <w:proofErr w:type="gram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95167" w:rsidRPr="0066035F" w:rsidRDefault="00E95167" w:rsidP="00E95167">
      <w:pPr>
        <w:autoSpaceDE w:val="0"/>
        <w:autoSpaceDN w:val="0"/>
        <w:adjustRightInd w:val="0"/>
        <w:spacing w:after="0" w:line="240" w:lineRule="auto"/>
        <w:ind w:left="811" w:hanging="81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Pontororing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gram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HH.,</w:t>
      </w:r>
      <w:proofErr w:type="gram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Warouw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J.,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Maramis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RTD.,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Mamahit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JME. 2016. </w:t>
      </w:r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Conservation of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Troides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helena</w:t>
      </w:r>
      <w:proofErr w:type="spellEnd"/>
      <w:proofErr w:type="gram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Linnaeus (Lepidoptera: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Papilionidae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in Forest Park of Mount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Tumpa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Manado, North Sulawesi. </w:t>
      </w:r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International Journal of Research in Engineering and Science</w:t>
      </w:r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, Vol. 4(9): 31-35</w:t>
      </w:r>
    </w:p>
    <w:p w:rsidR="00E95167" w:rsidRPr="0066035F" w:rsidRDefault="00E95167" w:rsidP="00E95167">
      <w:pPr>
        <w:autoSpaceDE w:val="0"/>
        <w:autoSpaceDN w:val="0"/>
        <w:adjustRightInd w:val="0"/>
        <w:spacing w:after="0" w:line="240" w:lineRule="auto"/>
        <w:ind w:left="811" w:hanging="8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Priyono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B., Abdullah, M. 2013. </w:t>
      </w:r>
      <w:proofErr w:type="spellStart"/>
      <w:proofErr w:type="gram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Keanekaragaman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Kupu-Kupu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Taman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Kehati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Unnes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Biosaintifika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Vol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5(2):100 – 105.</w:t>
      </w:r>
    </w:p>
    <w:p w:rsidR="00E95167" w:rsidRPr="0066035F" w:rsidRDefault="00E95167" w:rsidP="00E95167">
      <w:pPr>
        <w:autoSpaceDE w:val="0"/>
        <w:autoSpaceDN w:val="0"/>
        <w:adjustRightInd w:val="0"/>
        <w:spacing w:after="120" w:line="240" w:lineRule="auto"/>
        <w:ind w:left="811" w:hanging="8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Rahayu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SE.,</w:t>
      </w:r>
      <w:proofErr w:type="gram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Basukriadi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 2012. </w:t>
      </w:r>
      <w:proofErr w:type="spellStart"/>
      <w:proofErr w:type="gram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Kelimpahan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dan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Keanekaragaman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Spesies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Kupu-Kupu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(Lepidoptera;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Rhopalocera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Pada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Berbagai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Tipe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Habitat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Hutan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Kota Muhammad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Sabki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Kota Jambi.</w:t>
      </w:r>
      <w:proofErr w:type="gram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Biospecies</w:t>
      </w:r>
      <w:proofErr w:type="spellEnd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proofErr w:type="gram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Vol. 5(2),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hlm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 – 48</w:t>
      </w:r>
    </w:p>
    <w:p w:rsidR="00E95167" w:rsidRPr="0066035F" w:rsidRDefault="00E95167" w:rsidP="00E95167">
      <w:pPr>
        <w:autoSpaceDE w:val="0"/>
        <w:autoSpaceDN w:val="0"/>
        <w:adjustRightInd w:val="0"/>
        <w:spacing w:after="0" w:line="240" w:lineRule="auto"/>
        <w:ind w:left="811" w:hanging="8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Sarma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K., Kumar, A., Devi, A.,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Mazumdar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K., Krishna, M.,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Mudoi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P.</w:t>
      </w:r>
      <w:proofErr w:type="gram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Das, N. 2012. </w:t>
      </w:r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Diversity </w:t>
      </w:r>
      <w:proofErr w:type="gram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gram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Habitat Association Of Butterfly Species In Foothills Of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Itanagar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Arunachal Pradesh, India. </w:t>
      </w:r>
      <w:proofErr w:type="spellStart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Cibtech</w:t>
      </w:r>
      <w:proofErr w:type="spellEnd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Journal of Zoology</w:t>
      </w:r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, Vol. 1(2): 67 – 77</w:t>
      </w:r>
    </w:p>
    <w:p w:rsidR="00E95167" w:rsidRPr="0066035F" w:rsidRDefault="00E95167" w:rsidP="00E95167">
      <w:pPr>
        <w:autoSpaceDE w:val="0"/>
        <w:autoSpaceDN w:val="0"/>
        <w:adjustRightInd w:val="0"/>
        <w:spacing w:after="120" w:line="240" w:lineRule="auto"/>
        <w:ind w:left="811" w:hanging="8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Satyawan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NM, 2009.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Keanekaragaman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Jenis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Amfibi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Ordo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Anura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Kawasan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Taman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Wisata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Alam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Suranadi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Lombok Barat </w:t>
      </w:r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Prosiding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Seminar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Nasional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Biologi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XX Dan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Kongres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Perhimpunan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Biologi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Indonesia XIV</w:t>
      </w:r>
    </w:p>
    <w:p w:rsidR="00E95167" w:rsidRPr="0066035F" w:rsidRDefault="00E95167" w:rsidP="00E95167">
      <w:pPr>
        <w:autoSpaceDE w:val="0"/>
        <w:autoSpaceDN w:val="0"/>
        <w:adjustRightInd w:val="0"/>
        <w:spacing w:after="0" w:line="240" w:lineRule="auto"/>
        <w:ind w:left="811" w:hanging="8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Shihan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TR.,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Prodhan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MAH. 2014. Butterflies of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Rema-Kalenga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Wildlife Sanctuary,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Habiganj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Bangladesh. </w:t>
      </w:r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International Journal of Fauna and Biological Studies,</w:t>
      </w:r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Vol. 1 (6): 96-100</w:t>
      </w:r>
    </w:p>
    <w:p w:rsidR="00E95167" w:rsidRPr="0066035F" w:rsidRDefault="00E95167" w:rsidP="00E95167">
      <w:pPr>
        <w:autoSpaceDE w:val="0"/>
        <w:autoSpaceDN w:val="0"/>
        <w:adjustRightInd w:val="0"/>
        <w:spacing w:after="0" w:line="240" w:lineRule="auto"/>
        <w:ind w:left="811" w:hanging="81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Sutra, </w:t>
      </w:r>
      <w:proofErr w:type="gram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NSM.,</w:t>
      </w:r>
      <w:proofErr w:type="gram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Dahelmi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Salmah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S. 2012.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Spesies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Kupu-kupu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Rhopalocera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Di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Tanjung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Balai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Kerimun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Kabupaten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Karimun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Kepulauan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Riau. </w:t>
      </w:r>
      <w:proofErr w:type="spellStart"/>
      <w:r w:rsidRPr="0066035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Jurnal</w:t>
      </w:r>
      <w:proofErr w:type="spellEnd"/>
      <w:r w:rsidRPr="0066035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Biologi</w:t>
      </w:r>
      <w:proofErr w:type="spellEnd"/>
      <w:r w:rsidRPr="0066035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Universitas</w:t>
      </w:r>
      <w:proofErr w:type="spellEnd"/>
      <w:r w:rsidRPr="0066035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Andalas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Vol</w:t>
      </w:r>
      <w:proofErr w:type="spellEnd"/>
      <w:r w:rsidRPr="0066035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1(1):35 – 44.</w:t>
      </w:r>
    </w:p>
    <w:p w:rsidR="00E95167" w:rsidRPr="0066035F" w:rsidRDefault="00E95167" w:rsidP="00E95167">
      <w:pPr>
        <w:spacing w:after="120" w:line="240" w:lineRule="auto"/>
        <w:ind w:left="811" w:hanging="8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Wahyuni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, T.E</w:t>
      </w:r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Fatahullah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2015. </w:t>
      </w:r>
      <w:proofErr w:type="spellStart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Panduan</w:t>
      </w:r>
      <w:proofErr w:type="spellEnd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Lapangan</w:t>
      </w:r>
      <w:proofErr w:type="spellEnd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Kupu-Kupu</w:t>
      </w:r>
      <w:proofErr w:type="spellEnd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di</w:t>
      </w:r>
      <w:proofErr w:type="spellEnd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TWA </w:t>
      </w:r>
      <w:proofErr w:type="spellStart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Kerandangan</w:t>
      </w:r>
      <w:proofErr w:type="spellEnd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proofErr w:type="gramEnd"/>
      <w:r w:rsidRPr="0066035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Mataram</w:t>
      </w:r>
      <w:proofErr w:type="spellEnd"/>
      <w:r w:rsidRPr="0066035F">
        <w:rPr>
          <w:rFonts w:ascii="Times New Roman" w:hAnsi="Times New Roman" w:cs="Times New Roman"/>
          <w:color w:val="000000" w:themeColor="text1"/>
          <w:sz w:val="24"/>
          <w:szCs w:val="24"/>
        </w:rPr>
        <w:t>: BKSDA NTB.</w:t>
      </w:r>
    </w:p>
    <w:p w:rsidR="009A01FC" w:rsidRPr="0066035F" w:rsidRDefault="009A01FC" w:rsidP="009A01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A01FC" w:rsidRPr="0066035F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F24E6"/>
    <w:multiLevelType w:val="multilevel"/>
    <w:tmpl w:val="8B26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D049FF"/>
    <w:rsid w:val="0000777F"/>
    <w:rsid w:val="00043131"/>
    <w:rsid w:val="00043A1D"/>
    <w:rsid w:val="00055601"/>
    <w:rsid w:val="00094E96"/>
    <w:rsid w:val="000A008A"/>
    <w:rsid w:val="000A0E49"/>
    <w:rsid w:val="000E6B90"/>
    <w:rsid w:val="00111A0D"/>
    <w:rsid w:val="001454F5"/>
    <w:rsid w:val="00167A11"/>
    <w:rsid w:val="001856EA"/>
    <w:rsid w:val="001953BD"/>
    <w:rsid w:val="001B4756"/>
    <w:rsid w:val="001D0364"/>
    <w:rsid w:val="001E1A82"/>
    <w:rsid w:val="00256999"/>
    <w:rsid w:val="0027781D"/>
    <w:rsid w:val="00280897"/>
    <w:rsid w:val="00282364"/>
    <w:rsid w:val="002A4FB2"/>
    <w:rsid w:val="002C337E"/>
    <w:rsid w:val="002F6657"/>
    <w:rsid w:val="00325355"/>
    <w:rsid w:val="00356DAA"/>
    <w:rsid w:val="00365D9E"/>
    <w:rsid w:val="003B39F7"/>
    <w:rsid w:val="003F2D75"/>
    <w:rsid w:val="0041180E"/>
    <w:rsid w:val="00434DD9"/>
    <w:rsid w:val="00441518"/>
    <w:rsid w:val="004438FA"/>
    <w:rsid w:val="0045774C"/>
    <w:rsid w:val="00483425"/>
    <w:rsid w:val="004A5898"/>
    <w:rsid w:val="004B0540"/>
    <w:rsid w:val="00505AA4"/>
    <w:rsid w:val="00523E37"/>
    <w:rsid w:val="00557768"/>
    <w:rsid w:val="006259C3"/>
    <w:rsid w:val="0066035F"/>
    <w:rsid w:val="006D0C47"/>
    <w:rsid w:val="00730E00"/>
    <w:rsid w:val="007678E4"/>
    <w:rsid w:val="00776089"/>
    <w:rsid w:val="00781BBE"/>
    <w:rsid w:val="007873E6"/>
    <w:rsid w:val="007C0EC9"/>
    <w:rsid w:val="007C7422"/>
    <w:rsid w:val="00805ED7"/>
    <w:rsid w:val="008657E7"/>
    <w:rsid w:val="00880E6F"/>
    <w:rsid w:val="008C2D3A"/>
    <w:rsid w:val="00923D7C"/>
    <w:rsid w:val="00930136"/>
    <w:rsid w:val="0094163F"/>
    <w:rsid w:val="00966BF5"/>
    <w:rsid w:val="009844A2"/>
    <w:rsid w:val="009A01FC"/>
    <w:rsid w:val="009C6E68"/>
    <w:rsid w:val="00A06A78"/>
    <w:rsid w:val="00A97F49"/>
    <w:rsid w:val="00AA62CC"/>
    <w:rsid w:val="00B41C32"/>
    <w:rsid w:val="00B44F2D"/>
    <w:rsid w:val="00BB3913"/>
    <w:rsid w:val="00BC0EA3"/>
    <w:rsid w:val="00BE74FB"/>
    <w:rsid w:val="00BF42DF"/>
    <w:rsid w:val="00C13150"/>
    <w:rsid w:val="00C2002B"/>
    <w:rsid w:val="00C30640"/>
    <w:rsid w:val="00C33E56"/>
    <w:rsid w:val="00C426FB"/>
    <w:rsid w:val="00C74D8B"/>
    <w:rsid w:val="00CE1B1E"/>
    <w:rsid w:val="00D049FF"/>
    <w:rsid w:val="00D7520A"/>
    <w:rsid w:val="00DA7802"/>
    <w:rsid w:val="00DF2BF7"/>
    <w:rsid w:val="00E1132B"/>
    <w:rsid w:val="00E15E5A"/>
    <w:rsid w:val="00E74663"/>
    <w:rsid w:val="00E74FBC"/>
    <w:rsid w:val="00E82624"/>
    <w:rsid w:val="00E95167"/>
    <w:rsid w:val="00EB2BF8"/>
    <w:rsid w:val="00ED1771"/>
    <w:rsid w:val="00ED7851"/>
    <w:rsid w:val="00F2219F"/>
    <w:rsid w:val="00F30BE3"/>
    <w:rsid w:val="00F471E6"/>
    <w:rsid w:val="00F50824"/>
    <w:rsid w:val="00F7620F"/>
    <w:rsid w:val="00F91BC7"/>
    <w:rsid w:val="00F97F96"/>
    <w:rsid w:val="00FD196C"/>
    <w:rsid w:val="00FF0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E00"/>
  </w:style>
  <w:style w:type="paragraph" w:styleId="Heading3">
    <w:name w:val="heading 3"/>
    <w:basedOn w:val="Normal"/>
    <w:link w:val="Heading3Char"/>
    <w:uiPriority w:val="9"/>
    <w:qFormat/>
    <w:rsid w:val="00DF2B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E00"/>
    <w:pPr>
      <w:ind w:left="720"/>
      <w:contextualSpacing/>
    </w:pPr>
  </w:style>
  <w:style w:type="character" w:customStyle="1" w:styleId="translation">
    <w:name w:val="translation"/>
    <w:basedOn w:val="DefaultParagraphFont"/>
    <w:rsid w:val="00D049FF"/>
  </w:style>
  <w:style w:type="character" w:customStyle="1" w:styleId="Heading3Char">
    <w:name w:val="Heading 3 Char"/>
    <w:basedOn w:val="DefaultParagraphFont"/>
    <w:link w:val="Heading3"/>
    <w:uiPriority w:val="9"/>
    <w:rsid w:val="00DF2BF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F2B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BF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9516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844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7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3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5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LoSTT\Suranadi%20(2017)\data%20kupu%20-%20kupu%20excl%20udah%20di%20edit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LoSTT\Suranadi%20(2017)\data%20kupu%20-%20kupu%20excl%20udah%20di%20edit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8.6299212598425198E-2"/>
          <c:y val="3.9351851851851853E-2"/>
          <c:w val="0.57638888888888884"/>
          <c:h val="0.96064814814815291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1.9294463716341539E-2"/>
                  <c:y val="0.14914639707390906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0546133106897863"/>
                  <c:y val="0.19866025636255991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6360998798003523"/>
                  <c:y val="-0.18046944174868332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5915804435201245"/>
                  <c:y val="-0.10527202514517307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13011303288483139"/>
                  <c:y val="0.18027492168707371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Sheet6!$B$2:$B$6</c:f>
              <c:strCache>
                <c:ptCount val="5"/>
                <c:pt idx="0">
                  <c:v>Hesperiidae</c:v>
                </c:pt>
                <c:pt idx="1">
                  <c:v>Lycaenidae</c:v>
                </c:pt>
                <c:pt idx="2">
                  <c:v>Nymphalidae</c:v>
                </c:pt>
                <c:pt idx="3">
                  <c:v>Papilionidae</c:v>
                </c:pt>
                <c:pt idx="4">
                  <c:v>Pieridae</c:v>
                </c:pt>
              </c:strCache>
            </c:strRef>
          </c:cat>
          <c:val>
            <c:numRef>
              <c:f>Sheet6!$D$2:$D$6</c:f>
              <c:numCache>
                <c:formatCode>0.0</c:formatCode>
                <c:ptCount val="5"/>
                <c:pt idx="0">
                  <c:v>2.5</c:v>
                </c:pt>
                <c:pt idx="1">
                  <c:v>12.5</c:v>
                </c:pt>
                <c:pt idx="2">
                  <c:v>45</c:v>
                </c:pt>
                <c:pt idx="3">
                  <c:v>15</c:v>
                </c:pt>
                <c:pt idx="4">
                  <c:v>25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  <c:dispBlanksAs val="zero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8.3521434820647528E-2"/>
          <c:y val="1.6203703703703703E-2"/>
          <c:w val="0.57361111111111163"/>
          <c:h val="0.95138888888888884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5.0907305651541924E-3"/>
                  <c:y val="0.10825592076187912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2523083895088655"/>
                  <c:y val="0.20506514354543987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4837289223739206"/>
                  <c:y val="-0.12118822520125883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3869181819898413"/>
                  <c:y val="-0.16694956195460969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15578995071659346"/>
                  <c:y val="0.1523951680690474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Sheet6!$B$2:$B$6</c:f>
              <c:strCache>
                <c:ptCount val="5"/>
                <c:pt idx="0">
                  <c:v>Hesperiidae</c:v>
                </c:pt>
                <c:pt idx="1">
                  <c:v>Lycaenidae</c:v>
                </c:pt>
                <c:pt idx="2">
                  <c:v>Nymphalidae</c:v>
                </c:pt>
                <c:pt idx="3">
                  <c:v>Papilionidae</c:v>
                </c:pt>
                <c:pt idx="4">
                  <c:v>Pieridae</c:v>
                </c:pt>
              </c:strCache>
            </c:strRef>
          </c:cat>
          <c:val>
            <c:numRef>
              <c:f>Sheet6!$F$2:$F$6</c:f>
              <c:numCache>
                <c:formatCode>0</c:formatCode>
                <c:ptCount val="5"/>
                <c:pt idx="0">
                  <c:v>0.87873462214411957</c:v>
                </c:pt>
                <c:pt idx="1">
                  <c:v>17.750439367310989</c:v>
                </c:pt>
                <c:pt idx="2">
                  <c:v>35.676625659050956</c:v>
                </c:pt>
                <c:pt idx="3">
                  <c:v>15.817223198594018</c:v>
                </c:pt>
                <c:pt idx="4">
                  <c:v>29.876977152899954</c:v>
                </c:pt>
              </c:numCache>
            </c:numRef>
          </c:val>
        </c:ser>
        <c:firstSliceAng val="0"/>
      </c:pieChart>
    </c:plotArea>
    <c:legend>
      <c:legendPos val="r"/>
      <c:layout/>
    </c:legend>
    <c:plotVisOnly val="1"/>
    <c:dispBlanksAs val="zero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style val="27"/>
  <c:chart>
    <c:autoTitleDeleted val="1"/>
    <c:plotArea>
      <c:layout/>
      <c:barChart>
        <c:barDir val="col"/>
        <c:grouping val="clustered"/>
        <c:ser>
          <c:idx val="0"/>
          <c:order val="0"/>
          <c:cat>
            <c:strRef>
              <c:f>Sheet1!$F$11:$F$14</c:f>
              <c:strCache>
                <c:ptCount val="4"/>
                <c:pt idx="0">
                  <c:v>Line left</c:v>
                </c:pt>
                <c:pt idx="1">
                  <c:v>Line right</c:v>
                </c:pt>
                <c:pt idx="2">
                  <c:v>Line central</c:v>
                </c:pt>
                <c:pt idx="3">
                  <c:v>Line waterway</c:v>
                </c:pt>
              </c:strCache>
            </c:strRef>
          </c:cat>
          <c:val>
            <c:numRef>
              <c:f>Sheet1!$G$11:$G$14</c:f>
              <c:numCache>
                <c:formatCode>General</c:formatCode>
                <c:ptCount val="4"/>
                <c:pt idx="0">
                  <c:v>3.29</c:v>
                </c:pt>
                <c:pt idx="1">
                  <c:v>3.43</c:v>
                </c:pt>
                <c:pt idx="2">
                  <c:v>2.63</c:v>
                </c:pt>
                <c:pt idx="3">
                  <c:v>2.65</c:v>
                </c:pt>
              </c:numCache>
            </c:numRef>
          </c:val>
        </c:ser>
        <c:axId val="90142592"/>
        <c:axId val="90198400"/>
      </c:barChart>
      <c:catAx>
        <c:axId val="90142592"/>
        <c:scaling>
          <c:orientation val="minMax"/>
        </c:scaling>
        <c:axPos val="b"/>
        <c:majorTickMark val="none"/>
        <c:tickLblPos val="nextTo"/>
        <c:crossAx val="90198400"/>
        <c:crosses val="autoZero"/>
        <c:auto val="1"/>
        <c:lblAlgn val="ctr"/>
        <c:lblOffset val="100"/>
      </c:catAx>
      <c:valAx>
        <c:axId val="90198400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Diversity Index</a:t>
                </a:r>
              </a:p>
            </c:rich>
          </c:tx>
          <c:layout/>
        </c:title>
        <c:numFmt formatCode="General" sourceLinked="1"/>
        <c:majorTickMark val="none"/>
        <c:tickLblPos val="nextTo"/>
        <c:crossAx val="90142592"/>
        <c:crosses val="autoZero"/>
        <c:crossBetween val="between"/>
      </c:valAx>
    </c:plotArea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0.22602</cdr:x>
      <cdr:y>0.08729</cdr:y>
    </cdr:from>
    <cdr:to>
      <cdr:x>0.36452</cdr:x>
      <cdr:y>0.17057</cdr:y>
    </cdr:to>
    <cdr:sp macro="" textlink="">
      <cdr:nvSpPr>
        <cdr:cNvPr id="3" name="Rectangle 2"/>
        <cdr:cNvSpPr/>
      </cdr:nvSpPr>
      <cdr:spPr>
        <a:xfrm xmlns:a="http://schemas.openxmlformats.org/drawingml/2006/main">
          <a:off x="753490" y="248612"/>
          <a:ext cx="461738" cy="237163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en-US"/>
            <a:t>3.29</a:t>
          </a:r>
        </a:p>
      </cdr:txBody>
    </cdr:sp>
  </cdr:relSizeAnchor>
  <cdr:relSizeAnchor xmlns:cdr="http://schemas.openxmlformats.org/drawingml/2006/chartDrawing">
    <cdr:from>
      <cdr:x>0.41026</cdr:x>
      <cdr:y>0.05469</cdr:y>
    </cdr:from>
    <cdr:to>
      <cdr:x>0.52273</cdr:x>
      <cdr:y>0.15041</cdr:y>
    </cdr:to>
    <cdr:sp macro="" textlink="">
      <cdr:nvSpPr>
        <cdr:cNvPr id="4" name="Rectangle 3"/>
        <cdr:cNvSpPr/>
      </cdr:nvSpPr>
      <cdr:spPr>
        <a:xfrm xmlns:a="http://schemas.openxmlformats.org/drawingml/2006/main">
          <a:off x="1598279" y="122944"/>
          <a:ext cx="438150" cy="215153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pPr algn="ctr"/>
          <a:r>
            <a:rPr lang="en-US" sz="1100"/>
            <a:t>3.43</a:t>
          </a:r>
        </a:p>
      </cdr:txBody>
    </cdr:sp>
  </cdr:relSizeAnchor>
  <cdr:relSizeAnchor xmlns:cdr="http://schemas.openxmlformats.org/drawingml/2006/chartDrawing">
    <cdr:from>
      <cdr:x>0.61675</cdr:x>
      <cdr:y>0.2004</cdr:y>
    </cdr:from>
    <cdr:to>
      <cdr:x>0.72922</cdr:x>
      <cdr:y>0.31057</cdr:y>
    </cdr:to>
    <cdr:sp macro="" textlink="">
      <cdr:nvSpPr>
        <cdr:cNvPr id="5" name="Rectangle 4"/>
        <cdr:cNvSpPr/>
      </cdr:nvSpPr>
      <cdr:spPr>
        <a:xfrm xmlns:a="http://schemas.openxmlformats.org/drawingml/2006/main">
          <a:off x="2402701" y="450476"/>
          <a:ext cx="438150" cy="247650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pPr algn="ctr"/>
          <a:r>
            <a:rPr lang="en-US" sz="1100"/>
            <a:t>2.63</a:t>
          </a:r>
        </a:p>
      </cdr:txBody>
    </cdr:sp>
  </cdr:relSizeAnchor>
  <cdr:relSizeAnchor xmlns:cdr="http://schemas.openxmlformats.org/drawingml/2006/chartDrawing">
    <cdr:from>
      <cdr:x>0.80288</cdr:x>
      <cdr:y>0.19876</cdr:y>
    </cdr:from>
    <cdr:to>
      <cdr:x>0.91535</cdr:x>
      <cdr:y>0.30893</cdr:y>
    </cdr:to>
    <cdr:sp macro="" textlink="">
      <cdr:nvSpPr>
        <cdr:cNvPr id="6" name="Rectangle 5"/>
        <cdr:cNvSpPr/>
      </cdr:nvSpPr>
      <cdr:spPr>
        <a:xfrm xmlns:a="http://schemas.openxmlformats.org/drawingml/2006/main">
          <a:off x="3127802" y="446795"/>
          <a:ext cx="438150" cy="247650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noFill/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pPr algn="ctr"/>
          <a:r>
            <a:rPr lang="en-US" sz="1100"/>
            <a:t>2.65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F605B-5840-443A-905F-0E9A811D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3750</Words>
  <Characters>21375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2</cp:revision>
  <cp:lastPrinted>2017-08-06T05:24:00Z</cp:lastPrinted>
  <dcterms:created xsi:type="dcterms:W3CDTF">2017-08-10T19:20:00Z</dcterms:created>
  <dcterms:modified xsi:type="dcterms:W3CDTF">2017-08-10T19:20:00Z</dcterms:modified>
</cp:coreProperties>
</file>