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66"/>
        <w:spacing w:before="11"/>
        <w:ind w:left="0" w:right="0" w:firstLine="0"/>
        <w:jc w:val="left"/>
        <w:rPr>
          <w:rFonts w:ascii="Times New Roman"/>
          <w:sz w:val="8"/>
        </w:rPr>
      </w:pPr>
    </w:p>
    <w:p>
      <w:pPr>
        <w:pStyle w:val="style66"/>
        <w:spacing w:lineRule="exact" w:line="20"/>
        <w:ind w:left="95" w:right="0" w:firstLine="0"/>
        <w:jc w:val="left"/>
        <w:rPr>
          <w:rFonts w:ascii="Times New Roman"/>
          <w:sz w:val="2"/>
        </w:rPr>
      </w:pPr>
      <w:r>
        <w:rPr>
          <w:rFonts w:ascii="Times New Roman"/>
          <w:noProof/>
          <w:sz w:val="2"/>
        </w:rPr>
      </w:r>
      <w:r>
        <w:rPr>
          <w:rFonts w:ascii="Times New Roman"/>
          <w:noProof/>
          <w:sz w:val="2"/>
        </w:rPr>
      </w:r>
      <w:r>
        <w:rPr>
          <w:rFonts w:ascii="Times New Roman"/>
          <w:noProof/>
          <w:sz w:val="2"/>
        </w:rPr>
      </w:r>
      <w:r>
        <w:rPr>
          <w:rFonts w:ascii="Times New Roman"/>
          <w:noProof/>
          <w:sz w:val="2"/>
        </w:rPr>
        <mc:AlternateContent>
          <mc:Choice Requires="wpg">
            <w:drawing>
              <wp:inline distL="0" distT="0" distB="0" distR="0">
                <wp:extent cx="5400040" cy="6350"/>
                <wp:effectExtent l="9525" t="2540" r="10160" b="10160"/>
                <wp:docPr id="1026" name="Group 1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400040" cy="6350"/>
                          <a:chOff x="0" y="0"/>
                          <a:chExt cx="8504" cy="10"/>
                        </a:xfrm>
                      </wpg:grpSpPr>
                      <wps:wsp>
                        <wps:cNvSpPr/>
                        <wps:spPr>
                          <a:xfrm rot="0">
                            <a:off x="0" y="5"/>
                            <a:ext cx="8504" cy="0"/>
                          </a:xfrm>
                          <a:prstGeom prst="line"/>
                          <a:ln cmpd="sng" cap="flat"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026" filled="f" stroked="f" style="margin-left:0.0pt;margin-top:0.0pt;width:425.2pt;height:0.5pt;mso-wrap-distance-left:0.0pt;mso-wrap-distance-right:0.0pt;visibility:visible;" coordsize="8504,10">
                <v:line id="1027" filled="f" stroked="t" from="0.0pt,5.0pt" to="8504.0pt,5.0pt" style="position:absolute;z-index:2;mso-position-horizontal-relative:page;mso-position-vertical-relative:page;mso-width-relative:page;mso-height-relative:page;visibility:visible;">
                  <v:stroke color="#231f20" weight="0.5pt"/>
                  <v:fill/>
                </v:line>
                <w10:anchorlock/>
                <v:fill rotate="true"/>
              </v:group>
            </w:pict>
          </mc:Fallback>
        </mc:AlternateContent>
      </w:r>
      <w:r>
        <w:rPr>
          <w:rFonts w:ascii="Times New Roman"/>
          <w:noProof/>
          <w:sz w:val="2"/>
        </w:rPr>
      </w:r>
      <w:r>
        <w:rPr>
          <w:rFonts w:ascii="Times New Roman"/>
          <w:noProof/>
          <w:sz w:val="2"/>
        </w:rPr>
      </w:r>
    </w:p>
    <w:p>
      <w:pPr>
        <w:pStyle w:val="style66"/>
        <w:spacing w:before="2"/>
        <w:ind w:left="0" w:right="0" w:firstLine="0"/>
        <w:jc w:val="left"/>
        <w:rPr>
          <w:rFonts w:ascii="Times New Roman"/>
          <w:sz w:val="13"/>
        </w:rPr>
      </w:pPr>
    </w:p>
    <w:p>
      <w:pPr>
        <w:pStyle w:val="style0"/>
        <w:spacing w:before="94"/>
        <w:ind w:left="910" w:right="927"/>
        <w:jc w:val="center"/>
        <w:rPr>
          <w:sz w:val="16"/>
        </w:rPr>
      </w:pPr>
      <w:r>
        <w:rPr>
          <w:noProof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page">
              <wp:posOffset>5363999</wp:posOffset>
            </wp:positionH>
            <wp:positionV relativeFrom="paragraph">
              <wp:posOffset>187578</wp:posOffset>
            </wp:positionV>
            <wp:extent cx="1004728" cy="562559"/>
            <wp:effectExtent l="0" t="0" r="0" b="0"/>
            <wp:wrapNone/>
            <wp:docPr id="1029" name="image1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004728" cy="562559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false" relativeHeight="3" behindDoc="false" locked="false" layoutInCell="true" allowOverlap="true">
            <wp:simplePos x="0" y="0"/>
            <wp:positionH relativeFrom="page">
              <wp:posOffset>1180799</wp:posOffset>
            </wp:positionH>
            <wp:positionV relativeFrom="paragraph">
              <wp:posOffset>-26196</wp:posOffset>
            </wp:positionV>
            <wp:extent cx="608135" cy="856611"/>
            <wp:effectExtent l="0" t="0" r="0" b="0"/>
            <wp:wrapNone/>
            <wp:docPr id="1030" name="image2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08135" cy="856611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231f20"/>
          <w:w w:val="95"/>
          <w:sz w:val="16"/>
        </w:rPr>
        <w:t>Volume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17.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Number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1.</w:t>
      </w:r>
      <w:r>
        <w:rPr>
          <w:color w:val="231f20"/>
          <w:spacing w:val="2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June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2022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Page</w:t>
      </w:r>
      <w:r>
        <w:rPr>
          <w:color w:val="231f20"/>
          <w:spacing w:val="55"/>
          <w:sz w:val="16"/>
        </w:rPr>
        <w:t xml:space="preserve"> </w:t>
      </w:r>
      <w:r>
        <w:rPr>
          <w:color w:val="231f20"/>
          <w:w w:val="95"/>
          <w:sz w:val="16"/>
        </w:rPr>
        <w:t>18-28</w:t>
      </w:r>
    </w:p>
    <w:p>
      <w:pPr>
        <w:pStyle w:val="style66"/>
        <w:spacing w:before="9"/>
        <w:ind w:left="0" w:right="0" w:firstLine="0"/>
        <w:jc w:val="left"/>
        <w:rPr>
          <w:sz w:val="21"/>
        </w:rPr>
      </w:pPr>
    </w:p>
    <w:p>
      <w:pPr>
        <w:pStyle w:val="style0"/>
        <w:ind w:left="910" w:right="928"/>
        <w:jc w:val="center"/>
        <w:rPr>
          <w:b/>
          <w:sz w:val="28"/>
        </w:rPr>
      </w:pPr>
      <w:r>
        <w:rPr>
          <w:b/>
          <w:color w:val="231f20"/>
          <w:w w:val="95"/>
          <w:sz w:val="28"/>
        </w:rPr>
        <w:t>Pandecta</w:t>
      </w:r>
    </w:p>
    <w:p>
      <w:pPr>
        <w:pStyle w:val="style0"/>
        <w:spacing w:before="218"/>
        <w:ind w:left="910" w:right="927"/>
        <w:jc w:val="center"/>
        <w:rPr>
          <w:sz w:val="18"/>
        </w:rPr>
      </w:pPr>
      <w:r>
        <w:rPr/>
        <w:fldChar w:fldCharType="begin"/>
      </w:r>
      <w:r>
        <w:instrText xml:space="preserve"> HYPERLINK "http://journal.unnes.ac.id/nju/index.php/pandecta" </w:instrText>
      </w:r>
      <w:r>
        <w:rPr/>
        <w:fldChar w:fldCharType="separate"/>
      </w:r>
      <w:r>
        <w:rPr>
          <w:sz w:val="18"/>
        </w:rPr>
        <w:t>http://journal.unnes.ac.id/nju/index.php/pandecta</w:t>
      </w:r>
      <w:r>
        <w:rPr/>
        <w:fldChar w:fldCharType="end"/>
      </w:r>
    </w:p>
    <w:p>
      <w:pPr>
        <w:pStyle w:val="style66"/>
        <w:spacing w:before="3"/>
        <w:ind w:left="0" w:right="0" w:firstLine="0"/>
        <w:jc w:val="lef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false" relativeHeight="10" behindDoc="true" locked="false" layoutInCell="true" allowOverlap="true">
                <wp:simplePos x="0" y="0"/>
                <wp:positionH relativeFrom="page">
                  <wp:posOffset>1080135</wp:posOffset>
                </wp:positionH>
                <wp:positionV relativeFrom="paragraph">
                  <wp:posOffset>116205</wp:posOffset>
                </wp:positionV>
                <wp:extent cx="5400040" cy="1270"/>
                <wp:effectExtent l="0" t="0" r="0" b="0"/>
                <wp:wrapTopAndBottom/>
                <wp:docPr id="1031" name="Freeform 1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5400040" cy="127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504" h="1270" stroke="1">
                              <a:moveTo>
                                <a:pt x="0" y="0"/>
                              </a:moveTo>
                              <a:lnTo>
                                <a:pt x="8504" y="0"/>
                              </a:lnTo>
                            </a:path>
                          </a:pathLst>
                        </a:custGeom>
                        <a:ln cmpd="sng" cap="flat" w="25400">
                          <a:solidFill>
                            <a:srgbClr val="231f2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1" coordsize="8504,1270" path="m0,0l8504,0e" filled="f" stroked="t" style="position:absolute;margin-left:85.05pt;margin-top:9.15pt;width:425.2pt;height:0.1pt;z-index:-2147483637;mso-position-horizontal-relative:page;mso-position-vertical-relative:text;mso-width-percent:0;mso-height-percent:0;mso-width-relative:page;mso-height-relative:page;mso-wrap-distance-left:0.0pt;mso-wrap-distance-right:0.0pt;visibility:visible;">
                <v:stroke color="#231f20" weight="2.0pt"/>
                <w10:wrap type="topAndBottom"/>
                <v:fill/>
                <v:path textboxrect="0,0,8504,1270" o:connectlocs="0,0;8504,0"/>
              </v:shape>
            </w:pict>
          </mc:Fallback>
        </mc:AlternateContent>
      </w:r>
    </w:p>
    <w:p>
      <w:pPr>
        <w:pStyle w:val="style0"/>
        <w:spacing w:before="86" w:lineRule="exact" w:line="337"/>
        <w:ind w:left="910" w:right="927"/>
        <w:jc w:val="center"/>
        <w:rPr>
          <w:b/>
          <w:sz w:val="28"/>
        </w:rPr>
      </w:pPr>
      <w:r>
        <w:rPr>
          <w:b/>
          <w:color w:val="231f20"/>
          <w:w w:val="85"/>
          <w:sz w:val="28"/>
        </w:rPr>
        <w:t>Settlement</w:t>
      </w:r>
      <w:r>
        <w:rPr>
          <w:b/>
          <w:color w:val="231f20"/>
          <w:spacing w:val="29"/>
          <w:w w:val="85"/>
          <w:sz w:val="28"/>
        </w:rPr>
        <w:t xml:space="preserve"> </w:t>
      </w:r>
      <w:r>
        <w:rPr>
          <w:b/>
          <w:color w:val="231f20"/>
          <w:w w:val="85"/>
          <w:sz w:val="28"/>
        </w:rPr>
        <w:t>of</w:t>
      </w:r>
      <w:r>
        <w:rPr>
          <w:b/>
          <w:color w:val="231f20"/>
          <w:spacing w:val="29"/>
          <w:w w:val="85"/>
          <w:sz w:val="28"/>
        </w:rPr>
        <w:t xml:space="preserve"> </w:t>
      </w:r>
      <w:r>
        <w:rPr>
          <w:b/>
          <w:color w:val="231f20"/>
          <w:w w:val="85"/>
          <w:sz w:val="28"/>
        </w:rPr>
        <w:t>Mining</w:t>
      </w:r>
      <w:r>
        <w:rPr>
          <w:b/>
          <w:color w:val="231f20"/>
          <w:spacing w:val="29"/>
          <w:w w:val="85"/>
          <w:sz w:val="28"/>
        </w:rPr>
        <w:t xml:space="preserve"> </w:t>
      </w:r>
      <w:r>
        <w:rPr>
          <w:b/>
          <w:color w:val="231f20"/>
          <w:w w:val="85"/>
          <w:sz w:val="28"/>
        </w:rPr>
        <w:t>Disputes</w:t>
      </w:r>
      <w:r>
        <w:rPr>
          <w:b/>
          <w:color w:val="231f20"/>
          <w:spacing w:val="29"/>
          <w:w w:val="85"/>
          <w:sz w:val="28"/>
        </w:rPr>
        <w:t xml:space="preserve"> </w:t>
      </w:r>
      <w:r>
        <w:rPr>
          <w:b/>
          <w:color w:val="231f20"/>
          <w:w w:val="85"/>
          <w:sz w:val="28"/>
        </w:rPr>
        <w:t>and</w:t>
      </w:r>
    </w:p>
    <w:p>
      <w:pPr>
        <w:pStyle w:val="style0"/>
        <w:spacing w:lineRule="exact" w:line="337"/>
        <w:ind w:left="910" w:right="931"/>
        <w:jc w:val="center"/>
        <w:rPr>
          <w:b/>
          <w:sz w:val="28"/>
        </w:rPr>
      </w:pPr>
      <w:r>
        <w:rPr>
          <w:b/>
          <w:color w:val="231f20"/>
          <w:w w:val="85"/>
          <w:sz w:val="28"/>
        </w:rPr>
        <w:t>The</w:t>
      </w:r>
      <w:r>
        <w:rPr>
          <w:b/>
          <w:color w:val="231f20"/>
          <w:spacing w:val="20"/>
          <w:w w:val="85"/>
          <w:sz w:val="28"/>
        </w:rPr>
        <w:t xml:space="preserve"> </w:t>
      </w:r>
      <w:r>
        <w:rPr>
          <w:b/>
          <w:color w:val="231f20"/>
          <w:w w:val="85"/>
          <w:sz w:val="28"/>
        </w:rPr>
        <w:t>Implementation</w:t>
      </w:r>
      <w:r>
        <w:rPr>
          <w:b/>
          <w:color w:val="231f20"/>
          <w:spacing w:val="20"/>
          <w:w w:val="85"/>
          <w:sz w:val="28"/>
        </w:rPr>
        <w:t xml:space="preserve"> </w:t>
      </w:r>
      <w:r>
        <w:rPr>
          <w:b/>
          <w:color w:val="231f20"/>
          <w:w w:val="85"/>
          <w:sz w:val="28"/>
        </w:rPr>
        <w:t>of</w:t>
      </w:r>
      <w:r>
        <w:rPr>
          <w:b/>
          <w:color w:val="231f20"/>
          <w:spacing w:val="20"/>
          <w:w w:val="85"/>
          <w:sz w:val="28"/>
        </w:rPr>
        <w:t xml:space="preserve"> </w:t>
      </w:r>
      <w:r>
        <w:rPr>
          <w:b/>
          <w:color w:val="231f20"/>
          <w:w w:val="85"/>
          <w:sz w:val="28"/>
        </w:rPr>
        <w:t>International</w:t>
      </w:r>
      <w:r>
        <w:rPr>
          <w:b/>
          <w:color w:val="231f20"/>
          <w:spacing w:val="20"/>
          <w:w w:val="85"/>
          <w:sz w:val="28"/>
        </w:rPr>
        <w:t xml:space="preserve"> </w:t>
      </w:r>
      <w:r>
        <w:rPr>
          <w:b/>
          <w:color w:val="231f20"/>
          <w:w w:val="85"/>
          <w:sz w:val="28"/>
        </w:rPr>
        <w:t>Arbitration</w:t>
      </w:r>
      <w:r>
        <w:rPr>
          <w:b/>
          <w:color w:val="231f20"/>
          <w:spacing w:val="20"/>
          <w:w w:val="85"/>
          <w:sz w:val="28"/>
        </w:rPr>
        <w:t xml:space="preserve"> </w:t>
      </w:r>
      <w:r>
        <w:rPr>
          <w:b/>
          <w:color w:val="231f20"/>
          <w:w w:val="85"/>
          <w:sz w:val="28"/>
        </w:rPr>
        <w:t>Awards</w:t>
      </w:r>
    </w:p>
    <w:p>
      <w:pPr>
        <w:pStyle w:val="style66"/>
        <w:spacing w:before="8"/>
        <w:ind w:left="0" w:right="0" w:firstLine="0"/>
        <w:jc w:val="left"/>
        <w:rPr>
          <w:b/>
          <w:sz w:val="26"/>
        </w:rPr>
      </w:pPr>
    </w:p>
    <w:p>
      <w:pPr>
        <w:pStyle w:val="style2"/>
        <w:spacing w:before="1"/>
        <w:ind w:left="910" w:right="928" w:firstLine="0"/>
        <w:jc w:val="center"/>
        <w:rPr>
          <w:b w:val="false"/>
          <w:sz w:val="13"/>
        </w:rPr>
      </w:pPr>
      <w:r>
        <w:rPr>
          <w:color w:val="231f20"/>
          <w:w w:val="85"/>
        </w:rPr>
        <w:t>Suwarsi</w:t>
      </w:r>
      <w:r>
        <w:rPr>
          <w:color w:val="231f20"/>
          <w:w w:val="85"/>
        </w:rPr>
        <w:t>t</w:t>
      </w:r>
      <w:r>
        <w:rPr>
          <w:b w:val="false"/>
          <w:color w:val="231f20"/>
          <w:w w:val="85"/>
          <w:position w:val="7"/>
          <w:sz w:val="13"/>
          <w:lang w:val="en-US"/>
        </w:rPr>
        <w:t>1</w:t>
      </w:r>
      <w:r>
        <w:rPr>
          <w:b w:val="false"/>
          <w:color w:val="231f20"/>
          <w:spacing w:val="11"/>
          <w:w w:val="85"/>
          <w:position w:val="7"/>
          <w:sz w:val="13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Yoyo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Arifardhani</w:t>
      </w:r>
      <w:r>
        <w:rPr>
          <w:b w:val="false"/>
          <w:color w:val="231f20"/>
          <w:w w:val="85"/>
          <w:position w:val="7"/>
          <w:sz w:val="13"/>
        </w:rPr>
        <w:t>2</w:t>
      </w:r>
    </w:p>
    <w:p>
      <w:pPr>
        <w:pStyle w:val="style66"/>
        <w:spacing w:before="9"/>
        <w:ind w:left="0" w:right="0" w:firstLine="0"/>
        <w:jc w:val="left"/>
        <w:rPr>
          <w:sz w:val="32"/>
        </w:rPr>
      </w:pPr>
    </w:p>
    <w:p>
      <w:pPr>
        <w:pStyle w:val="style0"/>
        <w:spacing w:lineRule="auto" w:line="319"/>
        <w:ind w:left="1394" w:right="1412"/>
        <w:jc w:val="center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false" relativeHeight="9" behindDoc="true" locked="false" layoutInCell="true" allowOverlap="true">
                <wp:simplePos x="0" y="0"/>
                <wp:positionH relativeFrom="page">
                  <wp:posOffset>1130935</wp:posOffset>
                </wp:positionH>
                <wp:positionV relativeFrom="paragraph">
                  <wp:posOffset>923290</wp:posOffset>
                </wp:positionV>
                <wp:extent cx="5315585" cy="13969"/>
                <wp:effectExtent l="0" t="0" r="0" b="0"/>
                <wp:wrapNone/>
                <wp:docPr id="1032" name="Group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5315585" cy="13969"/>
                          <a:chOff x="1781" y="1454"/>
                          <a:chExt cx="8371" cy="22"/>
                        </a:xfrm>
                      </wpg:grpSpPr>
                      <wps:wsp>
                        <wps:cNvSpPr/>
                        <wps:spPr>
                          <a:xfrm rot="0">
                            <a:off x="1781" y="1471"/>
                            <a:ext cx="1998" cy="0"/>
                          </a:xfrm>
                          <a:prstGeom prst="line"/>
                          <a:ln cmpd="sng" cap="flat"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  <wps:wsp>
                        <wps:cNvSpPr/>
                        <wps:spPr>
                          <a:xfrm rot="0">
                            <a:off x="3847" y="1459"/>
                            <a:ext cx="6304" cy="0"/>
                          </a:xfrm>
                          <a:prstGeom prst="line"/>
                          <a:ln cmpd="sng" cap="flat"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32" filled="f" stroked="f" style="position:absolute;margin-left:89.05pt;margin-top:72.7pt;width:418.55pt;height:1.1pt;z-index:-2147483638;mso-position-horizontal-relative:page;mso-position-vertical-relative:text;mso-width-percent:0;mso-height-percent:0;mso-width-relative:page;mso-height-relative:page;mso-wrap-distance-left:0.0pt;mso-wrap-distance-right:0.0pt;visibility:visible;" coordsize="8371,22" coordorigin="1781,1454">
                <v:line id="1033" filled="f" stroked="t" from="1781.0pt,1471.0pt" to="3779.0pt,1471.0pt" style="position:absolute;z-index:2;mso-position-horizontal-relative:page;mso-position-vertical-relative:page;mso-width-relative:page;mso-height-relative:page;visibility:visible;">
                  <v:stroke color="#231f20" weight="0.5pt"/>
                  <v:fill/>
                </v:line>
                <v:line id="1034" filled="f" stroked="t" from="3847.0pt,1459.0pt" to="10151.0pt,1459.0pt" style="position:absolute;z-index:3;mso-position-horizontal-relative:page;mso-position-vertical-relative:page;mso-width-relative:page;mso-height-relative:page;visibility:visible;">
                  <v:stroke color="#231f20" weight="0.5pt"/>
                  <v:fill/>
                </v:line>
                <v:fill/>
              </v:group>
            </w:pict>
          </mc:Fallback>
        </mc:AlternateContent>
      </w:r>
      <w:r>
        <w:rPr>
          <w:color w:val="231f20"/>
          <w:w w:val="95"/>
          <w:position w:val="7"/>
          <w:sz w:val="11"/>
        </w:rPr>
        <w:t>1,2</w:t>
      </w:r>
      <w:r>
        <w:rPr>
          <w:color w:val="231f20"/>
          <w:w w:val="95"/>
          <w:sz w:val="20"/>
        </w:rPr>
        <w:t>Department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Notarial,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Faculty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5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Law,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Pancasila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University,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Indonesia</w:t>
      </w:r>
      <w:r>
        <w:rPr>
          <w:color w:val="231f20"/>
          <w:spacing w:val="-57"/>
          <w:w w:val="95"/>
          <w:sz w:val="20"/>
        </w:rPr>
        <w:t xml:space="preserve"> </w:t>
      </w:r>
      <w:r>
        <w:rPr>
          <w:color w:val="231f20"/>
          <w:sz w:val="20"/>
        </w:rPr>
        <w:t>DOI:</w:t>
      </w:r>
      <w:r>
        <w:rPr>
          <w:color w:val="231f20"/>
          <w:spacing w:val="-16"/>
          <w:sz w:val="20"/>
        </w:rPr>
        <w:t xml:space="preserve"> </w:t>
      </w:r>
      <w:r>
        <w:rPr/>
        <w:fldChar w:fldCharType="begin"/>
      </w:r>
      <w:r>
        <w:instrText xml:space="preserve"> HYPERLINK "http://dx.doi.org/10.15294/pandecta.v17i1.32557" </w:instrText>
      </w:r>
      <w:r>
        <w:rPr/>
        <w:fldChar w:fldCharType="separate"/>
      </w:r>
      <w:r>
        <w:rPr>
          <w:color w:val="231f20"/>
          <w:sz w:val="20"/>
        </w:rPr>
        <w:t>http://dx.doi.org/10.15294/pandecta.v17i1.32557</w:t>
      </w:r>
      <w:r>
        <w:rPr/>
        <w:fldChar w:fldCharType="end"/>
      </w:r>
    </w:p>
    <w:p>
      <w:pPr>
        <w:pStyle w:val="style66"/>
        <w:spacing w:before="2"/>
        <w:ind w:left="0" w:right="0" w:firstLine="0"/>
        <w:jc w:val="left"/>
        <w:rPr>
          <w:sz w:val="23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7"/>
        <w:gridCol w:w="6418"/>
      </w:tblGrid>
      <w:tr>
        <w:trPr>
          <w:trHeight w:val="4714" w:hRule="atLeast"/>
        </w:trPr>
        <w:tc>
          <w:tcPr>
            <w:tcW w:w="2087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style4097"/>
              <w:spacing w:before="219"/>
              <w:rPr>
                <w:b/>
              </w:rPr>
            </w:pPr>
            <w:r>
              <w:rPr>
                <w:b/>
                <w:color w:val="231f20"/>
                <w:w w:val="85"/>
              </w:rPr>
              <w:t>Article</w:t>
            </w:r>
            <w:r>
              <w:rPr>
                <w:b/>
                <w:color w:val="231f20"/>
                <w:spacing w:val="5"/>
                <w:w w:val="85"/>
              </w:rPr>
              <w:t xml:space="preserve"> </w:t>
            </w:r>
            <w:r>
              <w:rPr>
                <w:b/>
                <w:color w:val="231f20"/>
                <w:w w:val="85"/>
              </w:rPr>
              <w:t>Info</w:t>
            </w:r>
          </w:p>
          <w:p>
            <w:pPr>
              <w:pStyle w:val="style4097"/>
              <w:spacing w:before="97" w:lineRule="exact" w:line="184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color w:val="231f20"/>
                <w:spacing w:val="-1"/>
                <w:w w:val="90"/>
                <w:sz w:val="16"/>
              </w:rPr>
              <w:t>Article</w:t>
            </w:r>
            <w:r>
              <w:rPr>
                <w:rFonts w:ascii="Trebuchet MS"/>
                <w:i/>
                <w:color w:val="231f20"/>
                <w:spacing w:val="-3"/>
                <w:w w:val="90"/>
                <w:sz w:val="16"/>
              </w:rPr>
              <w:t xml:space="preserve"> </w:t>
            </w:r>
            <w:r>
              <w:rPr>
                <w:rFonts w:ascii="Trebuchet MS"/>
                <w:i/>
                <w:color w:val="231f20"/>
                <w:spacing w:val="-1"/>
                <w:w w:val="90"/>
                <w:sz w:val="16"/>
              </w:rPr>
              <w:t>History:</w:t>
            </w:r>
          </w:p>
          <w:p>
            <w:pPr>
              <w:pStyle w:val="style4097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Received : January 29</w:t>
            </w:r>
            <w:r>
              <w:rPr>
                <w:color w:val="231f20"/>
                <w:w w:val="95"/>
                <w:position w:val="5"/>
                <w:sz w:val="9"/>
              </w:rPr>
              <w:t>th</w:t>
            </w:r>
            <w:r>
              <w:rPr>
                <w:color w:val="231f20"/>
                <w:spacing w:val="1"/>
                <w:w w:val="95"/>
                <w:position w:val="5"/>
                <w:sz w:val="9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2022</w:t>
            </w:r>
            <w:r>
              <w:rPr>
                <w:color w:val="231f20"/>
                <w:spacing w:val="-45"/>
                <w:w w:val="9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Accepted: March 15</w:t>
            </w:r>
            <w:r>
              <w:rPr>
                <w:color w:val="231f20"/>
                <w:position w:val="5"/>
                <w:sz w:val="9"/>
              </w:rPr>
              <w:t xml:space="preserve">th </w:t>
            </w:r>
            <w:r>
              <w:rPr>
                <w:color w:val="231f20"/>
                <w:sz w:val="16"/>
              </w:rPr>
              <w:t>2022</w:t>
            </w:r>
            <w:r>
              <w:rPr>
                <w:color w:val="231f20"/>
                <w:spacing w:val="1"/>
                <w:sz w:val="16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6"/>
              </w:rPr>
              <w:t>Published:</w:t>
            </w:r>
            <w:r>
              <w:rPr>
                <w:color w:val="231f20"/>
                <w:spacing w:val="-17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5"/>
                <w:w w:val="95"/>
                <w:sz w:val="16"/>
              </w:rPr>
              <w:t>June</w:t>
            </w:r>
            <w:r>
              <w:rPr>
                <w:color w:val="231f20"/>
                <w:spacing w:val="-16"/>
                <w:w w:val="95"/>
                <w:sz w:val="16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6"/>
              </w:rPr>
              <w:t>29</w:t>
            </w:r>
            <w:r>
              <w:rPr>
                <w:color w:val="231f20"/>
                <w:spacing w:val="-4"/>
                <w:w w:val="95"/>
                <w:position w:val="5"/>
                <w:sz w:val="9"/>
              </w:rPr>
              <w:t>th</w:t>
            </w:r>
            <w:r>
              <w:rPr>
                <w:color w:val="231f20"/>
                <w:spacing w:val="6"/>
                <w:w w:val="95"/>
                <w:position w:val="5"/>
                <w:sz w:val="9"/>
              </w:rPr>
              <w:t xml:space="preserve"> </w:t>
            </w:r>
            <w:r>
              <w:rPr>
                <w:color w:val="231f20"/>
                <w:spacing w:val="-4"/>
                <w:w w:val="95"/>
                <w:sz w:val="16"/>
              </w:rPr>
              <w:t>2022</w:t>
            </w:r>
          </w:p>
          <w:p>
            <w:pPr>
              <w:pStyle w:val="style4097"/>
              <w:spacing w:before="12"/>
              <w:ind w:left="0"/>
              <w:rPr>
                <w:sz w:val="10"/>
              </w:rPr>
            </w:pPr>
          </w:p>
          <w:p>
            <w:pPr>
              <w:pStyle w:val="style4097"/>
              <w:spacing w:lineRule="exact" w:line="20"/>
              <w:ind w:left="75" w:right="-58"/>
              <w:rPr>
                <w:sz w:val="2"/>
              </w:rPr>
            </w:pP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L="0" distT="0" distB="0" distR="0">
                      <wp:extent cx="1269365" cy="6350"/>
                      <wp:effectExtent l="9525" t="3810" r="6985" b="8890"/>
                      <wp:docPr id="1035" name="Group 7"/>
                      <wp:cNvGraphicFramePr>
                        <a:graphicFrameLocks xmlns:a="http://schemas.openxmlformats.org/drawingml/2006/main" noChangeAspect="false" noSelect="false" noResize="false" noGrp="false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0">
                                <a:off x="0" y="0"/>
                                <a:ext cx="1269365" cy="6350"/>
                                <a:chOff x="0" y="0"/>
                                <a:chExt cx="1999" cy="10"/>
                              </a:xfrm>
                            </wpg:grpSpPr>
                            <wps:wsp>
                              <wps:cNvSpPr/>
                              <wps:spPr>
                                <a:xfrm rot="0">
                                  <a:off x="0" y="5"/>
                                  <a:ext cx="1998" cy="0"/>
                                </a:xfrm>
                                <a:prstGeom prst="line"/>
                                <a:ln cmpd="sng" cap="flat"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>
                                <a:prstTxWarp prst="textNoShape"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1035" filled="f" stroked="f" style="margin-left:0.0pt;margin-top:0.0pt;width:99.95pt;height:0.5pt;mso-wrap-distance-left:0.0pt;mso-wrap-distance-right:0.0pt;visibility:visible;" coordsize="1999,10">
                      <v:line id="1036" filled="f" stroked="t" from="0.0pt,5.0pt" to="1998.0pt,5.0pt" style="position:absolute;z-index:2;mso-position-horizontal-relative:page;mso-position-vertical-relative:page;mso-width-relative:page;mso-height-relative:page;visibility:visible;">
                        <v:stroke color="#231f20" weight="0.5pt"/>
                        <v:fill/>
                      </v:line>
                      <w10:anchorlock/>
                      <v:fill rotate="true"/>
                    </v:group>
                  </w:pict>
                </mc:Fallback>
              </mc:AlternateContent>
            </w:r>
            <w:r>
              <w:rPr>
                <w:noProof/>
                <w:sz w:val="2"/>
              </w:rPr>
            </w:r>
            <w:r>
              <w:rPr>
                <w:noProof/>
                <w:sz w:val="2"/>
              </w:rPr>
            </w:r>
          </w:p>
          <w:p>
            <w:pPr>
              <w:pStyle w:val="style4097"/>
              <w:spacing w:before="31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color w:val="231f20"/>
                <w:sz w:val="16"/>
              </w:rPr>
              <w:t>Keywords:</w:t>
            </w:r>
          </w:p>
          <w:p>
            <w:pPr>
              <w:pStyle w:val="style4097"/>
              <w:spacing w:before="7" w:lineRule="auto" w:line="247"/>
              <w:rPr>
                <w:rFonts w:ascii="Trebuchet MS"/>
                <w:i/>
                <w:sz w:val="16"/>
              </w:rPr>
            </w:pPr>
            <w:r>
              <w:rPr>
                <w:rFonts w:ascii="Trebuchet MS"/>
                <w:i/>
                <w:color w:val="231f20"/>
                <w:w w:val="85"/>
                <w:sz w:val="16"/>
              </w:rPr>
              <w:t>mining,</w:t>
            </w:r>
            <w:r>
              <w:rPr>
                <w:rFonts w:ascii="Trebuchet MS"/>
                <w:i/>
                <w:color w:val="231f20"/>
                <w:spacing w:val="19"/>
                <w:w w:val="85"/>
                <w:sz w:val="16"/>
              </w:rPr>
              <w:t xml:space="preserve"> </w:t>
            </w:r>
            <w:r>
              <w:rPr>
                <w:rFonts w:ascii="Trebuchet MS"/>
                <w:i/>
                <w:color w:val="231f20"/>
                <w:w w:val="85"/>
                <w:sz w:val="16"/>
              </w:rPr>
              <w:t>dispute;</w:t>
            </w:r>
            <w:r>
              <w:rPr>
                <w:rFonts w:ascii="Trebuchet MS"/>
                <w:i/>
                <w:color w:val="231f20"/>
                <w:spacing w:val="20"/>
                <w:w w:val="85"/>
                <w:sz w:val="16"/>
              </w:rPr>
              <w:t xml:space="preserve"> </w:t>
            </w:r>
            <w:r>
              <w:rPr>
                <w:rFonts w:ascii="Trebuchet MS"/>
                <w:i/>
                <w:color w:val="231f20"/>
                <w:w w:val="85"/>
                <w:sz w:val="16"/>
              </w:rPr>
              <w:t>arbitration;</w:t>
            </w:r>
            <w:r>
              <w:rPr>
                <w:rFonts w:ascii="Trebuchet MS"/>
                <w:i/>
                <w:color w:val="231f20"/>
                <w:spacing w:val="-38"/>
                <w:w w:val="85"/>
                <w:sz w:val="16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  <w:sz w:val="16"/>
              </w:rPr>
              <w:t>international;</w:t>
            </w:r>
            <w:r>
              <w:rPr>
                <w:rFonts w:ascii="Trebuchet MS"/>
                <w:i/>
                <w:color w:val="231f20"/>
                <w:spacing w:val="-2"/>
                <w:w w:val="90"/>
                <w:sz w:val="16"/>
              </w:rPr>
              <w:t xml:space="preserve"> </w:t>
            </w:r>
            <w:r>
              <w:rPr>
                <w:rFonts w:ascii="Trebuchet MS"/>
                <w:i/>
                <w:color w:val="231f20"/>
                <w:w w:val="90"/>
                <w:sz w:val="16"/>
              </w:rPr>
              <w:t>Indonesia</w:t>
            </w:r>
          </w:p>
        </w:tc>
        <w:tc>
          <w:tcPr>
            <w:tcW w:w="6418" w:type="dxa"/>
            <w:tcBorders>
              <w:top w:val="single" w:sz="6" w:space="0" w:color="231f20"/>
              <w:bottom w:val="single" w:sz="6" w:space="0" w:color="231f20"/>
            </w:tcBorders>
          </w:tcPr>
          <w:p>
            <w:pPr>
              <w:pStyle w:val="style4097"/>
              <w:spacing w:before="159"/>
              <w:ind w:left="58"/>
              <w:rPr>
                <w:b/>
              </w:rPr>
            </w:pPr>
            <w:r>
              <w:rPr>
                <w:b/>
                <w:color w:val="231f20"/>
                <w:w w:val="95"/>
              </w:rPr>
              <w:t>Abstract</w:t>
            </w:r>
          </w:p>
          <w:p>
            <w:pPr>
              <w:pStyle w:val="style4097"/>
              <w:spacing w:before="143" w:lineRule="auto" w:line="242"/>
              <w:ind w:left="58" w:right="5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Article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154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Law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Republic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Indonesia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Number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2009</w:t>
            </w:r>
            <w:r>
              <w:rPr>
                <w:color w:val="231f20"/>
                <w:spacing w:val="-1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concerning</w:t>
            </w:r>
            <w:r>
              <w:rPr>
                <w:color w:val="231f20"/>
                <w:spacing w:val="-54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Mineral and Coal Mining has regulated dispute resolution through domestic courts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and arbitration. In fact, the dispute resolution such as the divestment cases of PT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Newmont Nusa Tenggara and PT Kaltim Prima Coal was settled at the International</w:t>
            </w:r>
            <w:r>
              <w:rPr>
                <w:color w:val="231f20"/>
                <w:spacing w:val="-5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Arbitration</w:t>
            </w:r>
            <w:r>
              <w:rPr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Institute.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Furthermore,</w:t>
            </w:r>
            <w:r>
              <w:rPr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resolution</w:t>
            </w:r>
            <w:r>
              <w:rPr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of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dispute</w:t>
            </w:r>
            <w:r>
              <w:rPr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over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the</w:t>
            </w:r>
            <w:r>
              <w:rPr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divestment</w:t>
            </w:r>
            <w:r>
              <w:rPr>
                <w:color w:val="231f20"/>
                <w:spacing w:val="-51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8"/>
              </w:rPr>
              <w:t>of</w:t>
            </w:r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8"/>
              </w:rPr>
              <w:t>mineral</w:t>
            </w:r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8"/>
              </w:rPr>
              <w:t>and</w:t>
            </w:r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8"/>
              </w:rPr>
              <w:t>coal</w:t>
            </w:r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8"/>
              </w:rPr>
              <w:t>mining</w:t>
            </w:r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95"/>
                <w:sz w:val="18"/>
              </w:rPr>
              <w:t>shares</w:t>
            </w:r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against</w:t>
            </w:r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PT</w:t>
            </w:r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Newmont</w:t>
            </w:r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Nusa</w:t>
            </w:r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Tenggara</w:t>
            </w:r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and</w:t>
            </w:r>
            <w:r>
              <w:rPr>
                <w:color w:val="231f20"/>
                <w:spacing w:val="-1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PT</w:t>
            </w:r>
            <w:r>
              <w:rPr>
                <w:color w:val="231f20"/>
                <w:spacing w:val="-1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Kaltim</w:t>
            </w:r>
            <w:r>
              <w:rPr>
                <w:color w:val="231f20"/>
                <w:spacing w:val="-5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Prima Coal through the International Arbitration Institute was accepted and some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were rejected. The purpose of this research is to find the settlement of mineral and</w:t>
            </w:r>
            <w:r>
              <w:rPr>
                <w:color w:val="231f20"/>
                <w:spacing w:val="-5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coal mining disputes and the implementation of international arbitration decisions.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This r</w:t>
            </w:r>
            <w:r>
              <w:rPr>
                <w:color w:val="231f20"/>
                <w:w w:val="95"/>
                <w:sz w:val="18"/>
              </w:rPr>
              <w:t>esearch is important in the background that dispute resolution is not only car-</w:t>
            </w:r>
            <w:r>
              <w:rPr>
                <w:color w:val="231f20"/>
                <w:spacing w:val="-5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ried out through national arbitration. The results of the study show that the settle-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ment of mineral and coal mining disputes made by mining business actors with the</w:t>
            </w:r>
            <w:r>
              <w:rPr>
                <w:color w:val="231f20"/>
                <w:spacing w:val="-5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Indonesia</w:t>
            </w:r>
            <w:r>
              <w:rPr>
                <w:color w:val="231f20"/>
                <w:w w:val="95"/>
                <w:sz w:val="18"/>
              </w:rPr>
              <w:t>n Government, both Contracts of Work and Coal Mining Concession Work</w:t>
            </w:r>
            <w:r>
              <w:rPr>
                <w:color w:val="231f20"/>
                <w:spacing w:val="-5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Agreements,</w:t>
            </w:r>
            <w:r>
              <w:rPr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dispute</w:t>
            </w:r>
            <w:r>
              <w:rPr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resolution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is</w:t>
            </w:r>
            <w:r>
              <w:rPr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carried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out</w:t>
            </w:r>
            <w:r>
              <w:rPr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through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International</w:t>
            </w:r>
            <w:r>
              <w:rPr>
                <w:color w:val="231f20"/>
                <w:spacing w:val="-6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Arbitration</w:t>
            </w:r>
            <w:r>
              <w:rPr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insti-</w:t>
            </w:r>
            <w:r>
              <w:rPr>
                <w:color w:val="231f20"/>
                <w:spacing w:val="-52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tutions, while the implementation of international Arbitration decisions must meet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several condition</w:t>
            </w:r>
            <w:r>
              <w:rPr>
                <w:color w:val="231f20"/>
                <w:w w:val="95"/>
                <w:sz w:val="18"/>
              </w:rPr>
              <w:t>s, one of which is the decision is handed down. by an arbitrator or</w:t>
            </w:r>
            <w:r>
              <w:rPr>
                <w:color w:val="231f20"/>
                <w:spacing w:val="-5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arbitral tribunal in a country with the Indonesian state bound by agreements, both</w:t>
            </w:r>
            <w:r>
              <w:rPr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bilaterally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multilaterally.</w:t>
            </w:r>
          </w:p>
        </w:tc>
      </w:tr>
    </w:tbl>
    <w:p>
      <w:pPr>
        <w:pStyle w:val="style66"/>
        <w:spacing w:before="9"/>
        <w:ind w:left="0" w:right="0" w:firstLine="0"/>
        <w:jc w:val="left"/>
        <w:rPr>
          <w:sz w:val="5"/>
        </w:rPr>
      </w:pPr>
    </w:p>
    <w:p>
      <w:pPr>
        <w:pStyle w:val="style0"/>
        <w:rPr>
          <w:sz w:val="5"/>
        </w:rPr>
        <w:sectPr>
          <w:footerReference w:type="even" r:id="rId4"/>
          <w:type w:val="continuous"/>
          <w:pgSz w:w="11910" w:h="16840" w:orient="portrait"/>
          <w:pgMar w:top="1580" w:right="1580" w:bottom="280" w:left="1600" w:header="720" w:footer="0" w:gutter="0"/>
          <w:pgNumType w:start="18"/>
          <w:cols w:space="720"/>
        </w:sectPr>
      </w:pPr>
    </w:p>
    <w:p>
      <w:pPr>
        <w:pStyle w:val="style1"/>
        <w:numPr>
          <w:ilvl w:val="0"/>
          <w:numId w:val="1"/>
        </w:numPr>
        <w:tabs>
          <w:tab w:val="left" w:leader="none" w:pos="385"/>
        </w:tabs>
        <w:ind w:hanging="285"/>
        <w:jc w:val="both"/>
        <w:rPr/>
      </w:pPr>
      <w:r>
        <w:rPr>
          <w:color w:val="231f20"/>
          <w:w w:val="95"/>
        </w:rPr>
        <w:t>Introduction</w:t>
      </w:r>
    </w:p>
    <w:p>
      <w:pPr>
        <w:pStyle w:val="style66"/>
        <w:spacing w:before="51"/>
        <w:rPr/>
      </w:pPr>
      <w:r>
        <w:rPr>
          <w:color w:val="231f20"/>
        </w:rPr>
        <w:t>Mineral and coal mining is a natural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resource sector that has an important role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in the life of a nation’s development. Mining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products, both minerals, and coal which are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operated and produced by a company hol-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ding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permit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contract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intended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pro-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vide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benefits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companies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holding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permits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or contracts. In addition, the country where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mineral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coal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located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seeks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ob-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tain the maximum benefit from the mining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products for the prosperity of the people.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This tug of interest in profits is wh</w:t>
      </w:r>
      <w:r>
        <w:rPr>
          <w:color w:val="231f20"/>
          <w:w w:val="95"/>
        </w:rPr>
        <w:t>at triggers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conflicts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host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country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mi-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ning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companies.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There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conflicts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bet-</w:t>
      </w:r>
    </w:p>
    <w:p>
      <w:pPr>
        <w:pStyle w:val="style66"/>
        <w:spacing w:before="38"/>
        <w:ind w:right="117" w:firstLine="0"/>
        <w:rPr/>
      </w:pPr>
      <w:r>
        <w:br w:type="column"/>
      </w:r>
      <w:r>
        <w:rPr>
          <w:color w:val="231f20"/>
        </w:rPr>
        <w:t>ween mining companies and communities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around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mining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areas,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conflicts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mi-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ning companies, and even conflicts between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state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agencies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terms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mining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operations.</w:t>
      </w:r>
    </w:p>
    <w:p>
      <w:pPr>
        <w:pStyle w:val="style66"/>
        <w:spacing w:before="51"/>
        <w:ind w:right="117"/>
        <w:rPr/>
      </w:pPr>
      <w:r>
        <w:rPr>
          <w:color w:val="231f20"/>
          <w:w w:val="95"/>
        </w:rPr>
        <w:t>The larger context, namely the global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context of mining companies, is not only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>seen as a conflict of interest between the par-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ties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broadly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existence of political and ideological strugg-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les between the parties. The ideological dif-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ference between the host country and the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country of origin where the company carries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out mining business activities will affect the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atmosphere of the mini</w:t>
      </w:r>
      <w:r>
        <w:rPr>
          <w:color w:val="231f20"/>
          <w:w w:val="95"/>
        </w:rPr>
        <w:t>ng business relation-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ship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between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two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parties.</w:t>
      </w:r>
      <w:r>
        <w:rPr>
          <w:color w:val="231f20"/>
          <w:spacing w:val="33"/>
          <w:w w:val="95"/>
        </w:rPr>
        <w:t xml:space="preserve"> </w:t>
      </w:r>
      <w:r>
        <w:rPr>
          <w:color w:val="231f20"/>
          <w:w w:val="95"/>
        </w:rPr>
        <w:t>Ideologically</w:t>
      </w:r>
    </w:p>
    <w:p>
      <w:pPr>
        <w:pStyle w:val="style0"/>
        <w:rPr/>
        <w:sectPr>
          <w:type w:val="continuous"/>
          <w:pgSz w:w="11910" w:h="16840" w:orient="portrait"/>
          <w:pgMar w:top="1580" w:right="1580" w:bottom="280" w:left="1600" w:header="720" w:footer="720" w:gutter="0"/>
          <w:cols w:equalWidth="0" w:space="720" w:num="2">
            <w:col w:w="4275" w:space="97"/>
            <w:col w:w="4358"/>
          </w:cols>
        </w:sectPr>
      </w:pPr>
    </w:p>
    <w:p>
      <w:pPr>
        <w:pStyle w:val="style66"/>
        <w:ind w:left="0" w:right="0" w:firstLine="0"/>
        <w:jc w:val="left"/>
        <w:rPr>
          <w:sz w:val="11"/>
        </w:rPr>
      </w:pPr>
    </w:p>
    <w:p>
      <w:pPr>
        <w:pStyle w:val="style0"/>
        <w:rPr>
          <w:sz w:val="11"/>
        </w:rPr>
        <w:sectPr>
          <w:type w:val="continuous"/>
          <w:pgSz w:w="11910" w:h="16840" w:orient="portrait"/>
          <w:pgMar w:top="1580" w:right="1580" w:bottom="280" w:left="1600" w:header="720" w:footer="720" w:gutter="0"/>
          <w:cols w:space="720"/>
        </w:sectPr>
      </w:pPr>
    </w:p>
    <w:p>
      <w:pPr>
        <w:pStyle w:val="style0"/>
        <w:spacing w:before="113" w:lineRule="exact" w:line="177"/>
        <w:ind w:left="100"/>
        <w:rPr>
          <w:rFonts w:ascii="Wingdings" w:hAnsi="Wingdings"/>
          <w:sz w:val="16"/>
        </w:rPr>
      </w:pPr>
      <w:r>
        <w:rPr>
          <w:rFonts w:ascii="Wingdings" w:hAnsi="Wingdings"/>
          <w:color w:val="231f20"/>
          <w:sz w:val="16"/>
        </w:rPr>
        <w:t></w:t>
      </w:r>
    </w:p>
    <w:p>
      <w:pPr>
        <w:pStyle w:val="style0"/>
        <w:ind w:left="908" w:hanging="808"/>
        <w:rPr>
          <w:sz w:val="16"/>
        </w:rPr>
      </w:pPr>
      <w:r>
        <w:rPr>
          <w:color w:val="231f20"/>
          <w:w w:val="90"/>
          <w:sz w:val="16"/>
        </w:rPr>
        <w:t>Address</w:t>
      </w:r>
      <w:r>
        <w:rPr>
          <w:color w:val="231f20"/>
          <w:spacing w:val="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:</w:t>
      </w:r>
      <w:r>
        <w:rPr>
          <w:color w:val="231f20"/>
          <w:spacing w:val="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Lenteng</w:t>
      </w:r>
      <w:r>
        <w:rPr>
          <w:color w:val="231f20"/>
          <w:spacing w:val="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Agung</w:t>
      </w:r>
      <w:r>
        <w:rPr>
          <w:color w:val="231f20"/>
          <w:spacing w:val="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Raya</w:t>
      </w:r>
      <w:r>
        <w:rPr>
          <w:color w:val="231f20"/>
          <w:spacing w:val="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Street,</w:t>
      </w:r>
      <w:r>
        <w:rPr>
          <w:color w:val="231f20"/>
          <w:spacing w:val="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South</w:t>
      </w:r>
      <w:r>
        <w:rPr>
          <w:color w:val="231f20"/>
          <w:spacing w:val="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Jakarta</w:t>
      </w:r>
      <w:r>
        <w:rPr>
          <w:color w:val="231f20"/>
          <w:spacing w:val="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City,</w:t>
      </w:r>
      <w:r>
        <w:rPr>
          <w:color w:val="231f20"/>
          <w:spacing w:val="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Indonesia,</w:t>
      </w:r>
      <w:r>
        <w:rPr>
          <w:color w:val="231f20"/>
          <w:spacing w:val="1"/>
          <w:w w:val="90"/>
          <w:sz w:val="16"/>
        </w:rPr>
        <w:t xml:space="preserve"> </w:t>
      </w:r>
      <w:r>
        <w:rPr>
          <w:color w:val="231f20"/>
          <w:sz w:val="16"/>
        </w:rPr>
        <w:t>12640</w:t>
      </w:r>
    </w:p>
    <w:p>
      <w:pPr>
        <w:pStyle w:val="style0"/>
        <w:tabs>
          <w:tab w:val="left" w:leader="none" w:pos="916"/>
        </w:tabs>
        <w:spacing w:lineRule="exact" w:line="191"/>
        <w:ind w:left="100"/>
        <w:rPr>
          <w:sz w:val="16"/>
        </w:rPr>
      </w:pPr>
      <w:r>
        <w:rPr>
          <w:color w:val="231f20"/>
          <w:sz w:val="16"/>
        </w:rPr>
        <w:t>E-mail</w:t>
      </w:r>
      <w:r>
        <w:rPr>
          <w:color w:val="231f20"/>
          <w:sz w:val="16"/>
        </w:rPr>
        <w:tab/>
      </w:r>
      <w:r>
        <w:rPr>
          <w:color w:val="231f20"/>
          <w:sz w:val="16"/>
        </w:rPr>
        <w:t>x</w:t>
      </w:r>
    </w:p>
    <w:p>
      <w:pPr>
        <w:pStyle w:val="style0"/>
        <w:spacing w:before="94"/>
        <w:ind w:left="178"/>
        <w:rPr>
          <w:sz w:val="16"/>
        </w:rPr>
      </w:pPr>
      <w:r>
        <w:br w:type="column"/>
      </w:r>
      <w:r>
        <w:rPr>
          <w:color w:val="231f20"/>
          <w:w w:val="95"/>
          <w:sz w:val="16"/>
        </w:rPr>
        <w:t>ISSN 1907-8919</w:t>
      </w:r>
      <w:r>
        <w:rPr>
          <w:color w:val="231f20"/>
          <w:spacing w:val="1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(Cetak)</w:t>
      </w:r>
    </w:p>
    <w:p>
      <w:pPr>
        <w:pStyle w:val="style0"/>
        <w:spacing w:before="56"/>
        <w:ind w:left="100"/>
        <w:rPr>
          <w:sz w:val="16"/>
        </w:rPr>
      </w:pPr>
      <w:r>
        <w:rPr>
          <w:color w:val="231f20"/>
          <w:w w:val="95"/>
          <w:sz w:val="16"/>
        </w:rPr>
        <w:t>ISSN</w:t>
      </w:r>
      <w:r>
        <w:rPr>
          <w:color w:val="231f20"/>
          <w:spacing w:val="14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2337-5418</w:t>
      </w:r>
      <w:r>
        <w:rPr>
          <w:color w:val="231f20"/>
          <w:spacing w:val="15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(Online)</w:t>
      </w:r>
    </w:p>
    <w:p>
      <w:pPr>
        <w:pStyle w:val="style0"/>
        <w:rPr>
          <w:sz w:val="16"/>
        </w:rPr>
        <w:sectPr>
          <w:type w:val="continuous"/>
          <w:pgSz w:w="11910" w:h="16840" w:orient="portrait"/>
          <w:pgMar w:top="1580" w:right="1580" w:bottom="280" w:left="1600" w:header="720" w:footer="720" w:gutter="0"/>
          <w:cols w:equalWidth="0" w:space="720" w:num="2">
            <w:col w:w="4797" w:space="1992"/>
            <w:col w:w="1941"/>
          </w:cols>
        </w:sectPr>
      </w:pPr>
    </w:p>
    <w:p>
      <w:pPr>
        <w:pStyle w:val="style66"/>
        <w:spacing w:before="85"/>
        <w:ind w:firstLine="0"/>
        <w:rPr/>
      </w:pPr>
      <w:r>
        <w:rPr>
          <w:color w:val="231f20"/>
        </w:rPr>
        <w:t>weak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countries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easy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control.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Not only weak in the ideology of the third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world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countries,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though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ide-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ologically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strong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economically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weak,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very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easily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controlled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countries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of origin of mining companies that exploit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mineral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resources.</w:t>
      </w:r>
    </w:p>
    <w:p>
      <w:pPr>
        <w:pStyle w:val="style66"/>
        <w:spacing w:before="46"/>
        <w:rPr/>
      </w:pPr>
      <w:r>
        <w:rPr>
          <w:color w:val="231f20"/>
          <w:w w:val="95"/>
        </w:rPr>
        <w:t>Indonesia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ruler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owner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na-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0"/>
        </w:rPr>
        <w:t>tural mineral and coal resources. It means that</w:t>
      </w:r>
      <w:r>
        <w:rPr>
          <w:color w:val="231f20"/>
          <w:spacing w:val="-59"/>
          <w:w w:val="90"/>
        </w:rPr>
        <w:t xml:space="preserve"> </w:t>
      </w:r>
      <w:r>
        <w:rPr>
          <w:color w:val="231f20"/>
          <w:w w:val="95"/>
        </w:rPr>
        <w:t>Indonesia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should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enforce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national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mining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companies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provide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greatest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prosperity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people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before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carrying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out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mining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acti-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vities.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practice,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mining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contracts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agree-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ments between countries represented by the</w:t>
      </w:r>
      <w:r>
        <w:rPr>
          <w:color w:val="231f20"/>
          <w:spacing w:val="-64"/>
          <w:w w:val="95"/>
        </w:rPr>
        <w:t xml:space="preserve"> </w:t>
      </w:r>
      <w:r>
        <w:rPr>
          <w:color w:val="231f20"/>
          <w:w w:val="95"/>
        </w:rPr>
        <w:t>government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mining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companies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more</w:t>
      </w:r>
      <w:r>
        <w:rPr>
          <w:color w:val="231f20"/>
          <w:spacing w:val="-62"/>
          <w:w w:val="95"/>
        </w:rPr>
        <w:t xml:space="preserve"> </w:t>
      </w:r>
      <w:r>
        <w:rPr>
          <w:color w:val="231f20"/>
          <w:w w:val="95"/>
        </w:rPr>
        <w:t>often detrimental to national interests. The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regime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contracts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agreements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were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made in the past and are still ongoing today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from the Indonesian perspective is currently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detrimental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interests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nation.</w:t>
      </w:r>
    </w:p>
    <w:p>
      <w:pPr>
        <w:pStyle w:val="style66"/>
        <w:spacing w:before="37"/>
        <w:rPr/>
      </w:pPr>
      <w:r>
        <w:rPr>
          <w:color w:val="231f20"/>
          <w:w w:val="95"/>
        </w:rPr>
        <w:t>The distribution of very small ro</w:t>
      </w:r>
      <w:r>
        <w:rPr>
          <w:color w:val="231f20"/>
          <w:w w:val="95"/>
        </w:rPr>
        <w:t>yalties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state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very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clear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sign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Indone-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sia as the real owner of these mining natural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resources is not able to fully enjoy its own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natural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wealth.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mining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business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is currently being battered by globalization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capitalism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gave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birth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capitalism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in mineral and coal mining will continue to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contradict the concept of nationalism that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currently remains in the spirit of mineral and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coal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mining.</w:t>
      </w:r>
    </w:p>
    <w:p>
      <w:pPr>
        <w:pStyle w:val="style66"/>
        <w:spacing w:before="39"/>
        <w:ind w:right="39"/>
        <w:rPr/>
      </w:pPr>
      <w:r>
        <w:rPr>
          <w:color w:val="231f20"/>
        </w:rPr>
        <w:t>Mining permits hav</w:t>
      </w:r>
      <w:r>
        <w:rPr>
          <w:color w:val="231f20"/>
        </w:rPr>
        <w:t>e become a free-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market commodity which means that the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strong one will get permission. Being strong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 finance, mining engineering, technology,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and human resources will open more op-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portunities to the companies to get permits/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0"/>
        </w:rPr>
        <w:t>contracts/agreements. This strength, of cour-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se,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comes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big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companies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veloped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countries.</w:t>
      </w:r>
    </w:p>
    <w:p>
      <w:pPr>
        <w:pStyle w:val="style66"/>
        <w:spacing w:before="43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page">
                  <wp:posOffset>1080135</wp:posOffset>
                </wp:positionH>
                <wp:positionV relativeFrom="paragraph">
                  <wp:posOffset>1950720</wp:posOffset>
                </wp:positionV>
                <wp:extent cx="114300" cy="114300"/>
                <wp:effectExtent l="0" t="0" r="0" b="0"/>
                <wp:wrapNone/>
                <wp:docPr id="1038" name="WordArt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300" cy="114300"/>
                        </a:xfrm>
                        <a:prstGeom prst="rect"/>
                      </wps:spPr>
                      <wps:txbx id="1038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rFonts w:ascii="Wingdings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color w:val="231f20"/>
                                <w:sz w:val="18"/>
                                <w:szCs w:val="18"/>
                              </w:rPr>
                              <w:t></w:t>
                            </w:r>
                          </w:p>
                        </w:txbxContent>
                      </wps:txbx>
                      <wps:bodyPr wrap="square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8" filled="f" stroked="f" style="position:absolute;margin-left:85.05pt;margin-top:153.6pt;width:9.0pt;height:9.0pt;z-index:4;mso-position-horizontal-relative:page;mso-position-vertical-relative:text;mso-width-percent:0;mso-height-percent:0;mso-width-relative:page;mso-height-relative:page;mso-wrap-distance-left:0.0pt;mso-wrap-distance-right:0.0pt;visibility:visible;rotation:-11796480fd;">
                <v:fill/>
                <v:textbox style="mso-fit-shape-to-text:true;">
                  <w:txbxContent>
                    <w:p>
                      <w:pPr>
                        <w:pStyle w:val="style0"/>
                        <w:jc w:val="center"/>
                        <w:rPr>
                          <w:rFonts w:ascii="Wingdings"/>
                          <w:color w:val="231f2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cs="Times New Roman" w:hAnsi="Times New Roman"/>
                          <w:color w:val="231f20"/>
                          <w:sz w:val="18"/>
                          <w:szCs w:val="18"/>
                        </w:rPr>
                        <w:t>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231f20"/>
        </w:rPr>
        <w:t>Disputes between countries and in-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vestors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occur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host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country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provi-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des national treatment to investors or there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breach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contract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committed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by investors. Such violations can be in the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form of violations of contracts (agreements)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agreed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related to their obligations such as share di-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vestment obligations, payment of taxes, and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non-tax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state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revenues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royal-</w:t>
      </w:r>
    </w:p>
    <w:p>
      <w:pPr>
        <w:pStyle w:val="style66"/>
        <w:spacing w:before="85"/>
        <w:ind w:right="118" w:firstLine="0"/>
        <w:rPr/>
      </w:pPr>
      <w:r>
        <w:br w:type="column"/>
      </w:r>
      <w:r>
        <w:rPr>
          <w:color w:val="231f20"/>
          <w:w w:val="95"/>
        </w:rPr>
        <w:t>ties, fixed fees, exploration fees, production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fees, fixed fees, obligations to maintain and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preserve the environment, obligations in the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spacing w:val="-1"/>
        </w:rPr>
        <w:t>management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refining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added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value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of mining, empowerment of the surrounding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community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social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responsibilities.</w:t>
      </w:r>
    </w:p>
    <w:p>
      <w:pPr>
        <w:pStyle w:val="style66"/>
        <w:spacing w:before="48"/>
        <w:ind w:right="117"/>
        <w:rPr/>
      </w:pPr>
      <w:r>
        <w:rPr>
          <w:color w:val="231f20"/>
          <w:w w:val="90"/>
        </w:rPr>
        <w:t>Settlement of disputes in Indonesia can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done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both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through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courts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outside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the courts. The Law of the Republic of In-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donesia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1999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concerning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Ar-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bitration and Alternative Dispute Resolution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has regulated several dispute resolutions in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Indonesia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resolved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out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court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either through arbitration or employing con-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sultation, negotiation, mediation, conciliati-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on,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expert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judgment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.</w:t>
      </w:r>
    </w:p>
    <w:p>
      <w:pPr>
        <w:pStyle w:val="style66"/>
        <w:spacing w:before="41"/>
        <w:ind w:right="117"/>
        <w:rPr/>
      </w:pPr>
      <w:r>
        <w:rPr>
          <w:color w:val="231f20"/>
        </w:rPr>
        <w:t>Arti</w:t>
      </w:r>
      <w:r>
        <w:rPr>
          <w:color w:val="231f20"/>
        </w:rPr>
        <w:t>cle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Republic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Indonesia Number 30 of 1999 concerning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Alternative Dispute Resolution and Arbitrati-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explains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Arbitration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sett-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ling a civil dispute outside of a general court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spacing w:val="-1"/>
        </w:rPr>
        <w:t>based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arbitration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agreement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writing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disputing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parties.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parties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are bound by the arbitration agreement, the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spacing w:val="-1"/>
        </w:rPr>
        <w:t>district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court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authorized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adjudicate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dispute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parties.</w:t>
      </w:r>
    </w:p>
    <w:p>
      <w:pPr>
        <w:pStyle w:val="style66"/>
        <w:spacing w:before="41"/>
        <w:ind w:right="117"/>
        <w:rPr/>
      </w:pPr>
      <w:r>
        <w:rPr>
          <w:color w:val="231f20"/>
        </w:rPr>
        <w:t>The advantages of dispute resoluti-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 through arbitration are that the parties’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dispute confidentiality is guaranteed, de-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lays caused by procedural and administrati-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matters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avoided,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choose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arbitrator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</w:rPr>
        <w:t>lief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sufficient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knowledge,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experience,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backg-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round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regarding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disputed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issue,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honest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and fair, and parties can determine the cho-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ice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resolve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problem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well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the process and venue for the arbitration,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arbitrator’s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decision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decision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is binding on the parties and through simple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procedures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directly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implemented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(Harahap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2003).</w:t>
      </w:r>
    </w:p>
    <w:p>
      <w:pPr>
        <w:pStyle w:val="style66"/>
        <w:spacing w:before="34"/>
        <w:ind w:right="118"/>
        <w:rPr/>
      </w:pPr>
      <w:r>
        <w:rPr>
          <w:color w:val="231f20"/>
          <w:w w:val="95"/>
        </w:rPr>
        <w:t>In addition, the advantages of arbitra-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tion are there is no possibility of taking sides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decision-making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process,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decisions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taken by an Arbitrator or Arbitration Tribunal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experts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respective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fields,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faster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than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litigation,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ar</w:t>
      </w:r>
      <w:r>
        <w:rPr>
          <w:color w:val="231f20"/>
          <w:w w:val="95"/>
        </w:rPr>
        <w:t>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less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hostile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than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liti-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spacing w:val="-2"/>
          <w:w w:val="95"/>
        </w:rPr>
        <w:t>gation,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apply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internationally,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there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is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poten-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tial opportunity to make an improvement, it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confrontational,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Arbitration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process</w:t>
      </w:r>
    </w:p>
    <w:p>
      <w:pPr>
        <w:pStyle w:val="style0"/>
        <w:rPr/>
        <w:sectPr>
          <w:headerReference w:type="even" r:id="rId5"/>
          <w:headerReference w:type="default" r:id="rId6"/>
          <w:footerReference w:type="even" r:id="rId7"/>
          <w:footerReference w:type="default" r:id="rId8"/>
          <w:pgSz w:w="11910" w:h="16840" w:orient="portrait"/>
          <w:pgMar w:top="1560" w:right="1580" w:bottom="1340" w:left="1600" w:header="1160" w:footer="1142" w:gutter="0"/>
          <w:pgNumType w:start="19"/>
          <w:cols w:equalWidth="0" w:space="720" w:num="2">
            <w:col w:w="4275" w:space="97"/>
            <w:col w:w="4358"/>
          </w:cols>
        </w:sectPr>
      </w:pPr>
    </w:p>
    <w:p>
      <w:pPr>
        <w:pStyle w:val="style66"/>
        <w:spacing w:before="85"/>
        <w:ind w:firstLine="0"/>
        <w:rPr/>
      </w:pPr>
      <w:r>
        <w:rPr>
          <w:color w:val="231f20"/>
        </w:rPr>
        <w:t>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carried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simple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formal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form,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authorized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ad-</w:t>
      </w:r>
      <w:r>
        <w:rPr>
          <w:color w:val="231f20"/>
          <w:spacing w:val="-67"/>
        </w:rPr>
        <w:t xml:space="preserve"> </w:t>
      </w:r>
      <w:r>
        <w:rPr>
          <w:color w:val="231f20"/>
          <w:spacing w:val="-1"/>
        </w:rPr>
        <w:t xml:space="preserve">judicate disputes </w:t>
      </w:r>
      <w:r>
        <w:rPr>
          <w:color w:val="231f20"/>
        </w:rPr>
        <w:t>whose parties have been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bound by the arbitration agreement (Widny-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ana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2009).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above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provisions,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spacing w:val="-1"/>
          <w:w w:val="95"/>
        </w:rPr>
        <w:t>be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found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that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there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two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types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arbitrati-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on whose existence and authority are recog-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nized to examine and decide disputes that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occur between the parties to the a</w:t>
      </w:r>
      <w:r>
        <w:rPr>
          <w:color w:val="231f20"/>
          <w:w w:val="95"/>
        </w:rPr>
        <w:t>greement,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namely</w:t>
      </w:r>
      <w:r>
        <w:rPr>
          <w:color w:val="231f20"/>
          <w:spacing w:val="55"/>
          <w:w w:val="95"/>
        </w:rPr>
        <w:t xml:space="preserve"> </w:t>
      </w:r>
      <w:r>
        <w:rPr>
          <w:color w:val="231f20"/>
          <w:w w:val="95"/>
        </w:rPr>
        <w:t>(Harahap,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Arbitrase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2004):</w:t>
      </w:r>
    </w:p>
    <w:p>
      <w:pPr>
        <w:pStyle w:val="style179"/>
        <w:numPr>
          <w:ilvl w:val="1"/>
          <w:numId w:val="1"/>
        </w:numPr>
        <w:tabs>
          <w:tab w:val="left" w:leader="none" w:pos="668"/>
        </w:tabs>
        <w:spacing w:lineRule="auto" w:line="237"/>
        <w:ind w:left="667"/>
        <w:jc w:val="both"/>
        <w:rPr>
          <w:color w:val="231f20"/>
        </w:rPr>
      </w:pPr>
      <w:r>
        <w:rPr>
          <w:color w:val="231f20"/>
          <w:spacing w:val="-1"/>
        </w:rPr>
        <w:t>Ad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Hoc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Arbitration.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hoc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arbitration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also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known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‘voluntary’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arbitration.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Article 615 Rv paragraph (1) regulates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ad hoc arbitration institutions.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definition of ad hoc arbitration itself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 arbitration that is specially formed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resolve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decide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certain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disputes,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thus, the presence and existence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hoc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arbitration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incidental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permanent. Its position and existence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are only to serve and decide certain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dispute cases. After the dispute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examined or decided, the duties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ad hoc arbitrators according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automatically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end. In principle, ad hoc arbitration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</w:t>
      </w:r>
      <w:r>
        <w:rPr>
          <w:color w:val="231f20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bound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linked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arbitration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institutions.</w:t>
      </w:r>
    </w:p>
    <w:p>
      <w:pPr>
        <w:pStyle w:val="style179"/>
        <w:numPr>
          <w:ilvl w:val="1"/>
          <w:numId w:val="1"/>
        </w:numPr>
        <w:tabs>
          <w:tab w:val="left" w:leader="none" w:pos="668"/>
        </w:tabs>
        <w:spacing w:before="5"/>
        <w:ind w:left="667"/>
        <w:jc w:val="both"/>
        <w:rPr>
          <w:color w:val="231f20"/>
        </w:rPr>
      </w:pPr>
      <w:r>
        <w:rPr>
          <w:color w:val="231f20"/>
          <w:w w:val="95"/>
        </w:rPr>
        <w:t>Institutional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Arbitration.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Institutional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arbitration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26"/>
          <w:w w:val="95"/>
        </w:rPr>
        <w:t xml:space="preserve"> </w:t>
      </w:r>
      <w:r>
        <w:rPr>
          <w:color w:val="231f20"/>
          <w:w w:val="95"/>
        </w:rPr>
        <w:t>institution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27"/>
          <w:w w:val="95"/>
        </w:rPr>
        <w:t xml:space="preserve"> </w:t>
      </w:r>
      <w:r>
        <w:rPr>
          <w:color w:val="231f20"/>
          <w:w w:val="95"/>
        </w:rPr>
        <w:t>arbitration</w:t>
      </w:r>
      <w:r>
        <w:rPr>
          <w:color w:val="231f20"/>
          <w:spacing w:val="-62"/>
          <w:w w:val="95"/>
        </w:rPr>
        <w:t xml:space="preserve"> </w:t>
      </w:r>
      <w:r>
        <w:rPr>
          <w:color w:val="231f20"/>
          <w:w w:val="95"/>
        </w:rPr>
        <w:t>body as a means of resolving disputes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that are permanent in nature so that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it is called a “permanent arbitration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body”,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meant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here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permanently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managed and organized, its existence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is also continuous for an indefinite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period.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addition,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existence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not only depend on when there is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dispute. That is, whether there is an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incoming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dispute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not,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institution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0"/>
        </w:rPr>
        <w:t>remains standing and does not dissolve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even after the dispute it handles has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been completed. This is different from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ad hoc arbi</w:t>
      </w:r>
      <w:r>
        <w:rPr>
          <w:color w:val="231f20"/>
        </w:rPr>
        <w:t>tration which will dissolve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and end its existence after the dispute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handled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decided</w:t>
      </w:r>
    </w:p>
    <w:p>
      <w:pPr>
        <w:pStyle w:val="style66"/>
        <w:spacing w:before="27"/>
        <w:rPr/>
      </w:pPr>
      <w:r>
        <w:rPr>
          <w:color w:val="231f20"/>
          <w:w w:val="95"/>
        </w:rPr>
        <w:t>In Indonesia, there are currently seve-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ral arbitration institutions that provide arbit-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ration services, for example, the Indonesian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National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Arbitration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Board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(BANI),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Natio-</w:t>
      </w:r>
    </w:p>
    <w:p>
      <w:pPr>
        <w:pStyle w:val="style66"/>
        <w:spacing w:before="85"/>
        <w:ind w:right="117" w:firstLine="0"/>
        <w:rPr/>
      </w:pPr>
      <w:r>
        <w:br w:type="column"/>
      </w:r>
      <w:r>
        <w:rPr>
          <w:color w:val="231f20"/>
          <w:w w:val="95"/>
        </w:rPr>
        <w:t>nal Sharia Arbitration Board (Basyarnas), the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Indonesian Capital Market Arbitration Board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(BAPMI), the Indonesian Muamalat Arbitra-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(BAMUI),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Asso</w:t>
      </w:r>
      <w:r>
        <w:rPr>
          <w:color w:val="231f20"/>
        </w:rPr>
        <w:t>ciation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Market Legal Consultants Capital (HKHPM)</w:t>
      </w:r>
      <w:r>
        <w:rPr>
          <w:color w:val="231f20"/>
          <w:spacing w:val="-66"/>
        </w:rPr>
        <w:t xml:space="preserve"> </w:t>
      </w:r>
      <w:r>
        <w:rPr>
          <w:color w:val="231f20"/>
          <w:w w:val="90"/>
        </w:rPr>
        <w:t>(Nugroho 2017). Besides, there are also inter-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national-minded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institutional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arbitrations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existed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established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long time, among others, ICC (The Interna-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tional Chamber of Commerce), UNCITRAL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(United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Nations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Commission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Internatio-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nal Trade Law), SIAC (Singapore Internatio-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nal Arbitration Convention), and ICSID (The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International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Center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Settlement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Invest</w:t>
      </w:r>
      <w:r>
        <w:rPr>
          <w:color w:val="231f20"/>
          <w:w w:val="95"/>
        </w:rPr>
        <w:t>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ment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Disputes)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(Margono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2000).</w:t>
      </w:r>
    </w:p>
    <w:p>
      <w:pPr>
        <w:pStyle w:val="style66"/>
        <w:spacing w:before="34"/>
        <w:ind w:right="117"/>
        <w:rPr/>
      </w:pPr>
      <w:r>
        <w:rPr>
          <w:color w:val="231f20"/>
          <w:w w:val="95"/>
        </w:rPr>
        <w:t>Advantages of International Arbitration</w:t>
      </w:r>
      <w:r>
        <w:rPr>
          <w:color w:val="231f20"/>
          <w:spacing w:val="-64"/>
          <w:w w:val="95"/>
        </w:rPr>
        <w:t xml:space="preserve"> </w:t>
      </w:r>
      <w:r>
        <w:rPr>
          <w:color w:val="231f20"/>
          <w:w w:val="95"/>
        </w:rPr>
        <w:t>according to estimates of International cont-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racts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include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arbitration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clause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it.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Inter-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national arbitration is widely used in the sale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and purchase of merchandise (e.g., chocola-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te, coffee, tea, wheat, fodder, lubricating oil,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sugar, iron, rice, and so on), buildings (e.g.,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hospitals, roads, and factories in developing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countries), the law o</w:t>
      </w:r>
      <w:r>
        <w:rPr>
          <w:color w:val="231f20"/>
          <w:w w:val="95"/>
        </w:rPr>
        <w:t>f the sea (e.g., disputes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0"/>
        </w:rPr>
        <w:t>regarding charter parties), joint ventures (e.g.,</w:t>
      </w:r>
      <w:r>
        <w:rPr>
          <w:color w:val="231f20"/>
          <w:spacing w:val="-59"/>
          <w:w w:val="90"/>
        </w:rPr>
        <w:t xml:space="preserve"> </w:t>
      </w:r>
      <w:r>
        <w:rPr>
          <w:color w:val="231f20"/>
          <w:w w:val="90"/>
        </w:rPr>
        <w:t>to carry out large projects), agreements regar-</w:t>
      </w:r>
      <w:r>
        <w:rPr>
          <w:color w:val="231f20"/>
          <w:spacing w:val="-59"/>
          <w:w w:val="90"/>
        </w:rPr>
        <w:t xml:space="preserve"> </w:t>
      </w:r>
      <w:r>
        <w:rPr>
          <w:color w:val="231f20"/>
          <w:w w:val="90"/>
        </w:rPr>
        <w:t>ding service providers (e.g., hotels, and brand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use permits, loan agreements). The reasons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why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considerations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were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chosen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described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follows</w:t>
      </w:r>
      <w:r>
        <w:rPr>
          <w:color w:val="231f20"/>
          <w:spacing w:val="51"/>
          <w:w w:val="95"/>
        </w:rPr>
        <w:t xml:space="preserve"> </w:t>
      </w:r>
      <w:r>
        <w:rPr>
          <w:color w:val="231f20"/>
          <w:w w:val="95"/>
        </w:rPr>
        <w:t>(Girsang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1992):</w:t>
      </w:r>
    </w:p>
    <w:p>
      <w:pPr>
        <w:pStyle w:val="style179"/>
        <w:numPr>
          <w:ilvl w:val="0"/>
          <w:numId w:val="5"/>
        </w:numPr>
        <w:tabs>
          <w:tab w:val="left" w:leader="none" w:pos="668"/>
        </w:tabs>
        <w:spacing w:lineRule="exact" w:line="242"/>
        <w:ind w:right="0"/>
        <w:jc w:val="both"/>
        <w:rPr>
          <w:color w:val="231f20"/>
        </w:rPr>
      </w:pP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expertise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arbitrator.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</w:p>
    <w:p>
      <w:pPr>
        <w:pStyle w:val="style66"/>
        <w:ind w:left="667" w:right="117" w:firstLine="0"/>
        <w:rPr/>
      </w:pPr>
      <w:r>
        <w:rPr>
          <w:color w:val="231f20"/>
        </w:rPr>
        <w:t>expertise includes not only technical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juridical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experts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fame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in practice. Nationally, this expertise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is an important factor in arbitration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selection;</w:t>
      </w:r>
    </w:p>
    <w:p>
      <w:pPr>
        <w:pStyle w:val="style179"/>
        <w:numPr>
          <w:ilvl w:val="0"/>
          <w:numId w:val="5"/>
        </w:numPr>
        <w:tabs>
          <w:tab w:val="left" w:leader="none" w:pos="668"/>
        </w:tabs>
        <w:spacing w:lineRule="auto" w:line="237"/>
        <w:ind w:right="117"/>
        <w:jc w:val="both"/>
        <w:rPr>
          <w:color w:val="231f20"/>
        </w:rPr>
      </w:pPr>
      <w:r>
        <w:rPr>
          <w:color w:val="231f20"/>
        </w:rPr>
        <w:t>To a stronger de</w:t>
      </w:r>
      <w:r>
        <w:rPr>
          <w:color w:val="231f20"/>
        </w:rPr>
        <w:t>gree, this applies to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agreements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general court judges are less familiar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with the intricacies of international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agreements.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international arbitrations apply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arbitration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level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</w:t>
      </w:r>
      <w:r>
        <w:rPr>
          <w:rFonts w:ascii="Trebuchet MS"/>
          <w:i/>
          <w:color w:val="231f20"/>
        </w:rPr>
        <w:t>een</w:t>
      </w:r>
      <w:r>
        <w:rPr>
          <w:rFonts w:ascii="Trebuchet MS"/>
          <w:i/>
          <w:color w:val="231f20"/>
          <w:spacing w:val="-64"/>
        </w:rPr>
        <w:t xml:space="preserve"> </w:t>
      </w:r>
      <w:r>
        <w:rPr>
          <w:rFonts w:ascii="Trebuchet MS"/>
          <w:i/>
          <w:color w:val="231f20"/>
        </w:rPr>
        <w:t>instance</w:t>
      </w:r>
      <w:r>
        <w:rPr>
          <w:color w:val="231f20"/>
        </w:rPr>
        <w:t>). There are exceptions to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appeal,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International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arbitration,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rarely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done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(except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commercial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arbitration);</w:t>
      </w:r>
    </w:p>
    <w:p>
      <w:pPr>
        <w:pStyle w:val="style179"/>
        <w:numPr>
          <w:ilvl w:val="0"/>
          <w:numId w:val="5"/>
        </w:numPr>
        <w:tabs>
          <w:tab w:val="left" w:leader="none" w:pos="668"/>
        </w:tabs>
        <w:spacing w:lineRule="auto" w:line="237"/>
        <w:ind w:right="118"/>
        <w:jc w:val="both"/>
        <w:rPr>
          <w:color w:val="231f20"/>
        </w:rPr>
      </w:pP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arbitrations,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applicable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>arbitration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open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public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(</w:t>
      </w:r>
      <w:r>
        <w:rPr>
          <w:rFonts w:ascii="Trebuchet MS"/>
          <w:i/>
          <w:color w:val="231f20"/>
          <w:w w:val="90"/>
        </w:rPr>
        <w:t>niet</w:t>
      </w:r>
      <w:r>
        <w:rPr>
          <w:rFonts w:ascii="Trebuchet MS"/>
          <w:i/>
          <w:color w:val="231f20"/>
          <w:spacing w:val="-58"/>
          <w:w w:val="90"/>
        </w:rPr>
        <w:t xml:space="preserve"> </w:t>
      </w:r>
      <w:r>
        <w:rPr>
          <w:rFonts w:ascii="Trebuchet MS"/>
          <w:i/>
          <w:color w:val="231f20"/>
          <w:w w:val="95"/>
        </w:rPr>
        <w:t>openbaar</w:t>
      </w:r>
      <w:r>
        <w:rPr>
          <w:color w:val="231f20"/>
          <w:w w:val="95"/>
        </w:rPr>
        <w:t>).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world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trade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is</w:t>
      </w:r>
    </w:p>
    <w:p>
      <w:pPr>
        <w:pStyle w:val="style0"/>
        <w:spacing w:lineRule="auto" w:line="237"/>
        <w:jc w:val="both"/>
        <w:rPr/>
        <w:sectPr>
          <w:pgSz w:w="11910" w:h="16840" w:orient="portrait"/>
          <w:pgMar w:top="1560" w:right="1580" w:bottom="1340" w:left="1600" w:header="1171" w:footer="1142" w:gutter="0"/>
          <w:cols w:equalWidth="0" w:space="720" w:num="2">
            <w:col w:w="4274" w:space="98"/>
            <w:col w:w="4358"/>
          </w:cols>
        </w:sectPr>
      </w:pPr>
    </w:p>
    <w:p>
      <w:pPr>
        <w:pStyle w:val="style66"/>
        <w:spacing w:before="85"/>
        <w:ind w:left="667" w:firstLine="0"/>
        <w:rPr/>
      </w:pPr>
      <w:r>
        <w:rPr>
          <w:color w:val="231f20"/>
          <w:w w:val="95"/>
        </w:rPr>
        <w:t>usually important, so that competition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is maintained. Whereas if a dispute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decided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judge,</w:t>
      </w:r>
      <w:r>
        <w:rPr>
          <w:color w:val="231f20"/>
          <w:spacing w:val="-66"/>
        </w:rPr>
        <w:t xml:space="preserve"> </w:t>
      </w:r>
      <w:r>
        <w:rPr>
          <w:color w:val="231f20"/>
          <w:w w:val="90"/>
        </w:rPr>
        <w:t>at least one of the parties is not familiar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with the process (procedure) of that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country;</w:t>
      </w:r>
    </w:p>
    <w:p>
      <w:pPr>
        <w:pStyle w:val="style179"/>
        <w:numPr>
          <w:ilvl w:val="0"/>
          <w:numId w:val="5"/>
        </w:numPr>
        <w:tabs>
          <w:tab w:val="left" w:leader="none" w:pos="810"/>
        </w:tabs>
        <w:spacing w:before="11" w:lineRule="auto" w:line="261"/>
        <w:ind w:left="809" w:hanging="283"/>
        <w:jc w:val="both"/>
        <w:rPr>
          <w:color w:val="231f20"/>
          <w:sz w:val="20"/>
        </w:rPr>
      </w:pPr>
      <w:r>
        <w:rPr>
          <w:color w:val="231f20"/>
          <w:sz w:val="20"/>
        </w:rPr>
        <w:t>In international arbitration based on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rules,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imbalance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will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occur,</w:t>
      </w:r>
      <w:r>
        <w:rPr>
          <w:color w:val="231f20"/>
          <w:spacing w:val="-60"/>
          <w:sz w:val="20"/>
        </w:rPr>
        <w:t xml:space="preserve"> </w:t>
      </w:r>
      <w:r>
        <w:rPr>
          <w:color w:val="231f20"/>
          <w:sz w:val="20"/>
        </w:rPr>
        <w:t>because both parties have previously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known the contents of the arbitration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rules which are usually very simple.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Whereas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international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arbitration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only one institution (namely the arbitral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tribunal) is authorized, in the absence of</w:t>
      </w:r>
      <w:r>
        <w:rPr>
          <w:color w:val="231f20"/>
          <w:spacing w:val="-57"/>
          <w:w w:val="95"/>
          <w:sz w:val="20"/>
        </w:rPr>
        <w:t xml:space="preserve"> </w:t>
      </w:r>
      <w:r>
        <w:rPr>
          <w:color w:val="231f20"/>
          <w:spacing w:val="-1"/>
          <w:sz w:val="20"/>
        </w:rPr>
        <w:t xml:space="preserve">an arbitration </w:t>
      </w:r>
      <w:r>
        <w:rPr>
          <w:color w:val="231f20"/>
          <w:sz w:val="20"/>
        </w:rPr>
        <w:t>agreement, but national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0"/>
          <w:sz w:val="20"/>
        </w:rPr>
        <w:t xml:space="preserve">judges from various </w:t>
      </w:r>
      <w:r>
        <w:rPr>
          <w:color w:val="231f20"/>
          <w:w w:val="90"/>
          <w:sz w:val="20"/>
        </w:rPr>
        <w:t>countries feel they are</w:t>
      </w:r>
      <w:r>
        <w:rPr>
          <w:color w:val="231f20"/>
          <w:spacing w:val="-54"/>
          <w:w w:val="90"/>
          <w:sz w:val="20"/>
        </w:rPr>
        <w:t xml:space="preserve"> </w:t>
      </w:r>
      <w:r>
        <w:rPr>
          <w:color w:val="231f20"/>
          <w:spacing w:val="-1"/>
          <w:sz w:val="20"/>
        </w:rPr>
        <w:t xml:space="preserve">authorized </w:t>
      </w:r>
      <w:r>
        <w:rPr>
          <w:color w:val="231f20"/>
          <w:sz w:val="20"/>
        </w:rPr>
        <w:t>over the same international</w:t>
      </w:r>
      <w:r>
        <w:rPr>
          <w:color w:val="231f20"/>
          <w:spacing w:val="-60"/>
          <w:sz w:val="20"/>
        </w:rPr>
        <w:t xml:space="preserve"> </w:t>
      </w:r>
      <w:r>
        <w:rPr>
          <w:color w:val="231f20"/>
          <w:sz w:val="20"/>
        </w:rPr>
        <w:t>transaction;</w:t>
      </w:r>
    </w:p>
    <w:p>
      <w:pPr>
        <w:pStyle w:val="style179"/>
        <w:numPr>
          <w:ilvl w:val="0"/>
          <w:numId w:val="5"/>
        </w:numPr>
        <w:tabs>
          <w:tab w:val="left" w:leader="none" w:pos="810"/>
        </w:tabs>
        <w:spacing w:before="10" w:lineRule="auto" w:line="261"/>
        <w:ind w:left="809" w:hanging="283"/>
        <w:jc w:val="both"/>
        <w:rPr>
          <w:color w:val="231f20"/>
          <w:sz w:val="20"/>
        </w:rPr>
      </w:pPr>
      <w:r>
        <w:rPr>
          <w:color w:val="231f20"/>
          <w:sz w:val="20"/>
        </w:rPr>
        <w:t>Arbitration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has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informal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nature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(informal character) so that the arbitral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z w:val="20"/>
        </w:rPr>
        <w:t>tribunal and the parties can bring up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1"/>
          <w:sz w:val="20"/>
        </w:rPr>
        <w:t>the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1"/>
          <w:sz w:val="20"/>
        </w:rPr>
        <w:t>main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1"/>
          <w:sz w:val="20"/>
        </w:rPr>
        <w:t>issues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more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quickly.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Whereas</w:t>
      </w:r>
      <w:r>
        <w:rPr>
          <w:color w:val="231f20"/>
          <w:spacing w:val="-60"/>
          <w:sz w:val="20"/>
        </w:rPr>
        <w:t xml:space="preserve"> </w:t>
      </w:r>
      <w:r>
        <w:rPr>
          <w:color w:val="231f20"/>
          <w:w w:val="95"/>
          <w:sz w:val="20"/>
        </w:rPr>
        <w:t>foreign parties (</w:t>
      </w:r>
      <w:r>
        <w:rPr>
          <w:rFonts w:ascii="Trebuchet MS"/>
          <w:i/>
          <w:color w:val="231f20"/>
          <w:w w:val="95"/>
          <w:sz w:val="20"/>
        </w:rPr>
        <w:t>buitenland</w:t>
      </w:r>
      <w:r>
        <w:rPr>
          <w:rFonts w:ascii="Trebuchet MS"/>
          <w:i/>
          <w:color w:val="231f20"/>
          <w:w w:val="95"/>
          <w:sz w:val="20"/>
        </w:rPr>
        <w:t>se partij</w:t>
      </w:r>
      <w:r>
        <w:rPr>
          <w:color w:val="231f20"/>
          <w:w w:val="95"/>
          <w:sz w:val="20"/>
        </w:rPr>
        <w:t>) do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spacing w:val="-1"/>
          <w:sz w:val="20"/>
        </w:rPr>
        <w:t>not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1"/>
          <w:sz w:val="20"/>
        </w:rPr>
        <w:t>trust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judges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from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foreign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country</w:t>
      </w:r>
      <w:r>
        <w:rPr>
          <w:color w:val="231f20"/>
          <w:spacing w:val="-60"/>
          <w:sz w:val="20"/>
        </w:rPr>
        <w:t xml:space="preserve"> </w:t>
      </w:r>
      <w:r>
        <w:rPr>
          <w:color w:val="231f20"/>
          <w:w w:val="95"/>
          <w:sz w:val="20"/>
        </w:rPr>
        <w:t>(</w:t>
      </w:r>
      <w:r>
        <w:rPr>
          <w:rFonts w:ascii="Trebuchet MS"/>
          <w:i/>
          <w:color w:val="231f20"/>
          <w:w w:val="95"/>
          <w:sz w:val="20"/>
        </w:rPr>
        <w:t>vreemd land</w:t>
      </w:r>
      <w:r>
        <w:rPr>
          <w:color w:val="231f20"/>
          <w:w w:val="95"/>
          <w:sz w:val="20"/>
        </w:rPr>
        <w:t>), especially if the foreign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country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country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from</w:t>
      </w:r>
      <w:r>
        <w:rPr>
          <w:color w:val="231f20"/>
          <w:spacing w:val="-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another</w:t>
      </w:r>
      <w:r>
        <w:rPr>
          <w:color w:val="231f20"/>
          <w:spacing w:val="-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party;</w:t>
      </w:r>
    </w:p>
    <w:p>
      <w:pPr>
        <w:pStyle w:val="style179"/>
        <w:numPr>
          <w:ilvl w:val="0"/>
          <w:numId w:val="5"/>
        </w:numPr>
        <w:tabs>
          <w:tab w:val="left" w:leader="none" w:pos="810"/>
        </w:tabs>
        <w:spacing w:before="1" w:lineRule="auto" w:line="261"/>
        <w:ind w:left="809" w:hanging="283"/>
        <w:jc w:val="both"/>
        <w:rPr>
          <w:color w:val="231f20"/>
          <w:sz w:val="20"/>
        </w:rPr>
      </w:pPr>
      <w:r>
        <w:rPr>
          <w:color w:val="231f20"/>
          <w:sz w:val="20"/>
        </w:rPr>
        <w:t>The application of material law. The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National Judge is somewhat inclined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(understandably)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apply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his</w:t>
      </w:r>
      <w:r>
        <w:rPr>
          <w:color w:val="231f20"/>
          <w:spacing w:val="62"/>
          <w:sz w:val="20"/>
        </w:rPr>
        <w:t xml:space="preserve"> </w:t>
      </w:r>
      <w:r>
        <w:rPr>
          <w:color w:val="231f20"/>
          <w:sz w:val="20"/>
        </w:rPr>
        <w:t>own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laws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since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these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laws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he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knows</w:t>
      </w:r>
      <w:r>
        <w:rPr>
          <w:color w:val="231f20"/>
          <w:spacing w:val="-61"/>
          <w:sz w:val="20"/>
        </w:rPr>
        <w:t xml:space="preserve"> </w:t>
      </w:r>
      <w:r>
        <w:rPr>
          <w:color w:val="231f20"/>
          <w:sz w:val="20"/>
        </w:rPr>
        <w:t>best.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Symptoms</w:t>
      </w:r>
      <w:r>
        <w:rPr>
          <w:color w:val="231f20"/>
          <w:spacing w:val="29"/>
          <w:sz w:val="20"/>
        </w:rPr>
        <w:t xml:space="preserve"> </w:t>
      </w:r>
      <w:r>
        <w:rPr>
          <w:color w:val="231f20"/>
          <w:sz w:val="20"/>
        </w:rPr>
        <w:t>like</w:t>
      </w:r>
      <w:r>
        <w:rPr>
          <w:color w:val="231f20"/>
          <w:spacing w:val="29"/>
          <w:sz w:val="20"/>
        </w:rPr>
        <w:t xml:space="preserve"> </w:t>
      </w:r>
      <w:r>
        <w:rPr>
          <w:color w:val="231f20"/>
          <w:sz w:val="20"/>
        </w:rPr>
        <w:t>this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29"/>
          <w:sz w:val="20"/>
        </w:rPr>
        <w:t xml:space="preserve"> </w:t>
      </w:r>
      <w:r>
        <w:rPr>
          <w:color w:val="231f20"/>
          <w:sz w:val="20"/>
        </w:rPr>
        <w:t>reduced</w:t>
      </w:r>
      <w:r>
        <w:rPr>
          <w:color w:val="231f20"/>
          <w:spacing w:val="-60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International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Arbitration.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Besides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w w:val="95"/>
          <w:sz w:val="20"/>
        </w:rPr>
        <w:t>that,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International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Arbitrators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are</w:t>
      </w:r>
      <w:r>
        <w:rPr>
          <w:color w:val="231f20"/>
          <w:spacing w:val="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also</w:t>
      </w:r>
      <w:r>
        <w:rPr>
          <w:color w:val="231f20"/>
          <w:spacing w:val="-57"/>
          <w:w w:val="95"/>
          <w:sz w:val="20"/>
        </w:rPr>
        <w:t xml:space="preserve"> </w:t>
      </w:r>
      <w:r>
        <w:rPr>
          <w:color w:val="231f20"/>
          <w:sz w:val="20"/>
        </w:rPr>
        <w:t>more inclined (</w:t>
      </w:r>
      <w:r>
        <w:rPr>
          <w:rFonts w:ascii="Trebuchet MS"/>
          <w:i/>
          <w:color w:val="231f20"/>
          <w:sz w:val="20"/>
        </w:rPr>
        <w:t>meer gespitst</w:t>
      </w:r>
      <w:r>
        <w:rPr>
          <w:color w:val="231f20"/>
          <w:sz w:val="20"/>
        </w:rPr>
        <w:t>) to use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international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trade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(</w:t>
      </w:r>
      <w:r>
        <w:rPr>
          <w:rFonts w:ascii="Trebuchet MS"/>
          <w:i/>
          <w:color w:val="231f20"/>
          <w:sz w:val="20"/>
        </w:rPr>
        <w:t>internationale</w:t>
      </w:r>
      <w:r>
        <w:rPr>
          <w:rFonts w:ascii="Trebuchet MS"/>
          <w:i/>
          <w:color w:val="231f20"/>
          <w:spacing w:val="1"/>
          <w:sz w:val="20"/>
        </w:rPr>
        <w:t xml:space="preserve"> </w:t>
      </w:r>
      <w:r>
        <w:rPr>
          <w:rFonts w:ascii="Trebuchet MS"/>
          <w:i/>
          <w:color w:val="231f20"/>
          <w:sz w:val="20"/>
        </w:rPr>
        <w:t>handel</w:t>
      </w:r>
      <w:r>
        <w:rPr>
          <w:color w:val="231f20"/>
          <w:sz w:val="20"/>
        </w:rPr>
        <w:t>). Some even postulate that 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new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mercantoria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law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has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emerged,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which concerns the implementation of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international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decisions.</w:t>
      </w:r>
    </w:p>
    <w:p>
      <w:pPr>
        <w:pStyle w:val="style66"/>
        <w:spacing w:before="39"/>
        <w:rPr/>
      </w:pPr>
      <w:r>
        <w:rPr>
          <w:color w:val="231f20"/>
          <w:w w:val="95"/>
        </w:rPr>
        <w:t>Dispute resolution through internatio-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nal arbitration can certainly attract business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players in the joint venture sector, and join</w:t>
      </w:r>
      <w:r>
        <w:rPr>
          <w:color w:val="231f20"/>
          <w:w w:val="95"/>
        </w:rPr>
        <w:t>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ventures are a form of foreign investment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 the mineral and coal mining sector. The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existence of a joint venture as a form of bu-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siness in the mineral and coal mining sector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in Indonesia has been explained by Amien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Bendar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implementation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forei</w:t>
      </w:r>
      <w:r>
        <w:rPr>
          <w:color w:val="231f20"/>
        </w:rPr>
        <w:t>gn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in-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vestment law for Indonesian mining (Bendar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2018).</w:t>
      </w:r>
    </w:p>
    <w:p>
      <w:pPr>
        <w:pStyle w:val="style66"/>
        <w:spacing w:before="85"/>
        <w:ind w:right="117"/>
        <w:rPr/>
      </w:pPr>
      <w:r>
        <w:br w:type="column"/>
      </w:r>
      <w:r>
        <w:rPr>
          <w:color w:val="231f20"/>
        </w:rPr>
        <w:t>Article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154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Republic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Indonesia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2009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concerning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Mineral and Coal Mining has regulated the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settlement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disputes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mineral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coal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mining sector to be resolved through courts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and domestic arbitration following the provi-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sions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laws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regulations.</w:t>
      </w:r>
    </w:p>
    <w:p>
      <w:pPr>
        <w:pStyle w:val="style66"/>
        <w:spacing w:before="46"/>
        <w:ind w:right="117"/>
        <w:rPr/>
      </w:pPr>
      <w:r>
        <w:rPr>
          <w:color w:val="231f20"/>
        </w:rPr>
        <w:t>The purpose of the order of Article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154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Republic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Indonesia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Number 4 of 2009 concerning Mineral and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Coal Mining is that the settlement of mineral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mining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disputes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resolved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7"/>
        </w:rPr>
        <w:t xml:space="preserve"> </w:t>
      </w:r>
      <w:r>
        <w:rPr>
          <w:color w:val="231f20"/>
          <w:spacing w:val="-1"/>
          <w:w w:val="95"/>
        </w:rPr>
        <w:t>two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ways,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namely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through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courts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domes-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tic arbitration. Domestic arbitration can be in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BANI,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BAPMI,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BAMUI.</w:t>
      </w:r>
    </w:p>
    <w:p>
      <w:pPr>
        <w:pStyle w:val="style66"/>
        <w:spacing w:before="44"/>
        <w:ind w:right="117"/>
        <w:rPr/>
      </w:pPr>
      <w:r>
        <w:rPr>
          <w:color w:val="231f20"/>
          <w:w w:val="95"/>
        </w:rPr>
        <w:t>The disputes occurred between mine-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ral and coal mining companies such as the</w:t>
      </w:r>
      <w:r>
        <w:rPr>
          <w:color w:val="231f20"/>
          <w:spacing w:val="-66"/>
        </w:rPr>
        <w:t xml:space="preserve"> </w:t>
      </w:r>
      <w:r>
        <w:rPr>
          <w:color w:val="231f20"/>
          <w:spacing w:val="-1"/>
        </w:rPr>
        <w:t>case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PT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Newmont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Nusa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Tenggara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di-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vestment dispute with the Indonesian side.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Indonesian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side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filed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lawsuit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UNCITRAL International Arbitration Institu</w:t>
      </w:r>
      <w:r>
        <w:rPr>
          <w:color w:val="231f20"/>
          <w:w w:val="95"/>
        </w:rPr>
        <w:t>te.</w:t>
      </w:r>
      <w:r>
        <w:rPr>
          <w:color w:val="231f20"/>
          <w:spacing w:val="-64"/>
          <w:w w:val="95"/>
        </w:rPr>
        <w:t xml:space="preserve"> </w:t>
      </w:r>
      <w:r>
        <w:rPr>
          <w:color w:val="231f20"/>
          <w:w w:val="95"/>
        </w:rPr>
        <w:t>The Indonesian side, through the Ministry of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Energy and Mineral Resources of the Repub-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lic of Indonesia, has announced its victory</w:t>
      </w:r>
      <w:r>
        <w:rPr>
          <w:color w:val="231f20"/>
          <w:spacing w:val="-66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ordering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PT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Newmont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Nusa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Tenggara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carry out its obligations, namely (Ministry of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Energy and Mineral Resources of Republic of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Indonesia):</w:t>
      </w:r>
    </w:p>
    <w:p>
      <w:pPr>
        <w:pStyle w:val="style179"/>
        <w:numPr>
          <w:ilvl w:val="0"/>
          <w:numId w:val="4"/>
        </w:numPr>
        <w:tabs>
          <w:tab w:val="left" w:leader="none" w:pos="284"/>
        </w:tabs>
        <w:spacing w:lineRule="exact" w:line="245"/>
        <w:ind w:right="118" w:hanging="668"/>
        <w:jc w:val="right"/>
        <w:rPr/>
      </w:pPr>
      <w:r>
        <w:rPr>
          <w:color w:val="231f20"/>
          <w:w w:val="95"/>
        </w:rPr>
        <w:t>To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order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PT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Newmont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Nusa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Tenggara</w:t>
      </w:r>
    </w:p>
    <w:p>
      <w:pPr>
        <w:pStyle w:val="style66"/>
        <w:spacing w:lineRule="exact" w:line="264"/>
        <w:ind w:left="0" w:right="119" w:firstLine="0"/>
        <w:jc w:val="right"/>
        <w:rPr/>
      </w:pPr>
      <w:r>
        <w:rPr>
          <w:color w:val="231f20"/>
          <w:spacing w:val="-1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implement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provisions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article</w:t>
      </w:r>
    </w:p>
    <w:p>
      <w:pPr>
        <w:pStyle w:val="style66"/>
        <w:spacing w:lineRule="exact" w:line="264"/>
        <w:ind w:left="667" w:right="0" w:firstLine="0"/>
        <w:rPr/>
      </w:pPr>
      <w:r>
        <w:rPr>
          <w:color w:val="231f20"/>
          <w:w w:val="95"/>
        </w:rPr>
        <w:t>24.3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Contract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Work;</w:t>
      </w:r>
    </w:p>
    <w:p>
      <w:pPr>
        <w:pStyle w:val="style179"/>
        <w:numPr>
          <w:ilvl w:val="0"/>
          <w:numId w:val="4"/>
        </w:numPr>
        <w:tabs>
          <w:tab w:val="left" w:leader="none" w:pos="668"/>
        </w:tabs>
        <w:ind w:right="117"/>
        <w:jc w:val="both"/>
        <w:rPr/>
      </w:pPr>
      <w:r>
        <w:rPr>
          <w:color w:val="231f20"/>
        </w:rPr>
        <w:t>To declare that PT Newmont Nusa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 xml:space="preserve">Tenggara </w:t>
      </w:r>
      <w:r>
        <w:rPr>
          <w:color w:val="231f20"/>
          <w:spacing w:val="-1"/>
        </w:rPr>
        <w:t>has defaulted (a breach of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agreement);</w:t>
      </w:r>
    </w:p>
    <w:p>
      <w:pPr>
        <w:pStyle w:val="style179"/>
        <w:numPr>
          <w:ilvl w:val="0"/>
          <w:numId w:val="4"/>
        </w:numPr>
        <w:tabs>
          <w:tab w:val="left" w:leader="none" w:pos="668"/>
        </w:tabs>
        <w:spacing w:lineRule="auto" w:line="237"/>
        <w:ind w:right="117"/>
        <w:jc w:val="both"/>
        <w:rPr/>
      </w:pPr>
      <w:r>
        <w:rPr>
          <w:color w:val="231f20"/>
          <w:w w:val="95"/>
        </w:rPr>
        <w:t>To Order PT Newmont Nusa Tenggara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to divest 17% of its shares, consisting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of the 2006 divestment of 3% and the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spacing w:val="-1"/>
          <w:w w:val="95"/>
        </w:rPr>
        <w:t>2007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divestment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7%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Regional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Government.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Meanwhile,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2008, it was 7%, to the Government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Republic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Indonesia.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obligations mentioned above must be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carried out within 180 days after the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arbitration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award;</w:t>
      </w:r>
    </w:p>
    <w:p>
      <w:pPr>
        <w:pStyle w:val="style179"/>
        <w:numPr>
          <w:ilvl w:val="0"/>
          <w:numId w:val="4"/>
        </w:numPr>
        <w:tabs>
          <w:tab w:val="left" w:leader="none" w:pos="668"/>
        </w:tabs>
        <w:spacing w:before="6"/>
        <w:ind w:right="118"/>
        <w:jc w:val="both"/>
        <w:rPr/>
      </w:pP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divested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shares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free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pledge (“Clean and Clear”) and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source of funds for the purchase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shares is not the business of PT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Newmont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Nusa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Tenggara;</w:t>
      </w:r>
    </w:p>
    <w:p>
      <w:pPr>
        <w:pStyle w:val="style179"/>
        <w:numPr>
          <w:ilvl w:val="0"/>
          <w:numId w:val="4"/>
        </w:numPr>
        <w:tabs>
          <w:tab w:val="left" w:leader="none" w:pos="668"/>
        </w:tabs>
        <w:spacing w:lineRule="exact" w:line="258"/>
        <w:ind w:right="0"/>
        <w:jc w:val="both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page">
                  <wp:posOffset>1080135</wp:posOffset>
                </wp:positionH>
                <wp:positionV relativeFrom="paragraph">
                  <wp:posOffset>481330</wp:posOffset>
                </wp:positionV>
                <wp:extent cx="114300" cy="114300"/>
                <wp:effectExtent l="0" t="0" r="0" b="0"/>
                <wp:wrapNone/>
                <wp:docPr id="1039" name="WordArt 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300" cy="114300"/>
                        </a:xfrm>
                        <a:prstGeom prst="rect"/>
                      </wps:spPr>
                      <wps:txbx id="1039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rFonts w:ascii="Wingdings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color w:val="231f20"/>
                                <w:sz w:val="18"/>
                                <w:szCs w:val="18"/>
                              </w:rPr>
                              <w:t></w:t>
                            </w:r>
                          </w:p>
                        </w:txbxContent>
                      </wps:txbx>
                      <wps:bodyPr wrap="square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39" filled="f" stroked="f" style="position:absolute;margin-left:85.05pt;margin-top:37.9pt;width:9.0pt;height:9.0pt;z-index:5;mso-position-horizontal-relative:page;mso-position-vertical-relative:text;mso-width-percent:0;mso-height-percent:0;mso-width-relative:page;mso-height-relative:page;mso-wrap-distance-left:0.0pt;mso-wrap-distance-right:0.0pt;visibility:visible;rotation:-11796480fd;">
                <v:fill/>
                <v:textbox style="mso-fit-shape-to-text:true;">
                  <w:txbxContent>
                    <w:p>
                      <w:pPr>
                        <w:pStyle w:val="style0"/>
                        <w:jc w:val="center"/>
                        <w:rPr>
                          <w:rFonts w:ascii="Wingdings"/>
                          <w:color w:val="231f2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cs="Times New Roman" w:hAnsi="Times New Roman"/>
                          <w:color w:val="231f20"/>
                          <w:sz w:val="18"/>
                          <w:szCs w:val="18"/>
                        </w:rPr>
                        <w:t>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231f20"/>
          <w:w w:val="95"/>
        </w:rPr>
        <w:t>To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order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PT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Newmont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Nusa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Tenggara</w:t>
      </w:r>
    </w:p>
    <w:p>
      <w:pPr>
        <w:pStyle w:val="style0"/>
        <w:spacing w:lineRule="exact" w:line="258"/>
        <w:jc w:val="both"/>
        <w:rPr/>
        <w:sectPr>
          <w:pgSz w:w="11910" w:h="16840" w:orient="portrait"/>
          <w:pgMar w:top="1560" w:right="1580" w:bottom="1340" w:left="1600" w:header="1160" w:footer="1142" w:gutter="0"/>
          <w:cols w:equalWidth="0" w:space="720" w:num="2">
            <w:col w:w="4275" w:space="97"/>
            <w:col w:w="4358"/>
          </w:cols>
        </w:sectPr>
      </w:pPr>
    </w:p>
    <w:p>
      <w:pPr>
        <w:pStyle w:val="style66"/>
        <w:spacing w:before="85"/>
        <w:ind w:left="667" w:right="39" w:firstLine="0"/>
        <w:rPr/>
      </w:pPr>
      <w:r>
        <w:rPr>
          <w:color w:val="231f20"/>
          <w:w w:val="95"/>
        </w:rPr>
        <w:t>to reimburse the costs that have been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incurred by the Government for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Arbitration in this case, and must be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paid within 30 days after the date of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Arbitration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award.</w:t>
      </w:r>
    </w:p>
    <w:p>
      <w:pPr>
        <w:pStyle w:val="style66"/>
        <w:spacing w:before="49"/>
        <w:rPr/>
      </w:pPr>
      <w:r>
        <w:rPr>
          <w:color w:val="231f20"/>
          <w:w w:val="90"/>
        </w:rPr>
        <w:t>This is different from the dispute resolu-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tion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mineral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coal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mining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companies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Kaltim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Prima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share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divestment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dispute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against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East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Kaliman-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tan Regional Government as the Indonesian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side. PT Kaltim Prima Coal through its attor-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ney P.D.D Dermawan filed a lawsuit at the</w:t>
      </w:r>
      <w:r>
        <w:rPr>
          <w:color w:val="231f20"/>
          <w:spacing w:val="-66"/>
        </w:rPr>
        <w:t xml:space="preserve"> </w:t>
      </w:r>
      <w:r>
        <w:rPr>
          <w:color w:val="231f20"/>
          <w:spacing w:val="-1"/>
          <w:w w:val="95"/>
        </w:rPr>
        <w:t>ICSID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Arbitration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Institute,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ICSID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Arbitra-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tion Council stated that it did not have juris-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diction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hear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case</w:t>
      </w:r>
      <w:r>
        <w:rPr>
          <w:color w:val="231f20"/>
          <w:spacing w:val="59"/>
          <w:w w:val="95"/>
        </w:rPr>
        <w:t xml:space="preserve"> </w:t>
      </w:r>
      <w:r>
        <w:rPr>
          <w:color w:val="231f20"/>
          <w:w w:val="95"/>
        </w:rPr>
        <w:t>(Hayuningtri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2014).</w:t>
      </w:r>
    </w:p>
    <w:p>
      <w:pPr>
        <w:pStyle w:val="style66"/>
        <w:spacing w:before="41"/>
        <w:rPr/>
      </w:pPr>
      <w:r>
        <w:rPr>
          <w:color w:val="231f20"/>
          <w:w w:val="95"/>
        </w:rPr>
        <w:t>There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opinion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foreign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arbitral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awards are binding on the parties who made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0"/>
        </w:rPr>
        <w:t>them. It means that the parties are obliged to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implement the arbitral award. While binding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binding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bodies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where the arbitration was held, the national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 xml:space="preserve">courts whose countries have bound </w:t>
      </w:r>
      <w:r>
        <w:rPr>
          <w:color w:val="231f20"/>
          <w:w w:val="95"/>
        </w:rPr>
        <w:t>themsel-</w:t>
      </w:r>
      <w:r>
        <w:rPr>
          <w:color w:val="231f20"/>
          <w:spacing w:val="-64"/>
          <w:w w:val="95"/>
        </w:rPr>
        <w:t xml:space="preserve"> </w:t>
      </w:r>
      <w:r>
        <w:rPr>
          <w:color w:val="231f20"/>
        </w:rPr>
        <w:t>ves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1958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York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Convention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con-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cerning the recognition and Implementation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of Foreign Arbitration Awards legally has 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international obligation to implement the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contents of the Convention including imple-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menting international arbitral awards if a na-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tional court is asked to implement it (Adolf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2016).</w:t>
      </w:r>
    </w:p>
    <w:p>
      <w:pPr>
        <w:pStyle w:val="style66"/>
        <w:spacing w:before="34"/>
        <w:rPr/>
      </w:pP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Republic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Indonesia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Number 4 of 2009 concerning Mineral and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Coal Mining has regulated dispute resolution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through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domestic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courts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arbitra</w:t>
      </w:r>
      <w:r>
        <w:rPr>
          <w:color w:val="231f20"/>
          <w:w w:val="95"/>
        </w:rPr>
        <w:t>tion,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whi-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fact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Kaltim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Prima Coal and PT Newmont Nusa Tenggara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divestment disputes were resolved in the In-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ternational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Arbitration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Institution.</w:t>
      </w:r>
    </w:p>
    <w:p>
      <w:pPr>
        <w:pStyle w:val="style66"/>
        <w:spacing w:before="44"/>
        <w:rPr/>
      </w:pPr>
      <w:r>
        <w:rPr>
          <w:color w:val="231f20"/>
          <w:spacing w:val="-1"/>
          <w:w w:val="95"/>
        </w:rPr>
        <w:t>Some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settlement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share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divest-</w:t>
      </w:r>
      <w:r>
        <w:rPr>
          <w:color w:val="231f20"/>
          <w:spacing w:val="-62"/>
          <w:w w:val="95"/>
        </w:rPr>
        <w:t xml:space="preserve"> </w:t>
      </w:r>
      <w:r>
        <w:rPr>
          <w:color w:val="231f20"/>
          <w:spacing w:val="-1"/>
          <w:w w:val="95"/>
        </w:rPr>
        <w:t>ment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disputes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at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International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Arbitration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Institute for mineral and coal mining compa-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nies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Kaltim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Prima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vs.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Indonesi-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an side and PT Newmont Nusa Tenggara vs.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Indonesian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side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were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accepted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some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were rejected by the International Arbitrati-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on Institution. Based on the background ela-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borated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above,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present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study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aimed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finding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resolve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mineral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coal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mining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disputes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how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implement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inter-</w:t>
      </w:r>
      <w:r>
        <w:rPr>
          <w:color w:val="231f20"/>
          <w:spacing w:val="-62"/>
          <w:w w:val="95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arbitration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awards.</w:t>
      </w:r>
    </w:p>
    <w:p>
      <w:pPr>
        <w:pStyle w:val="style66"/>
        <w:spacing w:before="85"/>
        <w:ind w:right="118"/>
        <w:rPr/>
      </w:pPr>
      <w:r>
        <w:br w:type="column"/>
      </w:r>
      <w:r>
        <w:rPr>
          <w:color w:val="231f20"/>
        </w:rPr>
        <w:t>According to Dadang A. Van Gobel,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implementation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International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Arbitrati-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Settlement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Investment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Tra-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Disputes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1999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concerning Arbitration and Alternative Dis-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pute Resolution, further under Law</w:t>
      </w:r>
      <w:r>
        <w:rPr>
          <w:color w:val="231f20"/>
          <w:w w:val="95"/>
        </w:rPr>
        <w:t xml:space="preserve"> no. 25 of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2007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concerning Investment (Gobel 2014).</w:t>
      </w:r>
    </w:p>
    <w:p>
      <w:pPr>
        <w:pStyle w:val="style66"/>
        <w:spacing w:before="46"/>
        <w:ind w:right="117"/>
        <w:rPr/>
      </w:pPr>
      <w:r>
        <w:rPr>
          <w:color w:val="231f20"/>
          <w:spacing w:val="-1"/>
          <w:w w:val="95"/>
        </w:rPr>
        <w:t>In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contrast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research,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does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not only examine dispute resolution as regu-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lated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2007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concerning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In-</w:t>
      </w:r>
      <w:r>
        <w:rPr>
          <w:color w:val="231f20"/>
          <w:spacing w:val="-66"/>
        </w:rPr>
        <w:t xml:space="preserve"> </w:t>
      </w:r>
      <w:r>
        <w:rPr>
          <w:color w:val="231f20"/>
          <w:spacing w:val="-1"/>
        </w:rPr>
        <w:t xml:space="preserve">vestment, </w:t>
      </w:r>
      <w:r>
        <w:rPr>
          <w:color w:val="231f20"/>
        </w:rPr>
        <w:t>but the dispute resolution which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regulated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before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issuance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Law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no.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spacing w:val="-1"/>
        </w:rPr>
        <w:t>25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2007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concerning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Investment,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namely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Law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no.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1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1967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concerning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Foreign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Invest-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ment along with several implementing regu-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lations,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research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been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carried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out.</w:t>
      </w:r>
    </w:p>
    <w:p>
      <w:pPr>
        <w:pStyle w:val="style66"/>
        <w:spacing w:before="43"/>
        <w:ind w:right="118"/>
        <w:rPr/>
      </w:pPr>
      <w:r>
        <w:rPr>
          <w:color w:val="231f20"/>
          <w:w w:val="95"/>
        </w:rPr>
        <w:t>Although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mining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dispute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resolution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be done through mediation (Sari 2013), this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study does not discuss it and focuses more on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dispute resolution through arbitration, while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the implementation of international arbitra-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decisions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study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York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Convention.</w:t>
      </w:r>
    </w:p>
    <w:p>
      <w:pPr>
        <w:pStyle w:val="style66"/>
        <w:spacing w:before="46"/>
        <w:ind w:right="118"/>
        <w:rPr/>
      </w:pPr>
      <w:r>
        <w:rPr>
          <w:color w:val="231f20"/>
        </w:rPr>
        <w:t>This is different from the research of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Bakti Sukwanto and Taufik Siregar which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came to the case of PERTAMINA against Ka-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raha Bodas Company LLC (Sukwanto dan Si-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regar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2010).</w:t>
      </w:r>
    </w:p>
    <w:p>
      <w:pPr>
        <w:pStyle w:val="style1"/>
        <w:numPr>
          <w:ilvl w:val="0"/>
          <w:numId w:val="1"/>
        </w:numPr>
        <w:tabs>
          <w:tab w:val="left" w:leader="none" w:pos="385"/>
        </w:tabs>
        <w:spacing w:before="199"/>
        <w:ind w:hanging="285"/>
        <w:jc w:val="both"/>
        <w:rPr/>
      </w:pPr>
      <w:r>
        <w:rPr>
          <w:color w:val="231f20"/>
        </w:rPr>
        <w:t>Methods</w:t>
      </w:r>
    </w:p>
    <w:p>
      <w:pPr>
        <w:pStyle w:val="style66"/>
        <w:spacing w:before="51"/>
        <w:ind w:right="117"/>
        <w:rPr/>
      </w:pPr>
      <w:r>
        <w:rPr>
          <w:color w:val="231f20"/>
          <w:w w:val="95"/>
        </w:rPr>
        <w:t>The method administered in this rese-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arch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normative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legal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research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library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law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0"/>
        </w:rPr>
        <w:t>research. As normative legal research, this re-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search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undertaken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based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analysis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legal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norms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sense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regulations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62"/>
          <w:w w:val="95"/>
        </w:rPr>
        <w:t xml:space="preserve"> </w:t>
      </w:r>
      <w:r>
        <w:rPr>
          <w:color w:val="231f20"/>
          <w:w w:val="95"/>
        </w:rPr>
        <w:t>statutory and regulatory approach related to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0"/>
        </w:rPr>
        <w:t>legal issues in order to find out the settlement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mining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disputes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implementation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international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arbitration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awards.</w:t>
      </w:r>
    </w:p>
    <w:p>
      <w:pPr>
        <w:pStyle w:val="style1"/>
        <w:numPr>
          <w:ilvl w:val="0"/>
          <w:numId w:val="1"/>
        </w:numPr>
        <w:tabs>
          <w:tab w:val="left" w:leader="none" w:pos="451"/>
        </w:tabs>
        <w:spacing w:before="193"/>
        <w:ind w:left="450" w:hanging="351"/>
        <w:jc w:val="both"/>
        <w:rPr/>
      </w:pPr>
      <w:r>
        <w:rPr>
          <w:color w:val="231f20"/>
          <w:w w:val="85"/>
        </w:rPr>
        <w:t>Result</w:t>
      </w:r>
      <w:r>
        <w:rPr>
          <w:color w:val="231f20"/>
          <w:spacing w:val="46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46"/>
          <w:w w:val="85"/>
        </w:rPr>
        <w:t xml:space="preserve"> </w:t>
      </w:r>
      <w:r>
        <w:rPr>
          <w:color w:val="231f20"/>
          <w:w w:val="85"/>
        </w:rPr>
        <w:t>Discussion.</w:t>
      </w:r>
    </w:p>
    <w:p>
      <w:pPr>
        <w:pStyle w:val="style2"/>
        <w:numPr>
          <w:ilvl w:val="1"/>
          <w:numId w:val="1"/>
        </w:numPr>
        <w:tabs>
          <w:tab w:val="left" w:leader="none" w:pos="385"/>
        </w:tabs>
        <w:jc w:val="both"/>
        <w:rPr>
          <w:color w:val="231f20"/>
        </w:rPr>
      </w:pPr>
      <w:r>
        <w:rPr>
          <w:color w:val="231f20"/>
          <w:w w:val="90"/>
        </w:rPr>
        <w:t>Mineral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Coal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Mining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Dispute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Reso-</w:t>
      </w:r>
      <w:r>
        <w:rPr>
          <w:color w:val="231f20"/>
          <w:spacing w:val="-55"/>
          <w:w w:val="90"/>
        </w:rPr>
        <w:t xml:space="preserve"> </w:t>
      </w:r>
      <w:r>
        <w:rPr>
          <w:color w:val="231f20"/>
        </w:rPr>
        <w:t>lution</w:t>
      </w:r>
    </w:p>
    <w:p>
      <w:pPr>
        <w:pStyle w:val="style66"/>
        <w:spacing w:before="54"/>
        <w:ind w:right="118"/>
        <w:rPr/>
      </w:pPr>
      <w:r>
        <w:rPr>
          <w:color w:val="231f20"/>
          <w:spacing w:val="-1"/>
        </w:rPr>
        <w:t>Mining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business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Indonesia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Article 33 Paragraph (3) of the Law of the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Republic of Indonesia has regulated that the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0"/>
        </w:rPr>
        <w:t>earth, water, and natural resources contained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therein are controlled by the State to realize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its goal, namely the welfare of the people.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owned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Article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33</w:t>
      </w:r>
    </w:p>
    <w:p>
      <w:pPr>
        <w:pStyle w:val="style0"/>
        <w:rPr/>
        <w:sectPr>
          <w:pgSz w:w="11910" w:h="16840" w:orient="portrait"/>
          <w:pgMar w:top="1560" w:right="1580" w:bottom="1340" w:left="1600" w:header="1171" w:footer="1142" w:gutter="0"/>
          <w:cols w:equalWidth="0" w:space="720" w:num="2">
            <w:col w:w="4275" w:space="97"/>
            <w:col w:w="4358"/>
          </w:cols>
        </w:sectPr>
      </w:pPr>
    </w:p>
    <w:p>
      <w:pPr>
        <w:pStyle w:val="style66"/>
        <w:spacing w:before="85"/>
        <w:ind w:right="39" w:firstLine="0"/>
        <w:rPr/>
      </w:pPr>
      <w:r>
        <w:rPr>
          <w:color w:val="231f20"/>
        </w:rPr>
        <w:t>Paragraph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(3)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Republic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Indonesia, regarding control over its natural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resources,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provide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broad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interpretation.</w:t>
      </w:r>
    </w:p>
    <w:p>
      <w:pPr>
        <w:pStyle w:val="style66"/>
        <w:spacing w:before="52"/>
        <w:rPr/>
      </w:pP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confirmed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phrase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control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interpreted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Constitutional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Court in Decision Number 001-021-022/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PUU-I/2003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December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21,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2004,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name-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ly: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definition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controlled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become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constitution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the State of Indonesia means that the peop-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le collectiv</w:t>
      </w:r>
      <w:r>
        <w:rPr>
          <w:color w:val="231f20"/>
          <w:w w:val="95"/>
        </w:rPr>
        <w:t>ely give a mandate to the state to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make policies, management actions, regula-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tion, management, and supervision of natu-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ral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resources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territory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achieve its goals, specifically for the prospe-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spacing w:val="-1"/>
        </w:rPr>
        <w:t>rity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people,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five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meanings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control,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State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Indonesia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exercise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monopoly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wealth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its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natural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resour-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ces.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concept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state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control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works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when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five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functions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separated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one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them is missing. All of which must be carried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state.</w:t>
      </w:r>
    </w:p>
    <w:p>
      <w:pPr>
        <w:pStyle w:val="style66"/>
        <w:spacing w:before="28"/>
        <w:rPr/>
      </w:pPr>
      <w:r>
        <w:rPr>
          <w:color w:val="231f20"/>
          <w:w w:val="95"/>
        </w:rPr>
        <w:t>State power over natural resources in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practice can be seen from the interpretation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 one of the laws and regulations governing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0"/>
        </w:rPr>
        <w:t xml:space="preserve">natural resources such as </w:t>
      </w:r>
      <w:r>
        <w:rPr>
          <w:color w:val="231f20"/>
          <w:w w:val="90"/>
        </w:rPr>
        <w:t>the issuance of laws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mineral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coal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mining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sector.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Law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the Republic of Indonesia Number 4 of 2009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concerning Mineral and Coal Mining is a new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regime for mineral and coal mining business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no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longer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through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contract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but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rat-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her through a licensing system, both Mining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 xml:space="preserve">Business License </w:t>
      </w:r>
      <w:r>
        <w:rPr>
          <w:color w:val="231f20"/>
        </w:rPr>
        <w:t>(hereinafter called IUP),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Special Mining Business License (hereinafter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called IUPK) and Community Mining License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(hereinafter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called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IPR).</w:t>
      </w:r>
    </w:p>
    <w:p>
      <w:pPr>
        <w:pStyle w:val="style66"/>
        <w:spacing w:before="35"/>
        <w:rPr/>
      </w:pPr>
      <w:r>
        <w:rPr>
          <w:color w:val="231f20"/>
        </w:rPr>
        <w:t>Article 154 of the Law of the Repub-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lic of Indonesia Nu</w:t>
      </w:r>
      <w:r>
        <w:rPr>
          <w:color w:val="231f20"/>
        </w:rPr>
        <w:t>mber 4 of 2009 concer-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ning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Mineral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Mining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regulated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dispute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resolution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implementation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IUP, IPR, or IUPK in the mineral and coal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mining sector to be resolved through do-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mestic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courts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arbitration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with the provisions of laws and regulations.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However,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Ahmad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Redi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opinion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(Redi 2016): Dispute settlement in Law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of the Republic of Indonesia Number 4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2009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concerning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Mineral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Mining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not regulated only in Article 154 of Law of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Republic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Indonesia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Number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4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2009</w:t>
      </w:r>
    </w:p>
    <w:p>
      <w:pPr>
        <w:pStyle w:val="style66"/>
        <w:spacing w:before="85"/>
        <w:ind w:right="0" w:firstLine="0"/>
        <w:rPr/>
      </w:pPr>
      <w:r>
        <w:br w:type="column"/>
      </w:r>
      <w:r>
        <w:rPr>
          <w:color w:val="231f20"/>
        </w:rPr>
        <w:t>concerning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Mineral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Mining.</w:t>
      </w:r>
    </w:p>
    <w:p>
      <w:pPr>
        <w:pStyle w:val="style66"/>
        <w:spacing w:before="55"/>
        <w:ind w:right="116"/>
        <w:rPr/>
      </w:pPr>
      <w:r>
        <w:rPr>
          <w:color w:val="231f20"/>
        </w:rPr>
        <w:t>Mining operations through contracts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made by the Indonesian side with mining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entrepreneurs are based on Article 10 of the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 xml:space="preserve">Law of the </w:t>
      </w:r>
      <w:r>
        <w:rPr>
          <w:color w:val="231f20"/>
          <w:w w:val="95"/>
        </w:rPr>
        <w:t>Republic of Indonesia Number 11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of 1967 concerning Mining Principles, which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briefly explains that the Minister can appoint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other parties as contractors if necessary to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carry out works that are not can be imple-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mented by Government Agencies or State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Compan</w:t>
      </w:r>
      <w:r>
        <w:rPr>
          <w:color w:val="231f20"/>
        </w:rPr>
        <w:t>ies by entering into a work agree-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ment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contractor.</w:t>
      </w:r>
    </w:p>
    <w:p>
      <w:pPr>
        <w:pStyle w:val="style66"/>
        <w:spacing w:before="40"/>
        <w:ind w:right="116"/>
        <w:rPr/>
      </w:pPr>
      <w:r>
        <w:rPr>
          <w:color w:val="231f20"/>
        </w:rPr>
        <w:t>Business entities in the form of cont-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racts both Contract of Work (hereinafter cal-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led KK) and Coal Mining Concession Work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Agreement (hereinafter called PKP2B) expi-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re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specified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contract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expires. The contractor can stop the mining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business at any time if it is not profitable af-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ter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fulfilling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its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obligations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contract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the Indonesian governmen</w:t>
      </w:r>
      <w:r>
        <w:rPr>
          <w:color w:val="231f20"/>
          <w:w w:val="95"/>
        </w:rPr>
        <w:t>t can terminate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contract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unilaterally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contractor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fails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carry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out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his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obligations,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including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pay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spacing w:val="-1"/>
          <w:w w:val="95"/>
        </w:rPr>
        <w:t>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fixed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fee,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tax,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Exploration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fee</w:t>
      </w:r>
      <w:r>
        <w:rPr>
          <w:color w:val="231f20"/>
          <w:spacing w:val="40"/>
          <w:w w:val="95"/>
        </w:rPr>
        <w:t xml:space="preserve"> </w:t>
      </w:r>
      <w:r>
        <w:rPr>
          <w:color w:val="231f20"/>
          <w:w w:val="95"/>
        </w:rPr>
        <w:t>(Trihastuti</w:t>
      </w:r>
      <w:r>
        <w:rPr>
          <w:color w:val="231f20"/>
          <w:spacing w:val="-62"/>
          <w:w w:val="95"/>
        </w:rPr>
        <w:t xml:space="preserve"> </w:t>
      </w:r>
      <w:r>
        <w:rPr>
          <w:color w:val="231f20"/>
        </w:rPr>
        <w:t>2013).</w:t>
      </w:r>
    </w:p>
    <w:p>
      <w:pPr>
        <w:pStyle w:val="style66"/>
        <w:spacing w:before="37"/>
        <w:ind w:right="116"/>
        <w:rPr/>
      </w:pPr>
      <w:r>
        <w:rPr>
          <w:color w:val="231f20"/>
          <w:w w:val="95"/>
        </w:rPr>
        <w:t>The existence of a business entity hol-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ding a contract in mineral and coal mining</w:t>
      </w:r>
      <w:r>
        <w:rPr>
          <w:color w:val="231f20"/>
          <w:spacing w:val="-66"/>
        </w:rPr>
        <w:t xml:space="preserve"> </w:t>
      </w:r>
      <w:r>
        <w:rPr>
          <w:color w:val="231f20"/>
          <w:w w:val="90"/>
        </w:rPr>
        <w:t>business refers to Article 169 Paragraph (a) of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Law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Republic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Indonesia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Number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4 of 2009 concerning Mineral and Coal Mi-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ning.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KK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PKP2B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existed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before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enactment of Law of the Republic of Indo-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nesia Number 4 of 2009 concerning Mineral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and Coal Mining remains in effect until the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expiration of the contract/agreement. While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Republic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Indonesia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Num-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ber 4 of 2009 concerning Mineral and Coal</w:t>
      </w:r>
      <w:r>
        <w:rPr>
          <w:color w:val="231f20"/>
          <w:spacing w:val="-66"/>
        </w:rPr>
        <w:t xml:space="preserve"> </w:t>
      </w:r>
      <w:r>
        <w:rPr>
          <w:color w:val="231f20"/>
          <w:spacing w:val="-1"/>
        </w:rPr>
        <w:t>Mining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does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not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regulate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dispute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resolution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against business entities holding contracts,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KK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PKP2B.</w:t>
      </w:r>
    </w:p>
    <w:p>
      <w:pPr>
        <w:pStyle w:val="style66"/>
        <w:spacing w:before="33"/>
        <w:ind w:right="117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page">
                  <wp:posOffset>1080135</wp:posOffset>
                </wp:positionH>
                <wp:positionV relativeFrom="paragraph">
                  <wp:posOffset>1944369</wp:posOffset>
                </wp:positionV>
                <wp:extent cx="114300" cy="114300"/>
                <wp:effectExtent l="0" t="0" r="0" b="0"/>
                <wp:wrapNone/>
                <wp:docPr id="1040" name="WordArt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300" cy="114300"/>
                        </a:xfrm>
                        <a:prstGeom prst="rect"/>
                      </wps:spPr>
                      <wps:txbx id="1040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rFonts w:ascii="Wingdings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color w:val="231f20"/>
                                <w:sz w:val="18"/>
                                <w:szCs w:val="18"/>
                              </w:rPr>
                              <w:t></w:t>
                            </w:r>
                          </w:p>
                        </w:txbxContent>
                      </wps:txbx>
                      <wps:bodyPr wrap="square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40" filled="f" stroked="f" style="position:absolute;margin-left:85.05pt;margin-top:153.1pt;width:9.0pt;height:9.0pt;z-index:6;mso-position-horizontal-relative:page;mso-position-vertical-relative:text;mso-width-percent:0;mso-height-percent:0;mso-width-relative:page;mso-height-relative:page;mso-wrap-distance-left:0.0pt;mso-wrap-distance-right:0.0pt;visibility:visible;rotation:-11796480fd;">
                <v:fill/>
                <v:textbox style="mso-fit-shape-to-text:true;">
                  <w:txbxContent>
                    <w:p>
                      <w:pPr>
                        <w:pStyle w:val="style0"/>
                        <w:jc w:val="center"/>
                        <w:rPr>
                          <w:rFonts w:ascii="Wingdings"/>
                          <w:color w:val="231f2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cs="Times New Roman" w:hAnsi="Times New Roman"/>
                          <w:color w:val="231f20"/>
                          <w:sz w:val="18"/>
                          <w:szCs w:val="18"/>
                        </w:rPr>
                        <w:t>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231f20"/>
          <w:w w:val="95"/>
        </w:rPr>
        <w:t>Business entities holding contracts in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the mining sector are also based on Article 8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Law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Republic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Indonesia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Num-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ber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1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1967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concerning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Foreign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Investment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spacing w:val="-1"/>
          <w:w w:val="95"/>
        </w:rPr>
        <w:t>which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briefly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explains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foreign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investment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mining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sector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KK or other forms following the laws and re-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gulations. Legislation in the mining sector as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regulated in the general provisions of Law</w:t>
      </w:r>
      <w:r>
        <w:rPr>
          <w:color w:val="231f20"/>
          <w:w w:val="95"/>
        </w:rPr>
        <w:t xml:space="preserve"> of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Republic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Indonesia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Number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3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2020</w:t>
      </w:r>
    </w:p>
    <w:p>
      <w:pPr>
        <w:pStyle w:val="style0"/>
        <w:rPr/>
        <w:sectPr>
          <w:pgSz w:w="11910" w:h="16840" w:orient="portrait"/>
          <w:pgMar w:top="1560" w:right="1580" w:bottom="1340" w:left="1600" w:header="1160" w:footer="1142" w:gutter="0"/>
          <w:cols w:equalWidth="0" w:space="720" w:num="2">
            <w:col w:w="4275" w:space="97"/>
            <w:col w:w="4358"/>
          </w:cols>
        </w:sectPr>
      </w:pPr>
    </w:p>
    <w:p>
      <w:pPr>
        <w:pStyle w:val="style66"/>
        <w:spacing w:before="85"/>
        <w:ind w:firstLine="0"/>
        <w:rPr/>
      </w:pPr>
      <w:r>
        <w:rPr>
          <w:color w:val="231f20"/>
        </w:rPr>
        <w:t>concerning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Amendments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Re-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public of Indonesia and Number 4 of 2009</w:t>
      </w:r>
      <w:r>
        <w:rPr>
          <w:color w:val="231f20"/>
          <w:spacing w:val="-66"/>
        </w:rPr>
        <w:t xml:space="preserve"> </w:t>
      </w:r>
      <w:r>
        <w:rPr>
          <w:color w:val="231f20"/>
          <w:spacing w:val="-1"/>
        </w:rPr>
        <w:t>concerning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Mineral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Mining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ex-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plained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existence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form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PKP2B.</w:t>
      </w:r>
    </w:p>
    <w:p>
      <w:pPr>
        <w:pStyle w:val="style66"/>
        <w:spacing w:before="51"/>
        <w:rPr/>
      </w:pPr>
      <w:r>
        <w:rPr>
          <w:color w:val="231f20"/>
        </w:rPr>
        <w:t>Article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Republic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Indonesia Number 25 of 2007 concerning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Investment no longer distinguishes capital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originating from domestic or foreign. In ad-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dition, Article 32 of Law of the Republic of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Indonesia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Number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25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2007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Investment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regulates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dispute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investment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occurs.</w:t>
      </w:r>
    </w:p>
    <w:p>
      <w:pPr>
        <w:pStyle w:val="style66"/>
        <w:spacing w:before="46"/>
        <w:rPr/>
      </w:pPr>
      <w:r>
        <w:rPr>
          <w:color w:val="231f20"/>
        </w:rPr>
        <w:t>In brief, Article 32 of the Law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Republic of Indonesia Number 25 of 2007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concerning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Investment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follows:</w:t>
      </w:r>
    </w:p>
    <w:p>
      <w:pPr>
        <w:pStyle w:val="style179"/>
        <w:numPr>
          <w:ilvl w:val="2"/>
          <w:numId w:val="1"/>
        </w:numPr>
        <w:tabs>
          <w:tab w:val="left" w:leader="none" w:pos="668"/>
        </w:tabs>
        <w:spacing w:lineRule="auto" w:line="237"/>
        <w:jc w:val="both"/>
        <w:rPr/>
      </w:pPr>
      <w:r>
        <w:rPr>
          <w:color w:val="231f20"/>
        </w:rPr>
        <w:t>If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dispute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investment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investor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occurs,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shall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resolve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dispute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deliberation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consensus;</w:t>
      </w:r>
    </w:p>
    <w:p>
      <w:pPr>
        <w:pStyle w:val="style179"/>
        <w:numPr>
          <w:ilvl w:val="2"/>
          <w:numId w:val="1"/>
        </w:numPr>
        <w:tabs>
          <w:tab w:val="left" w:leader="none" w:pos="668"/>
        </w:tabs>
        <w:spacing w:before="1"/>
        <w:jc w:val="both"/>
        <w:rPr/>
      </w:pPr>
      <w:r>
        <w:rPr>
          <w:color w:val="231f20"/>
        </w:rPr>
        <w:t>If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dispute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resolution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deliberation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consensus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reached, the dispute resolution can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 carried out through arbitration or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alternative dispute resolution or court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in accordance with the provisions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legislation;</w:t>
      </w:r>
    </w:p>
    <w:p>
      <w:pPr>
        <w:pStyle w:val="style179"/>
        <w:numPr>
          <w:ilvl w:val="2"/>
          <w:numId w:val="1"/>
        </w:numPr>
        <w:tabs>
          <w:tab w:val="left" w:leader="none" w:pos="668"/>
        </w:tabs>
        <w:spacing w:lineRule="auto" w:line="237"/>
        <w:jc w:val="both"/>
        <w:rPr/>
      </w:pPr>
      <w:r>
        <w:rPr>
          <w:color w:val="231f20"/>
        </w:rPr>
        <w:t>If a dispute in the investment sector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domestic investor occurs, the parties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resolve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dispute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arbitration based on the agreement of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parties,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1"/>
          <w:w w:val="95"/>
        </w:rPr>
        <w:t>and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1"/>
          <w:w w:val="95"/>
        </w:rPr>
        <w:t>if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spacing w:val="-1"/>
          <w:w w:val="95"/>
        </w:rPr>
        <w:t>dis</w:t>
      </w:r>
      <w:r>
        <w:rPr>
          <w:color w:val="231f20"/>
          <w:spacing w:val="-1"/>
          <w:w w:val="95"/>
        </w:rPr>
        <w:t>pute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resolution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through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arbitration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agreed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upon,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the dispute resolution will be carried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court;</w:t>
      </w:r>
    </w:p>
    <w:p>
      <w:pPr>
        <w:pStyle w:val="style179"/>
        <w:numPr>
          <w:ilvl w:val="2"/>
          <w:numId w:val="1"/>
        </w:numPr>
        <w:tabs>
          <w:tab w:val="left" w:leader="none" w:pos="668"/>
        </w:tabs>
        <w:jc w:val="both"/>
        <w:rPr/>
      </w:pPr>
      <w:r>
        <w:rPr>
          <w:color w:val="231f20"/>
        </w:rPr>
        <w:t>If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dispute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field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investment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95"/>
        </w:rPr>
        <w:t>foreign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investor,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parties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will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-1"/>
          <w:w w:val="95"/>
        </w:rPr>
        <w:t>resolve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dispute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arbitration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agreed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upon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parties.</w:t>
      </w:r>
    </w:p>
    <w:p>
      <w:pPr>
        <w:pStyle w:val="style66"/>
        <w:spacing w:before="46"/>
        <w:rPr/>
      </w:pPr>
      <w:r>
        <w:rPr>
          <w:color w:val="231f20"/>
          <w:w w:val="95"/>
        </w:rPr>
        <w:t>The settlement of disputes in the field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investment,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both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domestic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foreign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ca-</w:t>
      </w:r>
      <w:r>
        <w:rPr>
          <w:color w:val="231f20"/>
          <w:spacing w:val="-62"/>
          <w:w w:val="95"/>
        </w:rPr>
        <w:t xml:space="preserve"> </w:t>
      </w:r>
      <w:r>
        <w:rPr>
          <w:color w:val="231f20"/>
        </w:rPr>
        <w:t>pital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done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deliberation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consensus before going through the courts.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However,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deliberation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consensus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not reached, it is recommended to resolve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them through arbitration and other alterna-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tive dispute resolution. In particular, dispute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spacing w:val="-1"/>
        </w:rPr>
        <w:t>resolution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domestic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investment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</w:t>
      </w:r>
      <w:r>
        <w:rPr>
          <w:color w:val="231f20"/>
        </w:rPr>
        <w:t>th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</w:p>
    <w:p>
      <w:pPr>
        <w:pStyle w:val="style66"/>
        <w:spacing w:before="85"/>
        <w:ind w:right="117" w:firstLine="0"/>
        <w:rPr/>
      </w:pPr>
      <w:r>
        <w:br w:type="column"/>
      </w:r>
      <w:r>
        <w:rPr>
          <w:color w:val="231f20"/>
          <w:w w:val="95"/>
        </w:rPr>
        <w:t>Indonesian government is resolved through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the courts, while foreign investment with the</w:t>
      </w:r>
      <w:r>
        <w:rPr>
          <w:color w:val="231f20"/>
          <w:spacing w:val="-64"/>
          <w:w w:val="95"/>
        </w:rPr>
        <w:t xml:space="preserve"> </w:t>
      </w:r>
      <w:r>
        <w:rPr>
          <w:color w:val="231f20"/>
          <w:spacing w:val="-1"/>
          <w:w w:val="95"/>
        </w:rPr>
        <w:t>Indonesian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government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settle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disputes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International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Arbitration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Institute.</w:t>
      </w:r>
    </w:p>
    <w:p>
      <w:pPr>
        <w:pStyle w:val="style66"/>
        <w:spacing w:before="51"/>
        <w:ind w:right="118"/>
        <w:rPr/>
      </w:pPr>
      <w:r>
        <w:rPr>
          <w:color w:val="231f20"/>
          <w:w w:val="95"/>
        </w:rPr>
        <w:t>The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complexity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mining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disputes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0"/>
        </w:rPr>
        <w:t>as criminal, state administrative disputes, sta-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te administrative disputes, and civil disputes,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are not only disputes between business enti-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ties and the mining community, but can also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be disputes between local governments and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the central government, disp</w:t>
      </w:r>
      <w:r>
        <w:rPr>
          <w:color w:val="231f20"/>
          <w:w w:val="95"/>
        </w:rPr>
        <w:t>utes between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the government and their own business en-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tities.</w:t>
      </w:r>
    </w:p>
    <w:p>
      <w:pPr>
        <w:pStyle w:val="style66"/>
        <w:spacing w:before="43"/>
        <w:ind w:right="116"/>
        <w:rPr/>
      </w:pPr>
      <w:r>
        <w:rPr>
          <w:color w:val="231f20"/>
        </w:rPr>
        <w:t>Mineral and coal mining business be-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fore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issuance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Republic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Indonesia Number 4 of 2009 concerning Mi-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neral and Coal Mining was in the form of a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contract, either a Contract of Work or a Coal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Mining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Concession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Agreement.</w:t>
      </w:r>
    </w:p>
    <w:p>
      <w:pPr>
        <w:pStyle w:val="style66"/>
        <w:spacing w:before="47"/>
        <w:ind w:right="116"/>
        <w:rPr/>
      </w:pPr>
      <w:r>
        <w:rPr>
          <w:color w:val="231f20"/>
        </w:rPr>
        <w:t>The main provisions of the Contract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Work and Coal Mining Concession Work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Agreement in one of the legal aspects of the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conflict can</w:t>
      </w:r>
      <w:r>
        <w:rPr>
          <w:color w:val="231f20"/>
          <w:w w:val="95"/>
        </w:rPr>
        <w:t xml:space="preserve"> be resolved peacefully. If it can-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not be solved in a peaceful way, it can be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 xml:space="preserve">fixed through </w:t>
      </w:r>
      <w:r>
        <w:rPr>
          <w:color w:val="231f20"/>
        </w:rPr>
        <w:t>the International Arbitration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institution, namely “The Uncitral Arbitration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Rules” set by the United Nations Organizati-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(UN)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(Bendar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2018).</w:t>
      </w:r>
    </w:p>
    <w:p>
      <w:pPr>
        <w:pStyle w:val="style66"/>
        <w:spacing w:before="43"/>
        <w:ind w:right="116"/>
        <w:rPr/>
      </w:pPr>
      <w:r>
        <w:rPr>
          <w:color w:val="231f20"/>
        </w:rPr>
        <w:t>The main provisions of the Contract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 Work and Coal Mining Concession Work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Agreement are clauses or contents enclosed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contract.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Contract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clauses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contained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Contract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Mining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Con-</w:t>
      </w:r>
      <w:r>
        <w:rPr>
          <w:color w:val="231f20"/>
          <w:spacing w:val="-67"/>
        </w:rPr>
        <w:t xml:space="preserve"> </w:t>
      </w:r>
      <w:r>
        <w:rPr>
          <w:color w:val="231f20"/>
          <w:spacing w:val="-1"/>
          <w:w w:val="95"/>
        </w:rPr>
        <w:t>cession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Work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Agreement,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business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en-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tity</w:t>
      </w:r>
      <w:r>
        <w:rPr>
          <w:color w:val="231f20"/>
          <w:w w:val="95"/>
        </w:rPr>
        <w:t xml:space="preserve"> holding the contract before the issuance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of Law of the Republic of Indonesia Number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4 of 2009 concerning Mineral and Coal Mi-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ning have been resolved through Internatio-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nal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Arbitration.</w:t>
      </w:r>
    </w:p>
    <w:p>
      <w:pPr>
        <w:pStyle w:val="style66"/>
        <w:spacing w:before="39"/>
        <w:ind w:right="117"/>
        <w:rPr/>
      </w:pPr>
      <w:r>
        <w:rPr>
          <w:color w:val="231f20"/>
        </w:rPr>
        <w:t>Settlement of disputes against mi-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ning business entities with types of licenses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(Mining-Business Licenses, Special Mining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Business Licenses, and Community Mining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Licenses) in accordance with the provisions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contained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Article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154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Law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Re-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Indonesia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2009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con-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cerning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Mineral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Mining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resolved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through Courts and Arbitration Institutions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domestic disputes. On the other hand, the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settlement</w:t>
      </w:r>
      <w:r>
        <w:rPr>
          <w:color w:val="231f20"/>
          <w:spacing w:val="2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disputes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against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mining</w:t>
      </w:r>
      <w:r>
        <w:rPr>
          <w:color w:val="231f20"/>
          <w:spacing w:val="30"/>
          <w:w w:val="95"/>
        </w:rPr>
        <w:t xml:space="preserve"> </w:t>
      </w:r>
      <w:r>
        <w:rPr>
          <w:color w:val="231f20"/>
          <w:w w:val="95"/>
        </w:rPr>
        <w:t>busi-</w:t>
      </w:r>
    </w:p>
    <w:p>
      <w:pPr>
        <w:pStyle w:val="style0"/>
        <w:rPr/>
        <w:sectPr>
          <w:pgSz w:w="11910" w:h="16840" w:orient="portrait"/>
          <w:pgMar w:top="1560" w:right="1580" w:bottom="1340" w:left="1600" w:header="1171" w:footer="1142" w:gutter="0"/>
          <w:cols w:equalWidth="0" w:space="720" w:num="2">
            <w:col w:w="4274" w:space="98"/>
            <w:col w:w="4358"/>
          </w:cols>
        </w:sectPr>
      </w:pPr>
    </w:p>
    <w:p>
      <w:pPr>
        <w:pStyle w:val="style66"/>
        <w:spacing w:before="85"/>
        <w:ind w:firstLine="0"/>
        <w:rPr/>
      </w:pPr>
      <w:r>
        <w:rPr>
          <w:color w:val="231f20"/>
          <w:w w:val="95"/>
        </w:rPr>
        <w:t>ness entities of the type of Contract of Work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and Coal Mining Concession Work Agree-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ments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shall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resolved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through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Interna-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tional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Arbitration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Institute.</w:t>
      </w:r>
    </w:p>
    <w:p>
      <w:pPr>
        <w:pStyle w:val="style2"/>
        <w:numPr>
          <w:ilvl w:val="1"/>
          <w:numId w:val="1"/>
        </w:numPr>
        <w:tabs>
          <w:tab w:val="left" w:leader="none" w:pos="385"/>
        </w:tabs>
        <w:ind w:right="356"/>
        <w:jc w:val="both"/>
        <w:rPr>
          <w:color w:val="231f20"/>
        </w:rPr>
      </w:pPr>
      <w:r>
        <w:rPr>
          <w:color w:val="231f20"/>
          <w:w w:val="85"/>
        </w:rPr>
        <w:t>The Implementation of International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95"/>
        </w:rPr>
        <w:t>Arbitration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Awards.</w:t>
      </w:r>
    </w:p>
    <w:p>
      <w:pPr>
        <w:pStyle w:val="style0"/>
        <w:spacing w:before="17" w:lineRule="auto" w:line="261"/>
        <w:ind w:left="100" w:right="38" w:firstLine="709"/>
        <w:jc w:val="both"/>
        <w:rPr>
          <w:sz w:val="20"/>
        </w:rPr>
      </w:pPr>
      <w:r>
        <w:rPr>
          <w:color w:val="231f20"/>
          <w:spacing w:val="-1"/>
          <w:w w:val="95"/>
          <w:sz w:val="20"/>
        </w:rPr>
        <w:t>International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spacing w:val="-1"/>
          <w:w w:val="95"/>
          <w:sz w:val="20"/>
        </w:rPr>
        <w:t>arbitration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is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the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opposite</w:t>
      </w:r>
      <w:r>
        <w:rPr>
          <w:color w:val="231f20"/>
          <w:spacing w:val="-15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of</w:t>
      </w:r>
      <w:r>
        <w:rPr>
          <w:color w:val="231f20"/>
          <w:spacing w:val="-5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national arbitration, which is a dispute resolution</w:t>
      </w:r>
      <w:r>
        <w:rPr>
          <w:color w:val="231f20"/>
          <w:spacing w:val="-5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carried out through arbitration bodies both inside</w:t>
      </w:r>
      <w:r>
        <w:rPr>
          <w:color w:val="231f20"/>
          <w:spacing w:val="-57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and outside the country where one of the parties</w:t>
      </w:r>
      <w:r>
        <w:rPr>
          <w:color w:val="231f20"/>
          <w:spacing w:val="-57"/>
          <w:w w:val="95"/>
          <w:sz w:val="20"/>
        </w:rPr>
        <w:t xml:space="preserve"> </w:t>
      </w:r>
      <w:r>
        <w:rPr>
          <w:color w:val="231f20"/>
          <w:sz w:val="20"/>
        </w:rPr>
        <w:t>has a different nationality or foreign element.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Foreign elements referred to in an arbitrati</w:t>
      </w:r>
      <w:r>
        <w:rPr>
          <w:color w:val="231f20"/>
          <w:sz w:val="20"/>
        </w:rPr>
        <w:t>on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agreement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are</w:t>
      </w:r>
      <w:r>
        <w:rPr>
          <w:color w:val="231f20"/>
          <w:spacing w:val="38"/>
          <w:sz w:val="20"/>
        </w:rPr>
        <w:t xml:space="preserve"> </w:t>
      </w:r>
      <w:r>
        <w:rPr>
          <w:color w:val="231f20"/>
          <w:sz w:val="20"/>
        </w:rPr>
        <w:t>(Purba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2013):</w:t>
      </w:r>
    </w:p>
    <w:p>
      <w:pPr>
        <w:pStyle w:val="style179"/>
        <w:numPr>
          <w:ilvl w:val="2"/>
          <w:numId w:val="1"/>
        </w:numPr>
        <w:tabs>
          <w:tab w:val="left" w:leader="none" w:pos="668"/>
        </w:tabs>
        <w:spacing w:lineRule="auto" w:line="237"/>
        <w:jc w:val="both"/>
        <w:rPr/>
      </w:pPr>
      <w:r>
        <w:rPr>
          <w:color w:val="231f20"/>
          <w:w w:val="95"/>
        </w:rPr>
        <w:t>The parties who make clauses or have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0"/>
        </w:rPr>
        <w:t>an arbitration agreement and have their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place of business in different countries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time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making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agreement;</w:t>
      </w:r>
    </w:p>
    <w:p>
      <w:pPr>
        <w:pStyle w:val="style179"/>
        <w:numPr>
          <w:ilvl w:val="2"/>
          <w:numId w:val="1"/>
        </w:numPr>
        <w:tabs>
          <w:tab w:val="left" w:leader="none" w:pos="668"/>
        </w:tabs>
        <w:jc w:val="both"/>
        <w:rPr/>
      </w:pPr>
      <w:r>
        <w:rPr>
          <w:color w:val="231f20"/>
        </w:rPr>
        <w:t>If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arbitration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specified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6"/>
        </w:rPr>
        <w:t xml:space="preserve"> </w:t>
      </w:r>
      <w:r>
        <w:rPr>
          <w:color w:val="231f20"/>
          <w:spacing w:val="-1"/>
        </w:rPr>
        <w:t xml:space="preserve">this arbitration </w:t>
      </w:r>
      <w:r>
        <w:rPr>
          <w:color w:val="231f20"/>
        </w:rPr>
        <w:t>agreement is located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outside the country where the parties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business;</w:t>
      </w:r>
    </w:p>
    <w:p>
      <w:pPr>
        <w:pStyle w:val="style179"/>
        <w:numPr>
          <w:ilvl w:val="2"/>
          <w:numId w:val="1"/>
        </w:numPr>
        <w:tabs>
          <w:tab w:val="left" w:leader="none" w:pos="668"/>
        </w:tabs>
        <w:spacing w:lineRule="auto" w:line="237"/>
        <w:ind w:right="39"/>
        <w:jc w:val="both"/>
        <w:rPr/>
      </w:pPr>
      <w:r>
        <w:rPr>
          <w:color w:val="231f20"/>
          <w:w w:val="95"/>
        </w:rPr>
        <w:t>If the place where the most important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0"/>
        </w:rPr>
        <w:t>part of the obligations or trade relations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-1"/>
          <w:w w:val="95"/>
        </w:rPr>
        <w:t>parties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must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carried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out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object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dispute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is most closely related is outside the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country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business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parties;</w:t>
      </w:r>
    </w:p>
    <w:p>
      <w:pPr>
        <w:pStyle w:val="style179"/>
        <w:numPr>
          <w:ilvl w:val="2"/>
          <w:numId w:val="1"/>
        </w:numPr>
        <w:tabs>
          <w:tab w:val="left" w:leader="none" w:pos="668"/>
        </w:tabs>
        <w:jc w:val="both"/>
        <w:rPr/>
      </w:pPr>
      <w:r>
        <w:rPr>
          <w:color w:val="231f20"/>
        </w:rPr>
        <w:t>If the parties have explicitly agreed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that the object of their arbitration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agreement relates to more than one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country.</w:t>
      </w:r>
    </w:p>
    <w:p>
      <w:pPr>
        <w:pStyle w:val="style66"/>
        <w:spacing w:before="42"/>
        <w:rPr/>
      </w:pPr>
      <w:r>
        <w:rPr>
          <w:color w:val="231f20"/>
          <w:w w:val="95"/>
        </w:rPr>
        <w:t>The interpretation of international ar-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bitral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awards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explicitly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explained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Indo-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nesian national law through Article 1 point 9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Law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Republic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Indonesia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Num-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ber 30 of 1999 concerning Arbitration and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 xml:space="preserve">Alternative Dispute Resolution. The </w:t>
      </w:r>
      <w:r>
        <w:rPr>
          <w:color w:val="231f20"/>
          <w:w w:val="95"/>
        </w:rPr>
        <w:t>decision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result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handed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down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arbitration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ins-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titution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individual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arbitrator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outside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jurisdiction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Republic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Indonesia,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6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decision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arbitration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institution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arbitrator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according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laws of the Republic of Indonesia is conside-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red an international arbitration award (Adolf,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Dasar-Dasar Prinsip dan Filosofi Arbitrase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2013).</w:t>
      </w:r>
    </w:p>
    <w:p>
      <w:pPr>
        <w:pStyle w:val="style66"/>
        <w:spacing w:before="33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page">
                  <wp:posOffset>1080135</wp:posOffset>
                </wp:positionH>
                <wp:positionV relativeFrom="paragraph">
                  <wp:posOffset>938530</wp:posOffset>
                </wp:positionV>
                <wp:extent cx="114300" cy="114300"/>
                <wp:effectExtent l="0" t="0" r="0" b="0"/>
                <wp:wrapNone/>
                <wp:docPr id="1041" name="WordArt 3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300" cy="114300"/>
                        </a:xfrm>
                        <a:prstGeom prst="rect"/>
                      </wps:spPr>
                      <wps:txbx id="1041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rFonts w:ascii="Wingdings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color w:val="231f20"/>
                                <w:sz w:val="18"/>
                                <w:szCs w:val="18"/>
                              </w:rPr>
                              <w:t></w:t>
                            </w:r>
                          </w:p>
                        </w:txbxContent>
                      </wps:txbx>
                      <wps:bodyPr wrap="square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41" filled="f" stroked="f" style="position:absolute;margin-left:85.05pt;margin-top:73.9pt;width:9.0pt;height:9.0pt;z-index:7;mso-position-horizontal-relative:page;mso-position-vertical-relative:text;mso-width-percent:0;mso-height-percent:0;mso-width-relative:page;mso-height-relative:page;mso-wrap-distance-left:0.0pt;mso-wrap-distance-right:0.0pt;visibility:visible;rotation:-11796480fd;">
                <v:fill/>
                <v:textbox style="mso-fit-shape-to-text:true;">
                  <w:txbxContent>
                    <w:p>
                      <w:pPr>
                        <w:pStyle w:val="style0"/>
                        <w:jc w:val="center"/>
                        <w:rPr>
                          <w:rFonts w:ascii="Wingdings"/>
                          <w:color w:val="231f2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cs="Times New Roman" w:hAnsi="Times New Roman"/>
                          <w:color w:val="231f20"/>
                          <w:sz w:val="18"/>
                          <w:szCs w:val="18"/>
                        </w:rPr>
                        <w:t>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231f20"/>
          <w:w w:val="95"/>
        </w:rPr>
        <w:t>The final and binding international ar-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bitration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award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accordance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pro-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visions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source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engagement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Indonesia,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namely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Article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1320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Civil</w:t>
      </w:r>
    </w:p>
    <w:p>
      <w:pPr>
        <w:pStyle w:val="style66"/>
        <w:spacing w:before="85"/>
        <w:ind w:right="117" w:firstLine="0"/>
        <w:rPr/>
      </w:pPr>
      <w:r>
        <w:br w:type="column"/>
      </w:r>
      <w:r>
        <w:rPr>
          <w:color w:val="231f20"/>
          <w:spacing w:val="-1"/>
        </w:rPr>
        <w:t>Code (Burgerlijk Wetboek Voor Indonesie),</w:t>
      </w:r>
      <w:r>
        <w:rPr>
          <w:color w:val="231f20"/>
          <w:spacing w:val="-66"/>
        </w:rPr>
        <w:t xml:space="preserve"> </w:t>
      </w:r>
      <w:r>
        <w:rPr>
          <w:color w:val="231f20"/>
          <w:spacing w:val="-1"/>
        </w:rPr>
        <w:t>states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conditions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valid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agree-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ment must meet several conditions, such 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an agreement between the parties, the par-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ties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carry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out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legal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actions,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agreements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regarding certain matters, and the object of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the agreement must be about causes that are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lawful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violate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law.</w:t>
      </w:r>
    </w:p>
    <w:p>
      <w:pPr>
        <w:pStyle w:val="style66"/>
        <w:spacing w:before="45"/>
        <w:ind w:right="117"/>
        <w:rPr/>
      </w:pPr>
      <w:r>
        <w:rPr>
          <w:color w:val="231f20"/>
          <w:w w:val="95"/>
        </w:rPr>
        <w:t>Based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Objective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Terms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regu-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lated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Article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1320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Civil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reviewed according to Article 5 of the Law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Republic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Indonesia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1999 concerning Arbitration and Alternative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Dispute Resolution, disputes that can be re-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solved through arbitration are only d</w:t>
      </w:r>
      <w:r>
        <w:rPr>
          <w:color w:val="231f20"/>
          <w:w w:val="95"/>
        </w:rPr>
        <w:t>isputes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in the trade sector and the ones regarding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rights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according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laws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regulations are fully controlled by the dis-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puting parties. Instead, disputes that cannot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be resolved through arbitration are disputes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which according to the laws and regulations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reconciled.</w:t>
      </w:r>
    </w:p>
    <w:p>
      <w:pPr>
        <w:pStyle w:val="style66"/>
        <w:spacing w:before="35"/>
        <w:ind w:right="117"/>
        <w:rPr/>
      </w:pPr>
      <w:r>
        <w:rPr>
          <w:color w:val="231f20"/>
        </w:rPr>
        <w:t>Article 67 of the Law of the Republic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of Indonesia Number 30 of 1999 concerning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Arbitration and Alternative Dispute Resoluti-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on. The submission of the application for the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implementation of the International Arbitra-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tion Award must enclose the original sheet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or an authentic copy of the International Ar-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bitration Award, the original sheet or an aut-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 xml:space="preserve">hentic copy of the agreement </w:t>
      </w:r>
      <w:r>
        <w:rPr>
          <w:color w:val="231f20"/>
          <w:w w:val="95"/>
        </w:rPr>
        <w:t>that forms the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basis of the International Arbitration Award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which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basis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provisions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regarding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the authentication of foreign documents, the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official translation text in Indonesian, and a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statement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from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diplomatic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representative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Republic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Indonesia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country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where the International Arbitration Award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is stipulated, which states that the applicant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country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bound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agreement,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bi-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laterally and multilaterally with the Republic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of Indonesia regarding the recognition a</w:t>
      </w:r>
      <w:r>
        <w:rPr>
          <w:color w:val="231f20"/>
          <w:w w:val="95"/>
        </w:rPr>
        <w:t>nd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implementation of the International Arbitra-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Award.</w:t>
      </w:r>
    </w:p>
    <w:p>
      <w:pPr>
        <w:pStyle w:val="style66"/>
        <w:spacing w:before="22"/>
        <w:ind w:right="117"/>
        <w:rPr/>
      </w:pPr>
      <w:r>
        <w:rPr>
          <w:color w:val="231f20"/>
        </w:rPr>
        <w:t>An application for the implementati-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Arbitration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Indonesia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cannot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carried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presence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Central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Jakarta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District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Court.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Interna-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tional Arbitration Award is only recognized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enforced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jurisdiction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</w:t>
      </w:r>
    </w:p>
    <w:p>
      <w:pPr>
        <w:pStyle w:val="style0"/>
        <w:rPr/>
        <w:sectPr>
          <w:pgSz w:w="11910" w:h="16840" w:orient="portrait"/>
          <w:pgMar w:top="1560" w:right="1580" w:bottom="1340" w:left="1600" w:header="1160" w:footer="1142" w:gutter="0"/>
          <w:cols w:equalWidth="0" w:space="720" w:num="2">
            <w:col w:w="4275" w:space="97"/>
            <w:col w:w="4358"/>
          </w:cols>
        </w:sectPr>
      </w:pPr>
    </w:p>
    <w:p>
      <w:pPr>
        <w:pStyle w:val="style66"/>
        <w:spacing w:before="85"/>
        <w:ind w:firstLine="0"/>
        <w:rPr/>
      </w:pPr>
      <w:r>
        <w:rPr>
          <w:color w:val="231f20"/>
          <w:w w:val="95"/>
        </w:rPr>
        <w:t>Republic of Indonesia if it fulfills several con-</w:t>
      </w:r>
      <w:r>
        <w:rPr>
          <w:color w:val="231f20"/>
          <w:spacing w:val="-64"/>
          <w:w w:val="95"/>
        </w:rPr>
        <w:t xml:space="preserve"> </w:t>
      </w:r>
      <w:r>
        <w:rPr>
          <w:color w:val="231f20"/>
          <w:w w:val="95"/>
        </w:rPr>
        <w:t>ditions. Article 66 of the Law of the Republic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of Indonesia Number 30 of 1999 concerni</w:t>
      </w:r>
      <w:r>
        <w:rPr>
          <w:color w:val="231f20"/>
          <w:w w:val="95"/>
        </w:rPr>
        <w:t>ng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Arbitration and Alternative Dispute Resoluti-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on.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are:</w:t>
      </w:r>
    </w:p>
    <w:p>
      <w:pPr>
        <w:pStyle w:val="style179"/>
        <w:numPr>
          <w:ilvl w:val="0"/>
          <w:numId w:val="3"/>
        </w:numPr>
        <w:tabs>
          <w:tab w:val="left" w:leader="none" w:pos="668"/>
        </w:tabs>
        <w:spacing w:lineRule="auto" w:line="237"/>
        <w:jc w:val="both"/>
        <w:rPr/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decision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rendered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arbitrator</w:t>
      </w:r>
      <w:r>
        <w:rPr>
          <w:color w:val="231f20"/>
          <w:spacing w:val="69"/>
        </w:rPr>
        <w:t xml:space="preserve"> </w:t>
      </w:r>
      <w:r>
        <w:rPr>
          <w:color w:val="231f20"/>
        </w:rPr>
        <w:t>or   arbitral   tribunal   in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country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116"/>
        </w:rPr>
        <w:t xml:space="preserve"> </w:t>
      </w:r>
      <w:r>
        <w:rPr>
          <w:color w:val="231f20"/>
        </w:rPr>
        <w:t>Indonesia</w:t>
      </w:r>
      <w:r>
        <w:rPr>
          <w:color w:val="231f20"/>
          <w:spacing w:val="117"/>
        </w:rPr>
        <w:t xml:space="preserve"> </w:t>
      </w:r>
      <w:r>
        <w:rPr>
          <w:color w:val="231f20"/>
        </w:rPr>
        <w:t>bound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agreement,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68"/>
        </w:rPr>
        <w:t xml:space="preserve"> </w:t>
      </w:r>
      <w:r>
        <w:rPr>
          <w:color w:val="231f20"/>
        </w:rPr>
        <w:t>bilaterally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multilaterally,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regarding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recognition and implementation of the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International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Arbitration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Award;</w:t>
      </w:r>
    </w:p>
    <w:p>
      <w:pPr>
        <w:pStyle w:val="style179"/>
        <w:numPr>
          <w:ilvl w:val="0"/>
          <w:numId w:val="3"/>
        </w:numPr>
        <w:tabs>
          <w:tab w:val="left" w:leader="none" w:pos="668"/>
        </w:tabs>
        <w:ind w:right="39"/>
        <w:jc w:val="both"/>
        <w:rPr/>
      </w:pPr>
      <w:r>
        <w:rPr>
          <w:color w:val="231f20"/>
          <w:w w:val="95"/>
        </w:rPr>
        <w:t>The decision is in accordance with the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provisions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Indonesian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law,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including</w:t>
      </w:r>
      <w:r>
        <w:rPr>
          <w:color w:val="231f20"/>
          <w:spacing w:val="-62"/>
          <w:w w:val="95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scope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trade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law;</w:t>
      </w:r>
    </w:p>
    <w:p>
      <w:pPr>
        <w:pStyle w:val="style179"/>
        <w:numPr>
          <w:ilvl w:val="0"/>
          <w:numId w:val="3"/>
        </w:numPr>
        <w:tabs>
          <w:tab w:val="left" w:leader="none" w:pos="668"/>
        </w:tabs>
        <w:spacing w:lineRule="auto" w:line="237"/>
        <w:ind w:right="39"/>
        <w:jc w:val="both"/>
        <w:rPr/>
      </w:pPr>
      <w:r>
        <w:rPr>
          <w:color w:val="231f20"/>
          <w:w w:val="95"/>
        </w:rPr>
        <w:t>The decision can be implemented and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does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conflict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order;</w:t>
      </w:r>
    </w:p>
    <w:p>
      <w:pPr>
        <w:pStyle w:val="style179"/>
        <w:numPr>
          <w:ilvl w:val="0"/>
          <w:numId w:val="3"/>
        </w:numPr>
        <w:tabs>
          <w:tab w:val="left" w:leader="none" w:pos="668"/>
        </w:tabs>
        <w:jc w:val="both"/>
        <w:rPr/>
      </w:pPr>
      <w:r>
        <w:rPr>
          <w:color w:val="231f20"/>
        </w:rPr>
        <w:t>The decision can be implemented in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Indonesia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after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obtaining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exequatur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Central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Jakarta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Court,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and;</w:t>
      </w:r>
    </w:p>
    <w:p>
      <w:pPr>
        <w:pStyle w:val="style179"/>
        <w:numPr>
          <w:ilvl w:val="0"/>
          <w:numId w:val="3"/>
        </w:numPr>
        <w:tabs>
          <w:tab w:val="left" w:leader="none" w:pos="668"/>
        </w:tabs>
        <w:spacing w:lineRule="auto" w:line="237"/>
        <w:jc w:val="both"/>
        <w:rPr/>
      </w:pP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decision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concerning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Republic</w:t>
      </w:r>
      <w:r>
        <w:rPr>
          <w:color w:val="231f20"/>
          <w:spacing w:val="-66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Indonesia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party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 xml:space="preserve"> </w:t>
      </w:r>
      <w:r>
        <w:rPr>
          <w:color w:val="231f20"/>
          <w:w w:val="90"/>
        </w:rPr>
        <w:t>dispute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can</w:t>
      </w:r>
      <w:r>
        <w:rPr>
          <w:color w:val="231f20"/>
          <w:spacing w:val="-59"/>
          <w:w w:val="90"/>
        </w:rPr>
        <w:t xml:space="preserve"> </w:t>
      </w:r>
      <w:r>
        <w:rPr>
          <w:color w:val="231f20"/>
        </w:rPr>
        <w:t>only be implemented after obtaining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an exequatur from the Supreme Court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Republic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Indonesia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6"/>
        </w:rPr>
        <w:t xml:space="preserve"> </w:t>
      </w:r>
      <w:r>
        <w:rPr>
          <w:color w:val="231f20"/>
          <w:w w:val="90"/>
        </w:rPr>
        <w:t>delegated to the Central Jakarta District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Court.</w:t>
      </w:r>
    </w:p>
    <w:p>
      <w:pPr>
        <w:pStyle w:val="style66"/>
        <w:spacing w:before="56"/>
        <w:ind w:right="39"/>
        <w:rPr/>
      </w:pPr>
      <w:r>
        <w:rPr>
          <w:color w:val="231f20"/>
          <w:spacing w:val="-1"/>
        </w:rPr>
        <w:t xml:space="preserve">Some of the International </w:t>
      </w:r>
      <w:r>
        <w:rPr>
          <w:color w:val="231f20"/>
        </w:rPr>
        <w:t>Arbitration</w:t>
      </w:r>
      <w:r>
        <w:rPr>
          <w:color w:val="231f20"/>
          <w:spacing w:val="-66"/>
        </w:rPr>
        <w:t xml:space="preserve"> </w:t>
      </w:r>
      <w:r>
        <w:rPr>
          <w:color w:val="231f20"/>
          <w:spacing w:val="-1"/>
          <w:w w:val="95"/>
        </w:rPr>
        <w:t>Institutions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spacing w:val="-1"/>
          <w:w w:val="95"/>
        </w:rPr>
        <w:t>are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ICC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(The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International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Cham-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ber of Commerce), SIAC (Singapore Interna-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tional Arbitration Convention), UNCITRAL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(United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Nations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Commission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Internatio-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nal Trade Law), or ICSID (The International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Center For Settlement of Investment Dispu-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tes).</w:t>
      </w:r>
    </w:p>
    <w:p>
      <w:pPr>
        <w:pStyle w:val="style66"/>
        <w:spacing w:before="44"/>
        <w:rPr/>
      </w:pPr>
      <w:r>
        <w:rPr>
          <w:color w:val="231f20"/>
        </w:rPr>
        <w:t>ICC arbitration aims to promote in-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1"/>
        </w:rPr>
        <w:t xml:space="preserve">ernational trade </w:t>
      </w:r>
      <w:r>
        <w:rPr>
          <w:color w:val="231f20"/>
        </w:rPr>
        <w:t>throughout the world, for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providing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policies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sup-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port specifically to international organiza-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tions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governments.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SIAC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arbitration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62"/>
          <w:w w:val="95"/>
        </w:rPr>
        <w:t xml:space="preserve"> </w:t>
      </w:r>
      <w:r>
        <w:rPr>
          <w:color w:val="231f20"/>
          <w:w w:val="95"/>
        </w:rPr>
        <w:t>the context of resolving investment disputes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between countries, especially among Asian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countries according to the 1958 New York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convention. ICSID Arbitration is intended to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bridge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distance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between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parties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dispu-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0"/>
        </w:rPr>
        <w:t>tes in foreign investment cases and t</w:t>
      </w:r>
      <w:r>
        <w:rPr>
          <w:color w:val="231f20"/>
          <w:w w:val="90"/>
        </w:rPr>
        <w:t>o protect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capital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flows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developed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countries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veloping countries so that developing count-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ries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can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encourage</w:t>
      </w:r>
      <w:r>
        <w:rPr>
          <w:color w:val="231f20"/>
          <w:spacing w:val="9"/>
          <w:w w:val="95"/>
        </w:rPr>
        <w:t xml:space="preserve"> </w:t>
      </w:r>
      <w:r>
        <w:rPr>
          <w:color w:val="231f20"/>
          <w:w w:val="95"/>
        </w:rPr>
        <w:t>economic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growth</w:t>
      </w:r>
      <w:r>
        <w:rPr>
          <w:color w:val="231f20"/>
          <w:spacing w:val="10"/>
          <w:w w:val="95"/>
        </w:rPr>
        <w:t xml:space="preserve"> </w:t>
      </w:r>
      <w:r>
        <w:rPr>
          <w:color w:val="231f20"/>
          <w:w w:val="95"/>
        </w:rPr>
        <w:t>(Adolf,</w:t>
      </w:r>
    </w:p>
    <w:p>
      <w:pPr>
        <w:pStyle w:val="style66"/>
        <w:spacing w:before="85"/>
        <w:ind w:right="119" w:firstLine="0"/>
        <w:rPr/>
      </w:pPr>
      <w:r>
        <w:br w:type="column"/>
      </w:r>
      <w:r>
        <w:rPr>
          <w:color w:val="231f20"/>
          <w:w w:val="95"/>
        </w:rPr>
        <w:t>Arbitrase Komersial Internasional Edisi Revisi</w:t>
      </w:r>
      <w:r>
        <w:rPr>
          <w:color w:val="231f20"/>
          <w:spacing w:val="-64"/>
          <w:w w:val="95"/>
        </w:rPr>
        <w:t xml:space="preserve"> </w:t>
      </w:r>
      <w:r>
        <w:rPr>
          <w:color w:val="231f20"/>
        </w:rPr>
        <w:t>1993).</w:t>
      </w:r>
    </w:p>
    <w:p>
      <w:pPr>
        <w:pStyle w:val="style66"/>
        <w:spacing w:before="54"/>
        <w:ind w:right="117" w:firstLine="719"/>
        <w:rPr/>
      </w:pPr>
      <w:r>
        <w:rPr>
          <w:color w:val="231f20"/>
        </w:rPr>
        <w:t>The SIAC Arbitration Award accor-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ding to the general provisions of point 12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SIAC Rules 2016 is binding on the parties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from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date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was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made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undertakes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carry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award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delay.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The parties also irrevocably waive their right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form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appeal,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review,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recourse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62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State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court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judicial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authority.</w:t>
      </w:r>
    </w:p>
    <w:p>
      <w:pPr>
        <w:pStyle w:val="style66"/>
        <w:spacing w:before="44"/>
        <w:ind w:right="117" w:firstLine="719"/>
        <w:rPr/>
      </w:pPr>
      <w:r>
        <w:rPr>
          <w:color w:val="231f20"/>
          <w:w w:val="95"/>
        </w:rPr>
        <w:t>Besides existing on the SIAC Arbitra-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Rules,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binding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decision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also stated in Article 32 Paragraph (2) of the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UNCITRAL Arbitration Rules which briefly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states that the UNCITRAL arbitration award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is final and binding, and it is not permissible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for the parties to renege on their decision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which can have an impact on delaying the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decision.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Dealing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Arbitration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Insti-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tution ICSID, no arrangement of Arbitration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awards was found in the ICSID Arbitration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Rules. Referring to Article 25 of the ICSID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Convention,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Center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authorit</w:t>
      </w:r>
      <w:r>
        <w:rPr>
          <w:color w:val="231f20"/>
        </w:rPr>
        <w:t>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6"/>
        </w:rPr>
        <w:t xml:space="preserve"> </w:t>
      </w:r>
      <w:r>
        <w:rPr>
          <w:color w:val="231f20"/>
          <w:spacing w:val="-1"/>
        </w:rPr>
        <w:t>jurisdiction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only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cover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disputes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are directly caused by investments between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convention participants or subdivisions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agents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members.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Article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ICSID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briefly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states:</w:t>
      </w:r>
    </w:p>
    <w:p>
      <w:pPr>
        <w:pStyle w:val="style179"/>
        <w:numPr>
          <w:ilvl w:val="0"/>
          <w:numId w:val="2"/>
        </w:numPr>
        <w:tabs>
          <w:tab w:val="left" w:leader="none" w:pos="668"/>
        </w:tabs>
        <w:spacing w:lineRule="exact" w:line="237"/>
        <w:ind w:right="0"/>
        <w:jc w:val="both"/>
        <w:rPr/>
      </w:pPr>
      <w:r>
        <w:rPr>
          <w:color w:val="231f20"/>
        </w:rPr>
        <w:t>The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jurisdiction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Center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shall</w:t>
      </w:r>
    </w:p>
    <w:p>
      <w:pPr>
        <w:pStyle w:val="style66"/>
        <w:ind w:left="667" w:right="117" w:firstLine="0"/>
        <w:rPr/>
      </w:pPr>
      <w:r>
        <w:rPr>
          <w:color w:val="231f20"/>
        </w:rPr>
        <w:t>include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dispute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arising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directly from an investment between a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Contracting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State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subdivision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constituent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body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Contracting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State</w:t>
      </w:r>
      <w:r>
        <w:rPr>
          <w:color w:val="231f20"/>
          <w:spacing w:val="-62"/>
          <w:w w:val="95"/>
        </w:rPr>
        <w:t xml:space="preserve"> </w:t>
      </w:r>
      <w:r>
        <w:rPr>
          <w:color w:val="231f20"/>
          <w:w w:val="95"/>
        </w:rPr>
        <w:t>designated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State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Center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national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State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party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spacing w:val="-1"/>
        </w:rPr>
        <w:t>Agreements,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parties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dispute agree in writing to submit to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the Center. When the parties have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given their consent, neither party can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withdraw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their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consent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unilaterally;</w:t>
      </w:r>
    </w:p>
    <w:p>
      <w:pPr>
        <w:pStyle w:val="style179"/>
        <w:numPr>
          <w:ilvl w:val="0"/>
          <w:numId w:val="2"/>
        </w:numPr>
        <w:tabs>
          <w:tab w:val="left" w:leader="none" w:pos="668"/>
        </w:tabs>
        <w:spacing w:lineRule="exact" w:line="248"/>
        <w:ind w:right="0"/>
        <w:jc w:val="both"/>
        <w:rPr/>
      </w:pPr>
      <w:r>
        <w:rPr>
          <w:color w:val="231f20"/>
        </w:rPr>
        <w:t>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Contracting</w:t>
      </w:r>
    </w:p>
    <w:p>
      <w:pPr>
        <w:pStyle w:val="style66"/>
        <w:ind w:left="667" w:right="116" w:firstLine="0"/>
        <w:rPr/>
      </w:pPr>
      <w:r>
        <w:rPr>
          <w:color w:val="231f20"/>
          <w:spacing w:val="-1"/>
        </w:rPr>
        <w:t xml:space="preserve">State means that any natural </w:t>
      </w:r>
      <w:r>
        <w:rPr>
          <w:color w:val="231f20"/>
        </w:rPr>
        <w:t>person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who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nationality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Contracting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spacing w:val="-1"/>
        </w:rPr>
        <w:t>State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other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than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that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disputing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parties agree to submit the dispute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 conciliation or arbitration and 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 date on which the request it 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registered but does not include any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dates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held</w:t>
      </w:r>
    </w:p>
    <w:p>
      <w:pPr>
        <w:pStyle w:val="style0"/>
        <w:rPr/>
        <w:sectPr>
          <w:pgSz w:w="11910" w:h="16840" w:orient="portrait"/>
          <w:pgMar w:top="1560" w:right="1580" w:bottom="1340" w:left="1600" w:header="1171" w:footer="1142" w:gutter="0"/>
          <w:cols w:equalWidth="0" w:space="720" w:num="2">
            <w:col w:w="4275" w:space="97"/>
            <w:col w:w="4358"/>
          </w:cols>
        </w:sectPr>
      </w:pPr>
    </w:p>
    <w:p>
      <w:pPr>
        <w:pStyle w:val="style66"/>
        <w:spacing w:before="85"/>
        <w:ind w:left="667" w:firstLine="0"/>
        <w:rPr/>
      </w:pPr>
      <w:r>
        <w:rPr>
          <w:color w:val="231f20"/>
          <w:w w:val="95"/>
        </w:rPr>
        <w:t>the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nationality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State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Party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dispute;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entity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a national of a Contracting State other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spacing w:val="-1"/>
        </w:rPr>
        <w:t>than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State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party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dispute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66"/>
        </w:rPr>
        <w:t xml:space="preserve"> </w:t>
      </w:r>
      <w:r>
        <w:rPr>
          <w:color w:val="231f20"/>
          <w:w w:val="90"/>
        </w:rPr>
        <w:t>the date the parties agree to submit the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</w:rPr>
        <w:t>dispute to conciliation or arbitration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any legal entity which has the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nationality of the Contracting State of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the dispute on that date and which,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because foreign control, the parties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have agreed to be</w:t>
      </w:r>
      <w:r>
        <w:rPr>
          <w:color w:val="231f20"/>
          <w:w w:val="95"/>
        </w:rPr>
        <w:t xml:space="preserve"> treated as nationals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Contracting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purposes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Convention;</w:t>
      </w:r>
    </w:p>
    <w:p>
      <w:pPr>
        <w:pStyle w:val="style179"/>
        <w:numPr>
          <w:ilvl w:val="0"/>
          <w:numId w:val="2"/>
        </w:numPr>
        <w:tabs>
          <w:tab w:val="left" w:leader="none" w:pos="668"/>
        </w:tabs>
        <w:spacing w:lineRule="exact" w:line="245"/>
        <w:ind w:right="0"/>
        <w:jc w:val="both"/>
        <w:rPr/>
      </w:pPr>
      <w:r>
        <w:rPr>
          <w:color w:val="231f20"/>
        </w:rPr>
        <w:t>Approval    by    a    subdivision    or</w:t>
      </w:r>
    </w:p>
    <w:p>
      <w:pPr>
        <w:pStyle w:val="style66"/>
        <w:ind w:left="667" w:firstLine="0"/>
        <w:rPr/>
      </w:pPr>
      <w:r>
        <w:rPr>
          <w:color w:val="231f20"/>
          <w:w w:val="95"/>
        </w:rPr>
        <w:t>constituent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body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Contracting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State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shall require the consent of that State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unless that State notifies the Center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such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consent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required;</w:t>
      </w:r>
    </w:p>
    <w:p>
      <w:pPr>
        <w:pStyle w:val="style179"/>
        <w:numPr>
          <w:ilvl w:val="0"/>
          <w:numId w:val="2"/>
        </w:numPr>
        <w:tabs>
          <w:tab w:val="left" w:leader="none" w:pos="668"/>
        </w:tabs>
        <w:spacing w:lineRule="auto" w:line="237"/>
        <w:jc w:val="both"/>
        <w:rPr/>
      </w:pPr>
      <w:r>
        <w:rPr>
          <w:color w:val="231f20"/>
        </w:rPr>
        <w:t>Any Contracting State may, at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time of ratification, acceptance, 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approval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Convention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66"/>
        </w:rPr>
        <w:t xml:space="preserve"> </w:t>
      </w:r>
      <w:r>
        <w:rPr>
          <w:color w:val="231f20"/>
          <w:spacing w:val="-1"/>
          <w:w w:val="95"/>
        </w:rPr>
        <w:t>time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thereafter,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notify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Center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-1"/>
          <w:w w:val="95"/>
        </w:rPr>
        <w:t>of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class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class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disputes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submitting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jurisdiction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Centre.</w:t>
      </w:r>
    </w:p>
    <w:p>
      <w:pPr>
        <w:pStyle w:val="style66"/>
        <w:spacing w:before="58"/>
        <w:rPr/>
      </w:pPr>
      <w:r>
        <w:rPr>
          <w:color w:val="231f20"/>
        </w:rPr>
        <w:t>In addition to the ICSID Convention,</w:t>
      </w:r>
      <w:r>
        <w:rPr>
          <w:color w:val="231f20"/>
          <w:spacing w:val="-66"/>
        </w:rPr>
        <w:t xml:space="preserve"> </w:t>
      </w:r>
      <w:r>
        <w:rPr>
          <w:color w:val="231f20"/>
          <w:w w:val="90"/>
        </w:rPr>
        <w:t>the provisions of international law as the legal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basis for international arbitral awards are also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regulated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1958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New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York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Convention.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points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contained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1958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York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Convention include, among others, the mea-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ning of foreign arbitral awards which explain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arbitral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awards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made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terri</w:t>
      </w:r>
      <w:r>
        <w:rPr>
          <w:color w:val="231f20"/>
          <w:w w:val="95"/>
        </w:rPr>
        <w:t>tory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other</w:t>
      </w:r>
      <w:r>
        <w:rPr>
          <w:color w:val="231f20"/>
          <w:spacing w:val="-62"/>
          <w:w w:val="95"/>
        </w:rPr>
        <w:t xml:space="preserve"> </w:t>
      </w:r>
      <w:r>
        <w:rPr>
          <w:color w:val="231f20"/>
          <w:w w:val="95"/>
        </w:rPr>
        <w:t>countries from the country where the recog-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nition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execution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arbitral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award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spacing w:val="-1"/>
          <w:w w:val="95"/>
        </w:rPr>
        <w:t>requested,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1"/>
          <w:w w:val="95"/>
        </w:rPr>
        <w:t>principle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reciprocity,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restric-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0"/>
        </w:rPr>
        <w:t>tions as long as the trade dispute is in writing,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arbitration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absolute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competence,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arbitral award is final and binding, execution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is subject to ius sanguinus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(Harahap, Arbit-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rase ditinjau dari Reglement Acara Perdata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(Rv) Peraturan prosedur BANI International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Centre for the Settlement of investment dis-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putes (ICSID), UNCITRAL Arbitrati</w:t>
      </w:r>
      <w:r>
        <w:rPr>
          <w:color w:val="231f20"/>
          <w:w w:val="95"/>
        </w:rPr>
        <w:t>on Rules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Convention on The Recognition and Enfor-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cement of Foreign Arbitral Award Perma No.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tahun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1990,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2003).</w:t>
      </w:r>
    </w:p>
    <w:p>
      <w:pPr>
        <w:pStyle w:val="style66"/>
        <w:spacing w:before="22"/>
        <w:rPr/>
      </w:pPr>
      <w:r>
        <w:rPr>
          <w:noProof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page">
                  <wp:posOffset>1080135</wp:posOffset>
                </wp:positionH>
                <wp:positionV relativeFrom="paragraph">
                  <wp:posOffset>835659</wp:posOffset>
                </wp:positionV>
                <wp:extent cx="114300" cy="114300"/>
                <wp:effectExtent l="0" t="0" r="0" b="0"/>
                <wp:wrapNone/>
                <wp:docPr id="1042" name="WordArt 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4300" cy="114300"/>
                        </a:xfrm>
                        <a:prstGeom prst="rect"/>
                      </wps:spPr>
                      <wps:txbx id="1042">
                        <w:txbxContent>
                          <w:p>
                            <w:pPr>
                              <w:pStyle w:val="style0"/>
                              <w:jc w:val="center"/>
                              <w:rPr>
                                <w:rFonts w:ascii="Wingdings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cs="Times New Roman" w:hAnsi="Times New Roman"/>
                                <w:color w:val="231f20"/>
                                <w:sz w:val="18"/>
                                <w:szCs w:val="18"/>
                              </w:rPr>
                              <w:t></w:t>
                            </w:r>
                          </w:p>
                        </w:txbxContent>
                      </wps:txbx>
                      <wps:bodyPr wrap="square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42" filled="f" stroked="f" style="position:absolute;margin-left:85.05pt;margin-top:65.8pt;width:9.0pt;height:9.0pt;z-index:8;mso-position-horizontal-relative:page;mso-position-vertical-relative:text;mso-width-percent:0;mso-height-percent:0;mso-width-relative:page;mso-height-relative:page;mso-wrap-distance-left:0.0pt;mso-wrap-distance-right:0.0pt;visibility:visible;rotation:-11796480fd;">
                <v:fill/>
                <v:textbox style="mso-fit-shape-to-text:true;">
                  <w:txbxContent>
                    <w:p>
                      <w:pPr>
                        <w:pStyle w:val="style0"/>
                        <w:jc w:val="center"/>
                        <w:rPr>
                          <w:rFonts w:ascii="Wingdings"/>
                          <w:color w:val="231f2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cs="Times New Roman" w:hAnsi="Times New Roman"/>
                          <w:color w:val="231f20"/>
                          <w:sz w:val="18"/>
                          <w:szCs w:val="18"/>
                        </w:rPr>
                        <w:t>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231f20"/>
          <w:w w:val="95"/>
        </w:rPr>
        <w:t>Provisions of international law such as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Article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York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Convention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stipu-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lates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Contracting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State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(New</w:t>
      </w:r>
      <w:r>
        <w:rPr>
          <w:color w:val="231f20"/>
          <w:spacing w:val="12"/>
          <w:w w:val="95"/>
        </w:rPr>
        <w:t xml:space="preserve"> </w:t>
      </w:r>
      <w:r>
        <w:rPr>
          <w:color w:val="231f20"/>
          <w:w w:val="95"/>
        </w:rPr>
        <w:t>York</w:t>
      </w:r>
    </w:p>
    <w:p>
      <w:pPr>
        <w:pStyle w:val="style66"/>
        <w:spacing w:before="85"/>
        <w:ind w:right="117" w:firstLine="0"/>
        <w:rPr/>
      </w:pPr>
      <w:r>
        <w:br w:type="column"/>
      </w:r>
      <w:r>
        <w:rPr>
          <w:color w:val="231f20"/>
          <w:w w:val="95"/>
        </w:rPr>
        <w:t>Convention 1958) is obliged to recognize the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arbitral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award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binding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enforce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ac-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cordance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with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procedural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rules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ter-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ritory in which the award will be relied upon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 accordance with the conditions described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(Nugroho 2017). No more severe conditions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shall be imposed or the imposition of higher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costs in connection with the recognition and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enforcement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arbitral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awards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accordance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 xml:space="preserve">with the 1958 New York Convention, </w:t>
      </w:r>
      <w:r>
        <w:rPr>
          <w:color w:val="231f20"/>
        </w:rPr>
        <w:t>com-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pared to the conditions applied to the recog-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nition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enforcement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domestic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arbitral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awards (Adolf, Dasar-Dasar Prinsip dan Filo-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sofi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Arbitrase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2013)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.</w:t>
      </w:r>
    </w:p>
    <w:p>
      <w:pPr>
        <w:pStyle w:val="style66"/>
        <w:spacing w:before="35"/>
        <w:ind w:right="117"/>
        <w:rPr/>
      </w:pPr>
      <w:r>
        <w:rPr>
          <w:color w:val="231f20"/>
        </w:rPr>
        <w:t>The State of Indonesia is one of the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participants who participated in ratifying the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1958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York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Convention.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mar-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ked by the Decree of the President of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Republic of Indonesia Number 34 of 1981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concerning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ratification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Conventi-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on on the Recognition and Enforcement of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F</w:t>
      </w:r>
      <w:r>
        <w:rPr>
          <w:color w:val="231f20"/>
          <w:w w:val="95"/>
        </w:rPr>
        <w:t>oreign Arbitral Awards which was signed in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New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York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June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10,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1958,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and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has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entered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into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force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June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7,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1959</w:t>
      </w:r>
      <w:r>
        <w:rPr>
          <w:color w:val="231f20"/>
          <w:spacing w:val="63"/>
          <w:w w:val="95"/>
        </w:rPr>
        <w:t xml:space="preserve"> </w:t>
      </w:r>
      <w:r>
        <w:rPr>
          <w:color w:val="231f20"/>
          <w:w w:val="95"/>
        </w:rPr>
        <w:t>(Gautama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1986).</w:t>
      </w:r>
    </w:p>
    <w:p>
      <w:pPr>
        <w:pStyle w:val="style66"/>
        <w:spacing w:before="42"/>
        <w:ind w:right="117"/>
        <w:rPr/>
      </w:pPr>
      <w:r>
        <w:rPr>
          <w:color w:val="231f20"/>
        </w:rPr>
        <w:t>Based on Article 3 of the New York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Convention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above,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basically,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arbitration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award is in the nature of every request for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recognition and execution from one of the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participating countries to other country par-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ticipants. The execution must be carried out.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However, Article 5 of the New York Conven-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  <w:w w:val="95"/>
        </w:rPr>
        <w:t>tion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spacing w:val="-1"/>
          <w:w w:val="95"/>
        </w:rPr>
        <w:t>provides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possibility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participating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country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refuse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it.</w:t>
      </w:r>
    </w:p>
    <w:p>
      <w:pPr>
        <w:pStyle w:val="style66"/>
        <w:spacing w:before="42"/>
        <w:ind w:right="118"/>
        <w:rPr/>
      </w:pPr>
      <w:r>
        <w:rPr>
          <w:color w:val="231f20"/>
          <w:w w:val="95"/>
        </w:rPr>
        <w:t>In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brief,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several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reasons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refusal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regulated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Article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York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Con-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vention. The Arbitration Agreement is made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invalid in terms of the applicable law. The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parties authorized to make the arbitratio</w:t>
      </w:r>
      <w:r>
        <w:rPr>
          <w:color w:val="231f20"/>
          <w:w w:val="95"/>
        </w:rPr>
        <w:t>n or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the law in force in the country where the re-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spacing w:val="-1"/>
        </w:rPr>
        <w:t>quest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execution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requested,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parties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does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get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same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opportunity.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It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is reasonable to defend its interests. The ar-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bitration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award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handed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down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accor-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spacing w:val="-1"/>
        </w:rPr>
        <w:t>dance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1"/>
        </w:rPr>
        <w:t>affirmation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given.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arbit-</w:t>
      </w:r>
      <w:r>
        <w:rPr>
          <w:color w:val="231f20"/>
          <w:spacing w:val="-67"/>
        </w:rPr>
        <w:t xml:space="preserve"> </w:t>
      </w:r>
      <w:r>
        <w:rPr>
          <w:color w:val="231f20"/>
          <w:spacing w:val="-1"/>
        </w:rPr>
        <w:t>ration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enforcement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deviates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so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7"/>
        </w:rPr>
        <w:t xml:space="preserve"> </w:t>
      </w:r>
      <w:r>
        <w:rPr>
          <w:color w:val="231f20"/>
          <w:w w:val="95"/>
        </w:rPr>
        <w:t>following the procedures determined by the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parties in the agreement, and the arbitration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award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not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yet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binding</w:t>
      </w:r>
      <w:r>
        <w:rPr>
          <w:color w:val="231f20"/>
          <w:spacing w:val="56"/>
          <w:w w:val="95"/>
        </w:rPr>
        <w:t xml:space="preserve"> </w:t>
      </w:r>
      <w:r>
        <w:rPr>
          <w:color w:val="231f20"/>
          <w:w w:val="95"/>
        </w:rPr>
        <w:t>(Redi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2016).</w:t>
      </w:r>
    </w:p>
    <w:p>
      <w:pPr>
        <w:pStyle w:val="style0"/>
        <w:rPr/>
        <w:sectPr>
          <w:pgSz w:w="11910" w:h="16840" w:orient="portrait"/>
          <w:pgMar w:top="1560" w:right="1580" w:bottom="1340" w:left="1600" w:header="1160" w:footer="1142" w:gutter="0"/>
          <w:cols w:equalWidth="0" w:space="720" w:num="2">
            <w:col w:w="4275" w:space="97"/>
            <w:col w:w="4358"/>
          </w:cols>
        </w:sectPr>
      </w:pPr>
    </w:p>
    <w:p>
      <w:pPr>
        <w:pStyle w:val="style1"/>
        <w:numPr>
          <w:ilvl w:val="0"/>
          <w:numId w:val="1"/>
        </w:numPr>
        <w:tabs>
          <w:tab w:val="left" w:leader="none" w:pos="385"/>
        </w:tabs>
        <w:spacing w:before="80"/>
        <w:ind w:hanging="285"/>
        <w:jc w:val="both"/>
        <w:rPr/>
      </w:pPr>
      <w:r>
        <w:rPr>
          <w:color w:val="231f20"/>
        </w:rPr>
        <w:t>Conclusion</w:t>
      </w:r>
    </w:p>
    <w:p>
      <w:pPr>
        <w:pStyle w:val="style66"/>
        <w:spacing w:before="51"/>
        <w:rPr/>
      </w:pPr>
      <w:r>
        <w:rPr>
          <w:color w:val="231f20"/>
          <w:w w:val="95"/>
        </w:rPr>
        <w:t>The settlement of mineral and coal mi-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ning disputes is not only regulated in Article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spacing w:val="-1"/>
        </w:rPr>
        <w:t>154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1"/>
        </w:rPr>
        <w:t>Law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Republic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Indonesia</w:t>
      </w:r>
      <w:r>
        <w:rPr>
          <w:color w:val="231f20"/>
          <w:spacing w:val="-66"/>
        </w:rPr>
        <w:t xml:space="preserve"> </w:t>
      </w:r>
      <w:r>
        <w:rPr>
          <w:color w:val="231f20"/>
        </w:rPr>
        <w:t>Number 4 of 2009 concerning Mineral and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Coal Mining concerning domestic courts and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Arbitration before the issuance of Law of t</w:t>
      </w:r>
      <w:r>
        <w:rPr>
          <w:color w:val="231f20"/>
          <w:w w:val="95"/>
        </w:rPr>
        <w:t>he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Republic of Indonesia Number 4 of 2009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concerning Mineral and Coal Mining. Cont-</w:t>
      </w:r>
      <w:r>
        <w:rPr>
          <w:color w:val="231f20"/>
          <w:spacing w:val="-66"/>
        </w:rPr>
        <w:t xml:space="preserve"> </w:t>
      </w:r>
      <w:r>
        <w:rPr>
          <w:color w:val="231f20"/>
          <w:w w:val="90"/>
        </w:rPr>
        <w:t>racts made by mining business actors with the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5"/>
        </w:rPr>
        <w:t>Government of Indonesia, both Contracts of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Work and Coal Mining Concession Work Ag-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reements, dispute resolution are carried out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through International Arbitration institutions,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implementation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international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ar-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bitral awards according to Indonesian law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meet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several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conditions,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decision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is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handed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dow</w:t>
      </w:r>
      <w:r>
        <w:rPr>
          <w:color w:val="231f20"/>
          <w:w w:val="95"/>
        </w:rPr>
        <w:t>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by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ar-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</w:rPr>
        <w:t>bitrator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arbitral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tribunal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country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6"/>
        </w:rPr>
        <w:t xml:space="preserve"> </w:t>
      </w:r>
      <w:r>
        <w:rPr>
          <w:color w:val="231f20"/>
          <w:w w:val="95"/>
        </w:rPr>
        <w:t>the Indonesian state bound by agreements,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bilaterally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multilaterally.</w:t>
      </w:r>
    </w:p>
    <w:p>
      <w:pPr>
        <w:pStyle w:val="style1"/>
        <w:numPr>
          <w:ilvl w:val="0"/>
          <w:numId w:val="1"/>
        </w:numPr>
        <w:tabs>
          <w:tab w:val="left" w:leader="none" w:pos="385"/>
        </w:tabs>
        <w:spacing w:before="176"/>
        <w:ind w:hanging="285"/>
        <w:jc w:val="both"/>
        <w:rPr/>
      </w:pPr>
      <w:r>
        <w:rPr>
          <w:color w:val="231f20"/>
          <w:w w:val="95"/>
        </w:rPr>
        <w:t>References</w:t>
      </w:r>
    </w:p>
    <w:p>
      <w:pPr>
        <w:pStyle w:val="style0"/>
        <w:spacing w:before="43" w:lineRule="auto" w:line="213"/>
        <w:ind w:left="667" w:right="39" w:hanging="567"/>
        <w:jc w:val="both"/>
        <w:rPr>
          <w:sz w:val="18"/>
        </w:rPr>
      </w:pPr>
      <w:r>
        <w:rPr>
          <w:color w:val="231f20"/>
          <w:w w:val="95"/>
          <w:sz w:val="18"/>
        </w:rPr>
        <w:t xml:space="preserve">Adolf, H. 2013. </w:t>
      </w:r>
      <w:r>
        <w:rPr>
          <w:rFonts w:ascii="Trebuchet MS"/>
          <w:i/>
          <w:color w:val="231f20"/>
          <w:w w:val="95"/>
          <w:sz w:val="18"/>
        </w:rPr>
        <w:t>Dasar-Dasar Prinsip dan Filosofi Arbi-</w:t>
      </w:r>
      <w:r>
        <w:rPr>
          <w:rFonts w:ascii="Trebuchet MS"/>
          <w:i/>
          <w:color w:val="231f20"/>
          <w:spacing w:val="1"/>
          <w:w w:val="95"/>
          <w:sz w:val="18"/>
        </w:rPr>
        <w:t xml:space="preserve"> </w:t>
      </w:r>
      <w:r>
        <w:rPr>
          <w:rFonts w:ascii="Trebuchet MS"/>
          <w:i/>
          <w:color w:val="231f20"/>
          <w:sz w:val="18"/>
        </w:rPr>
        <w:t>trase.</w:t>
      </w:r>
      <w:r>
        <w:rPr>
          <w:rFonts w:ascii="Trebuchet MS"/>
          <w:i/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Bandung: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Keni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Media.</w:t>
      </w:r>
    </w:p>
    <w:p>
      <w:pPr>
        <w:pStyle w:val="style0"/>
        <w:spacing w:before="37" w:lineRule="exact" w:line="208"/>
        <w:ind w:left="100"/>
        <w:jc w:val="both"/>
        <w:rPr>
          <w:sz w:val="18"/>
        </w:rPr>
      </w:pPr>
      <w:r>
        <w:rPr>
          <w:color w:val="231f20"/>
          <w:w w:val="95"/>
          <w:sz w:val="18"/>
        </w:rPr>
        <w:t>------</w:t>
      </w:r>
      <w:r>
        <w:rPr>
          <w:color w:val="231f20"/>
          <w:spacing w:val="-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2016.</w:t>
      </w:r>
      <w:r>
        <w:rPr>
          <w:color w:val="231f20"/>
          <w:spacing w:val="-1"/>
          <w:w w:val="95"/>
          <w:sz w:val="18"/>
        </w:rPr>
        <w:t xml:space="preserve"> </w:t>
      </w:r>
      <w:r>
        <w:rPr>
          <w:rFonts w:ascii="Trebuchet MS"/>
          <w:i/>
          <w:color w:val="231f20"/>
          <w:w w:val="95"/>
          <w:sz w:val="18"/>
        </w:rPr>
        <w:t>Hukum Arbitrase</w:t>
      </w:r>
      <w:r>
        <w:rPr>
          <w:rFonts w:ascii="Trebuchet MS"/>
          <w:i/>
          <w:color w:val="231f20"/>
          <w:spacing w:val="1"/>
          <w:w w:val="95"/>
          <w:sz w:val="18"/>
        </w:rPr>
        <w:t xml:space="preserve"> </w:t>
      </w:r>
      <w:r>
        <w:rPr>
          <w:rFonts w:ascii="Trebuchet MS"/>
          <w:i/>
          <w:color w:val="231f20"/>
          <w:w w:val="95"/>
          <w:sz w:val="18"/>
        </w:rPr>
        <w:t>Komersial Internasional</w:t>
      </w:r>
      <w:r>
        <w:rPr>
          <w:color w:val="231f20"/>
          <w:w w:val="95"/>
          <w:sz w:val="18"/>
        </w:rPr>
        <w:t>.</w:t>
      </w:r>
    </w:p>
    <w:p>
      <w:pPr>
        <w:pStyle w:val="style0"/>
        <w:spacing w:lineRule="exact" w:line="205"/>
        <w:ind w:left="667"/>
        <w:rPr>
          <w:sz w:val="18"/>
        </w:rPr>
      </w:pPr>
      <w:r>
        <w:rPr>
          <w:color w:val="231f20"/>
          <w:w w:val="95"/>
          <w:sz w:val="18"/>
        </w:rPr>
        <w:t>Bandung:</w:t>
      </w:r>
      <w:r>
        <w:rPr>
          <w:color w:val="231f20"/>
          <w:spacing w:val="8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Keni</w:t>
      </w:r>
      <w:r>
        <w:rPr>
          <w:color w:val="231f20"/>
          <w:spacing w:val="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Media.</w:t>
      </w:r>
    </w:p>
    <w:p>
      <w:pPr>
        <w:pStyle w:val="style0"/>
        <w:spacing w:before="55" w:lineRule="auto" w:line="213"/>
        <w:ind w:left="667" w:right="39" w:hanging="567"/>
        <w:jc w:val="both"/>
        <w:rPr>
          <w:sz w:val="18"/>
        </w:rPr>
      </w:pPr>
      <w:r>
        <w:rPr>
          <w:color w:val="231f20"/>
          <w:w w:val="90"/>
          <w:sz w:val="18"/>
        </w:rPr>
        <w:t>------ 1993.</w:t>
      </w:r>
      <w:r>
        <w:rPr>
          <w:color w:val="231f20"/>
          <w:spacing w:val="1"/>
          <w:w w:val="90"/>
          <w:sz w:val="18"/>
        </w:rPr>
        <w:t xml:space="preserve"> </w:t>
      </w:r>
      <w:r>
        <w:rPr>
          <w:rFonts w:ascii="Trebuchet MS"/>
          <w:i/>
          <w:color w:val="231f20"/>
          <w:w w:val="90"/>
          <w:sz w:val="18"/>
        </w:rPr>
        <w:t>Arbitrase Komersial Internasional Edisi Re-</w:t>
      </w:r>
      <w:r>
        <w:rPr>
          <w:rFonts w:ascii="Trebuchet MS"/>
          <w:i/>
          <w:color w:val="231f20"/>
          <w:spacing w:val="1"/>
          <w:w w:val="90"/>
          <w:sz w:val="18"/>
        </w:rPr>
        <w:t xml:space="preserve"> </w:t>
      </w:r>
      <w:r>
        <w:rPr>
          <w:rFonts w:ascii="Trebuchet MS"/>
          <w:i/>
          <w:color w:val="231f20"/>
          <w:w w:val="95"/>
          <w:sz w:val="18"/>
        </w:rPr>
        <w:t>visi</w:t>
      </w:r>
      <w:r>
        <w:rPr>
          <w:color w:val="231f20"/>
          <w:w w:val="95"/>
          <w:sz w:val="18"/>
        </w:rPr>
        <w:t>.</w:t>
      </w:r>
      <w:r>
        <w:rPr>
          <w:color w:val="231f20"/>
          <w:spacing w:val="-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Jakarta:</w:t>
      </w:r>
      <w:r>
        <w:rPr>
          <w:color w:val="231f20"/>
          <w:spacing w:val="-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Citra</w:t>
      </w:r>
      <w:r>
        <w:rPr>
          <w:color w:val="231f20"/>
          <w:spacing w:val="-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Niaga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Rajawali.</w:t>
      </w:r>
    </w:p>
    <w:p>
      <w:pPr>
        <w:pStyle w:val="style0"/>
        <w:spacing w:before="52" w:lineRule="auto" w:line="218"/>
        <w:ind w:left="667" w:right="38" w:hanging="567"/>
        <w:jc w:val="both"/>
        <w:rPr>
          <w:sz w:val="18"/>
        </w:rPr>
      </w:pPr>
      <w:r>
        <w:rPr>
          <w:color w:val="231f20"/>
          <w:w w:val="90"/>
          <w:sz w:val="18"/>
        </w:rPr>
        <w:t xml:space="preserve">Batubara, S &amp; Orinton P. 2013. </w:t>
      </w:r>
      <w:r>
        <w:rPr>
          <w:rFonts w:ascii="Trebuchet MS"/>
          <w:i/>
          <w:color w:val="231f20"/>
          <w:w w:val="90"/>
          <w:sz w:val="18"/>
        </w:rPr>
        <w:t>Arbitrase Internasional</w:t>
      </w:r>
      <w:r>
        <w:rPr>
          <w:rFonts w:ascii="Trebuchet MS"/>
          <w:i/>
          <w:color w:val="231f20"/>
          <w:spacing w:val="1"/>
          <w:w w:val="90"/>
          <w:sz w:val="18"/>
        </w:rPr>
        <w:t xml:space="preserve"> </w:t>
      </w:r>
      <w:r>
        <w:rPr>
          <w:rFonts w:ascii="Trebuchet MS"/>
          <w:i/>
          <w:color w:val="231f20"/>
          <w:w w:val="90"/>
          <w:sz w:val="18"/>
        </w:rPr>
        <w:t>Penyelesaian</w:t>
      </w:r>
      <w:r>
        <w:rPr>
          <w:rFonts w:ascii="Trebuchet MS"/>
          <w:i/>
          <w:color w:val="231f20"/>
          <w:spacing w:val="1"/>
          <w:w w:val="90"/>
          <w:sz w:val="18"/>
        </w:rPr>
        <w:t xml:space="preserve"> </w:t>
      </w:r>
      <w:r>
        <w:rPr>
          <w:rFonts w:ascii="Trebuchet MS"/>
          <w:i/>
          <w:color w:val="231f20"/>
          <w:w w:val="90"/>
          <w:sz w:val="18"/>
        </w:rPr>
        <w:t>Sengketa</w:t>
      </w:r>
      <w:r>
        <w:rPr>
          <w:rFonts w:ascii="Trebuchet MS"/>
          <w:i/>
          <w:color w:val="231f20"/>
          <w:spacing w:val="1"/>
          <w:w w:val="90"/>
          <w:sz w:val="18"/>
        </w:rPr>
        <w:t xml:space="preserve"> </w:t>
      </w:r>
      <w:r>
        <w:rPr>
          <w:rFonts w:ascii="Trebuchet MS"/>
          <w:i/>
          <w:color w:val="231f20"/>
          <w:w w:val="90"/>
          <w:sz w:val="18"/>
        </w:rPr>
        <w:t>Investasi</w:t>
      </w:r>
      <w:r>
        <w:rPr>
          <w:rFonts w:ascii="Trebuchet MS"/>
          <w:i/>
          <w:color w:val="231f20"/>
          <w:spacing w:val="1"/>
          <w:w w:val="90"/>
          <w:sz w:val="18"/>
        </w:rPr>
        <w:t xml:space="preserve"> </w:t>
      </w:r>
      <w:r>
        <w:rPr>
          <w:rFonts w:ascii="Trebuchet MS"/>
          <w:i/>
          <w:color w:val="231f20"/>
          <w:w w:val="90"/>
          <w:sz w:val="18"/>
        </w:rPr>
        <w:t>Asing</w:t>
      </w:r>
      <w:r>
        <w:rPr>
          <w:rFonts w:ascii="Trebuchet MS"/>
          <w:i/>
          <w:color w:val="231f20"/>
          <w:spacing w:val="1"/>
          <w:w w:val="90"/>
          <w:sz w:val="18"/>
        </w:rPr>
        <w:t xml:space="preserve"> </w:t>
      </w:r>
      <w:r>
        <w:rPr>
          <w:rFonts w:ascii="Trebuchet MS"/>
          <w:i/>
          <w:color w:val="231f20"/>
          <w:w w:val="90"/>
          <w:sz w:val="18"/>
        </w:rPr>
        <w:t>Melalui</w:t>
      </w:r>
      <w:r>
        <w:rPr>
          <w:rFonts w:ascii="Trebuchet MS"/>
          <w:i/>
          <w:color w:val="231f20"/>
          <w:spacing w:val="-46"/>
          <w:w w:val="90"/>
          <w:sz w:val="18"/>
        </w:rPr>
        <w:t xml:space="preserve"> </w:t>
      </w:r>
      <w:r>
        <w:rPr>
          <w:rFonts w:ascii="Trebuchet MS"/>
          <w:i/>
          <w:color w:val="231f20"/>
          <w:sz w:val="18"/>
        </w:rPr>
        <w:t>ICSID UNCITRAL dan SIAC</w:t>
      </w:r>
      <w:r>
        <w:rPr>
          <w:color w:val="231f20"/>
          <w:sz w:val="18"/>
        </w:rPr>
        <w:t>. Jakarta: Raih ASA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Sukses.</w:t>
      </w:r>
    </w:p>
    <w:p>
      <w:pPr>
        <w:pStyle w:val="style0"/>
        <w:spacing w:before="52" w:lineRule="auto" w:line="218"/>
        <w:ind w:left="667" w:right="38" w:hanging="567"/>
        <w:jc w:val="both"/>
        <w:rPr>
          <w:sz w:val="18"/>
        </w:rPr>
      </w:pPr>
      <w:r>
        <w:rPr>
          <w:color w:val="231f20"/>
          <w:sz w:val="18"/>
        </w:rPr>
        <w:t xml:space="preserve">Bendar, A. 2018. </w:t>
      </w:r>
      <w:r>
        <w:rPr>
          <w:rFonts w:ascii="Trebuchet MS"/>
          <w:i/>
          <w:color w:val="231f20"/>
          <w:sz w:val="18"/>
        </w:rPr>
        <w:t>Hukum Penanaman Modal Asing</w:t>
      </w:r>
      <w:r>
        <w:rPr>
          <w:rFonts w:ascii="Trebuchet MS"/>
          <w:i/>
          <w:color w:val="231f20"/>
          <w:spacing w:val="1"/>
          <w:sz w:val="18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18"/>
        </w:rPr>
        <w:t>Implementasi untuk Pertambangan Indonesia.</w:t>
      </w:r>
      <w:r>
        <w:rPr>
          <w:rFonts w:ascii="Trebuchet MS"/>
          <w:i/>
          <w:color w:val="231f20"/>
          <w:w w:val="95"/>
          <w:sz w:val="18"/>
        </w:rPr>
        <w:t xml:space="preserve"> </w:t>
      </w:r>
      <w:r>
        <w:rPr>
          <w:color w:val="231f20"/>
          <w:sz w:val="18"/>
        </w:rPr>
        <w:t>Jakarta: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UII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Press.</w:t>
      </w:r>
    </w:p>
    <w:p>
      <w:pPr>
        <w:pStyle w:val="style0"/>
        <w:spacing w:before="40"/>
        <w:ind w:left="100"/>
        <w:jc w:val="both"/>
        <w:rPr>
          <w:sz w:val="18"/>
        </w:rPr>
      </w:pPr>
      <w:r>
        <w:rPr>
          <w:color w:val="231f20"/>
          <w:w w:val="90"/>
          <w:sz w:val="18"/>
        </w:rPr>
        <w:t>Civil</w:t>
      </w:r>
      <w:r>
        <w:rPr>
          <w:color w:val="231f20"/>
          <w:spacing w:val="12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Code</w:t>
      </w:r>
      <w:r>
        <w:rPr>
          <w:color w:val="231f20"/>
          <w:spacing w:val="12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(</w:t>
      </w:r>
      <w:r>
        <w:rPr>
          <w:rFonts w:ascii="Trebuchet MS"/>
          <w:i/>
          <w:color w:val="231f20"/>
          <w:w w:val="90"/>
          <w:sz w:val="18"/>
        </w:rPr>
        <w:t>Burgerlijk</w:t>
      </w:r>
      <w:r>
        <w:rPr>
          <w:rFonts w:ascii="Trebuchet MS"/>
          <w:i/>
          <w:color w:val="231f20"/>
          <w:spacing w:val="14"/>
          <w:w w:val="90"/>
          <w:sz w:val="18"/>
        </w:rPr>
        <w:t xml:space="preserve"> </w:t>
      </w:r>
      <w:r>
        <w:rPr>
          <w:rFonts w:ascii="Trebuchet MS"/>
          <w:i/>
          <w:color w:val="231f20"/>
          <w:w w:val="90"/>
          <w:sz w:val="18"/>
        </w:rPr>
        <w:t>Wetboek</w:t>
      </w:r>
      <w:r>
        <w:rPr>
          <w:rFonts w:ascii="Trebuchet MS"/>
          <w:i/>
          <w:color w:val="231f20"/>
          <w:spacing w:val="13"/>
          <w:w w:val="90"/>
          <w:sz w:val="18"/>
        </w:rPr>
        <w:t xml:space="preserve"> </w:t>
      </w:r>
      <w:r>
        <w:rPr>
          <w:rFonts w:ascii="Trebuchet MS"/>
          <w:i/>
          <w:color w:val="231f20"/>
          <w:w w:val="90"/>
          <w:sz w:val="18"/>
        </w:rPr>
        <w:t>voor</w:t>
      </w:r>
      <w:r>
        <w:rPr>
          <w:rFonts w:ascii="Trebuchet MS"/>
          <w:i/>
          <w:color w:val="231f20"/>
          <w:spacing w:val="14"/>
          <w:w w:val="90"/>
          <w:sz w:val="18"/>
        </w:rPr>
        <w:t xml:space="preserve"> </w:t>
      </w:r>
      <w:r>
        <w:rPr>
          <w:rFonts w:ascii="Trebuchet MS"/>
          <w:i/>
          <w:color w:val="231f20"/>
          <w:w w:val="90"/>
          <w:sz w:val="18"/>
        </w:rPr>
        <w:t>Indonesie</w:t>
      </w:r>
      <w:r>
        <w:rPr>
          <w:color w:val="231f20"/>
          <w:w w:val="90"/>
          <w:sz w:val="18"/>
        </w:rPr>
        <w:t>)</w:t>
      </w:r>
    </w:p>
    <w:p>
      <w:pPr>
        <w:pStyle w:val="style0"/>
        <w:spacing w:before="49" w:lineRule="auto" w:line="218"/>
        <w:ind w:left="667" w:right="38" w:hanging="567"/>
        <w:jc w:val="both"/>
        <w:rPr>
          <w:sz w:val="18"/>
        </w:rPr>
      </w:pPr>
      <w:r>
        <w:rPr>
          <w:color w:val="231f20"/>
          <w:w w:val="95"/>
          <w:sz w:val="18"/>
        </w:rPr>
        <w:t>Gobel,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D.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2014.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rFonts w:ascii="Trebuchet MS"/>
          <w:i/>
          <w:color w:val="231f20"/>
          <w:w w:val="95"/>
          <w:sz w:val="18"/>
        </w:rPr>
        <w:t>Penyelesaian</w:t>
      </w:r>
      <w:r>
        <w:rPr>
          <w:rFonts w:ascii="Trebuchet MS"/>
          <w:i/>
          <w:color w:val="231f20"/>
          <w:spacing w:val="-4"/>
          <w:w w:val="95"/>
          <w:sz w:val="18"/>
        </w:rPr>
        <w:t xml:space="preserve"> </w:t>
      </w:r>
      <w:r>
        <w:rPr>
          <w:rFonts w:ascii="Trebuchet MS"/>
          <w:i/>
          <w:color w:val="231f20"/>
          <w:w w:val="95"/>
          <w:sz w:val="18"/>
        </w:rPr>
        <w:t>Sengketa</w:t>
      </w:r>
      <w:r>
        <w:rPr>
          <w:rFonts w:ascii="Trebuchet MS"/>
          <w:i/>
          <w:color w:val="231f20"/>
          <w:spacing w:val="-4"/>
          <w:w w:val="95"/>
          <w:sz w:val="18"/>
        </w:rPr>
        <w:t xml:space="preserve"> </w:t>
      </w:r>
      <w:r>
        <w:rPr>
          <w:rFonts w:ascii="Trebuchet MS"/>
          <w:i/>
          <w:color w:val="231f20"/>
          <w:w w:val="95"/>
          <w:sz w:val="18"/>
        </w:rPr>
        <w:t>Investasi</w:t>
      </w:r>
      <w:r>
        <w:rPr>
          <w:rFonts w:ascii="Trebuchet MS"/>
          <w:i/>
          <w:color w:val="231f20"/>
          <w:spacing w:val="-4"/>
          <w:w w:val="95"/>
          <w:sz w:val="18"/>
        </w:rPr>
        <w:t xml:space="preserve"> </w:t>
      </w:r>
      <w:r>
        <w:rPr>
          <w:rFonts w:ascii="Trebuchet MS"/>
          <w:i/>
          <w:color w:val="231f20"/>
          <w:w w:val="95"/>
          <w:sz w:val="18"/>
        </w:rPr>
        <w:t>Asing</w:t>
      </w:r>
      <w:r>
        <w:rPr>
          <w:rFonts w:ascii="Trebuchet MS"/>
          <w:i/>
          <w:color w:val="231f20"/>
          <w:spacing w:val="-49"/>
          <w:w w:val="95"/>
          <w:sz w:val="18"/>
        </w:rPr>
        <w:t xml:space="preserve"> </w:t>
      </w:r>
      <w:r>
        <w:rPr>
          <w:rFonts w:ascii="Trebuchet MS"/>
          <w:i/>
          <w:color w:val="231f20"/>
          <w:w w:val="90"/>
          <w:sz w:val="18"/>
        </w:rPr>
        <w:t>Dalam Bidang Pertambangan Melalui Arbitrase</w:t>
      </w:r>
      <w:r>
        <w:rPr>
          <w:rFonts w:ascii="Trebuchet MS"/>
          <w:i/>
          <w:color w:val="231f20"/>
          <w:spacing w:val="1"/>
          <w:w w:val="90"/>
          <w:sz w:val="18"/>
        </w:rPr>
        <w:t xml:space="preserve"> </w:t>
      </w:r>
      <w:r>
        <w:rPr>
          <w:rFonts w:ascii="Trebuchet MS"/>
          <w:i/>
          <w:color w:val="231f20"/>
          <w:w w:val="95"/>
          <w:sz w:val="18"/>
        </w:rPr>
        <w:t>Internasional</w:t>
      </w:r>
      <w:r>
        <w:rPr>
          <w:color w:val="231f20"/>
          <w:w w:val="95"/>
          <w:sz w:val="18"/>
        </w:rPr>
        <w:t>.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Lex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Et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Sociatatis,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Vol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2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No.</w:t>
      </w:r>
      <w:r>
        <w:rPr>
          <w:color w:val="231f20"/>
          <w:spacing w:val="-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3</w:t>
      </w:r>
    </w:p>
    <w:p>
      <w:pPr>
        <w:pStyle w:val="style0"/>
        <w:spacing w:before="55" w:lineRule="auto" w:line="216"/>
        <w:ind w:left="667" w:right="39" w:hanging="567"/>
        <w:jc w:val="both"/>
        <w:rPr>
          <w:sz w:val="18"/>
        </w:rPr>
      </w:pPr>
      <w:r>
        <w:rPr>
          <w:color w:val="231f20"/>
          <w:sz w:val="18"/>
        </w:rPr>
        <w:t>Decree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President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Republic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Indonesia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Number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34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1981</w:t>
      </w:r>
    </w:p>
    <w:p>
      <w:pPr>
        <w:pStyle w:val="style0"/>
        <w:spacing w:before="58" w:lineRule="auto" w:line="216"/>
        <w:ind w:left="667" w:right="38" w:hanging="567"/>
        <w:jc w:val="both"/>
        <w:rPr>
          <w:sz w:val="18"/>
        </w:rPr>
      </w:pPr>
      <w:r>
        <w:rPr>
          <w:color w:val="231f20"/>
          <w:sz w:val="18"/>
        </w:rPr>
        <w:t>Decision on Case Number 001-021-022/PUU-I/2003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w w:val="95"/>
          <w:sz w:val="18"/>
        </w:rPr>
        <w:t>Included</w:t>
      </w:r>
      <w:r>
        <w:rPr>
          <w:color w:val="231f20"/>
          <w:spacing w:val="-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in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State</w:t>
      </w:r>
      <w:r>
        <w:rPr>
          <w:color w:val="231f20"/>
          <w:spacing w:val="-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Gazette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Republic</w:t>
      </w:r>
      <w:r>
        <w:rPr>
          <w:color w:val="231f20"/>
          <w:spacing w:val="-6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51"/>
          <w:w w:val="95"/>
          <w:sz w:val="18"/>
        </w:rPr>
        <w:t xml:space="preserve"> </w:t>
      </w:r>
      <w:r>
        <w:rPr>
          <w:color w:val="231f20"/>
          <w:sz w:val="18"/>
        </w:rPr>
        <w:t>Indonesia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Number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102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2004.</w:t>
      </w:r>
    </w:p>
    <w:p>
      <w:pPr>
        <w:pStyle w:val="style0"/>
        <w:spacing w:before="60" w:lineRule="auto" w:line="213"/>
        <w:ind w:left="667" w:right="39" w:hanging="567"/>
        <w:jc w:val="both"/>
        <w:rPr>
          <w:sz w:val="18"/>
        </w:rPr>
      </w:pPr>
      <w:r>
        <w:rPr>
          <w:color w:val="231f20"/>
          <w:w w:val="90"/>
          <w:sz w:val="18"/>
        </w:rPr>
        <w:t>Gautama, S. 1986.</w:t>
      </w:r>
      <w:r>
        <w:rPr>
          <w:color w:val="231f20"/>
          <w:spacing w:val="1"/>
          <w:w w:val="90"/>
          <w:sz w:val="18"/>
        </w:rPr>
        <w:t xml:space="preserve"> </w:t>
      </w:r>
      <w:r>
        <w:rPr>
          <w:rFonts w:ascii="Trebuchet MS"/>
          <w:i/>
          <w:color w:val="231f20"/>
          <w:w w:val="90"/>
          <w:sz w:val="18"/>
        </w:rPr>
        <w:t xml:space="preserve">Arbitrase Dagang Internasional. </w:t>
      </w:r>
      <w:r>
        <w:rPr>
          <w:color w:val="231f20"/>
          <w:w w:val="90"/>
          <w:sz w:val="18"/>
        </w:rPr>
        <w:t>Ja-</w:t>
      </w:r>
      <w:r>
        <w:rPr>
          <w:color w:val="231f20"/>
          <w:spacing w:val="1"/>
          <w:w w:val="90"/>
          <w:sz w:val="18"/>
        </w:rPr>
        <w:t xml:space="preserve"> </w:t>
      </w:r>
      <w:r>
        <w:rPr>
          <w:color w:val="231f20"/>
          <w:sz w:val="18"/>
        </w:rPr>
        <w:t>karta: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PT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Citra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Aditya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Bakti.</w:t>
      </w:r>
    </w:p>
    <w:p>
      <w:pPr>
        <w:pStyle w:val="style0"/>
        <w:spacing w:before="57" w:lineRule="auto" w:line="216"/>
        <w:ind w:left="667" w:right="39" w:hanging="567"/>
        <w:jc w:val="both"/>
        <w:rPr>
          <w:sz w:val="18"/>
        </w:rPr>
      </w:pPr>
      <w:r>
        <w:rPr>
          <w:color w:val="231f20"/>
          <w:w w:val="90"/>
          <w:sz w:val="18"/>
        </w:rPr>
        <w:t xml:space="preserve">Girsang. 1992. </w:t>
      </w:r>
      <w:r>
        <w:rPr>
          <w:rFonts w:ascii="Trebuchet MS"/>
          <w:i/>
          <w:color w:val="231f20"/>
          <w:w w:val="90"/>
          <w:sz w:val="18"/>
        </w:rPr>
        <w:t xml:space="preserve">Arbitrase. </w:t>
      </w:r>
      <w:r>
        <w:rPr>
          <w:color w:val="231f20"/>
          <w:w w:val="90"/>
          <w:sz w:val="18"/>
        </w:rPr>
        <w:t>Jakarta: Research and Devel-</w:t>
      </w:r>
      <w:r>
        <w:rPr>
          <w:color w:val="231f20"/>
          <w:spacing w:val="1"/>
          <w:w w:val="90"/>
          <w:sz w:val="18"/>
        </w:rPr>
        <w:t xml:space="preserve"> </w:t>
      </w:r>
      <w:r>
        <w:rPr>
          <w:color w:val="231f20"/>
          <w:sz w:val="18"/>
        </w:rPr>
        <w:t>opment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Training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Supreme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Court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Republic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Indonesia.</w:t>
      </w:r>
    </w:p>
    <w:p>
      <w:pPr>
        <w:pStyle w:val="style0"/>
        <w:spacing w:before="50" w:lineRule="auto" w:line="223"/>
        <w:ind w:left="667" w:right="38" w:hanging="567"/>
        <w:jc w:val="both"/>
        <w:rPr>
          <w:sz w:val="18"/>
        </w:rPr>
      </w:pPr>
      <w:r>
        <w:rPr>
          <w:color w:val="231f20"/>
          <w:w w:val="95"/>
          <w:sz w:val="18"/>
        </w:rPr>
        <w:t xml:space="preserve">Hayuningtri, D. 2014. </w:t>
      </w:r>
      <w:r>
        <w:rPr>
          <w:rFonts w:ascii="Trebuchet MS"/>
          <w:i/>
          <w:color w:val="231f20"/>
          <w:w w:val="95"/>
          <w:sz w:val="18"/>
        </w:rPr>
        <w:t>ICSID jurisdiction as the foreign</w:t>
      </w:r>
      <w:r>
        <w:rPr>
          <w:rFonts w:ascii="Trebuchet MS"/>
          <w:i/>
          <w:color w:val="231f20"/>
          <w:spacing w:val="-49"/>
          <w:w w:val="95"/>
          <w:sz w:val="18"/>
        </w:rPr>
        <w:t xml:space="preserve"> </w:t>
      </w:r>
      <w:r>
        <w:rPr>
          <w:rFonts w:ascii="Trebuchet MS"/>
          <w:i/>
          <w:color w:val="231f20"/>
          <w:w w:val="85"/>
          <w:sz w:val="18"/>
        </w:rPr>
        <w:t>investment dispute settlement forum; case study</w:t>
      </w:r>
      <w:r>
        <w:rPr>
          <w:rFonts w:ascii="Trebuchet MS"/>
          <w:i/>
          <w:color w:val="231f20"/>
          <w:spacing w:val="1"/>
          <w:w w:val="85"/>
          <w:sz w:val="18"/>
        </w:rPr>
        <w:t xml:space="preserve"> </w:t>
      </w:r>
      <w:r>
        <w:rPr>
          <w:rFonts w:ascii="Trebuchet MS"/>
          <w:i/>
          <w:color w:val="231f20"/>
          <w:w w:val="90"/>
          <w:sz w:val="18"/>
        </w:rPr>
        <w:t>ICSID award on jurisdiction no ARB/ 07/ 3 in the</w:t>
      </w:r>
      <w:r>
        <w:rPr>
          <w:rFonts w:ascii="Trebuchet MS"/>
          <w:i/>
          <w:color w:val="231f20"/>
          <w:spacing w:val="-46"/>
          <w:w w:val="90"/>
          <w:sz w:val="18"/>
        </w:rPr>
        <w:t xml:space="preserve"> </w:t>
      </w:r>
      <w:r>
        <w:rPr>
          <w:rFonts w:ascii="Trebuchet MS"/>
          <w:i/>
          <w:color w:val="231f20"/>
          <w:spacing w:val="-1"/>
          <w:w w:val="95"/>
          <w:sz w:val="18"/>
        </w:rPr>
        <w:t xml:space="preserve">proceeding between GPEK </w:t>
      </w:r>
      <w:r>
        <w:rPr>
          <w:rFonts w:ascii="Trebuchet MS"/>
          <w:i/>
          <w:color w:val="231f20"/>
          <w:w w:val="95"/>
          <w:sz w:val="18"/>
        </w:rPr>
        <w:t>v. PT. Kaltim Prima</w:t>
      </w:r>
      <w:r>
        <w:rPr>
          <w:rFonts w:ascii="Trebuchet MS"/>
          <w:i/>
          <w:color w:val="231f20"/>
          <w:spacing w:val="-49"/>
          <w:w w:val="95"/>
          <w:sz w:val="18"/>
        </w:rPr>
        <w:t xml:space="preserve"> </w:t>
      </w:r>
      <w:r>
        <w:rPr>
          <w:rFonts w:ascii="Trebuchet MS"/>
          <w:i/>
          <w:color w:val="231f20"/>
          <w:w w:val="90"/>
          <w:sz w:val="18"/>
        </w:rPr>
        <w:t>Coal</w:t>
      </w:r>
      <w:r>
        <w:rPr>
          <w:rFonts w:ascii="Trebuchet MS"/>
          <w:i/>
          <w:color w:val="231f20"/>
          <w:spacing w:val="16"/>
          <w:w w:val="90"/>
          <w:sz w:val="18"/>
        </w:rPr>
        <w:t xml:space="preserve"> </w:t>
      </w:r>
      <w:r>
        <w:rPr>
          <w:rFonts w:ascii="Trebuchet MS"/>
          <w:i/>
          <w:color w:val="231f20"/>
          <w:w w:val="90"/>
          <w:sz w:val="18"/>
        </w:rPr>
        <w:t>and</w:t>
      </w:r>
      <w:r>
        <w:rPr>
          <w:rFonts w:ascii="Trebuchet MS"/>
          <w:i/>
          <w:color w:val="231f20"/>
          <w:spacing w:val="17"/>
          <w:w w:val="90"/>
          <w:sz w:val="18"/>
        </w:rPr>
        <w:t xml:space="preserve"> </w:t>
      </w:r>
      <w:r>
        <w:rPr>
          <w:rFonts w:ascii="Trebuchet MS"/>
          <w:i/>
          <w:color w:val="231f20"/>
          <w:w w:val="90"/>
          <w:sz w:val="18"/>
        </w:rPr>
        <w:t>others</w:t>
      </w:r>
      <w:r>
        <w:rPr>
          <w:color w:val="231f20"/>
          <w:w w:val="90"/>
          <w:sz w:val="18"/>
        </w:rPr>
        <w:t>.</w:t>
      </w:r>
      <w:r>
        <w:rPr>
          <w:color w:val="231f20"/>
          <w:spacing w:val="16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Jakarta:</w:t>
      </w:r>
      <w:r>
        <w:rPr>
          <w:color w:val="231f20"/>
          <w:spacing w:val="1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Universitas</w:t>
      </w:r>
      <w:r>
        <w:rPr>
          <w:color w:val="231f20"/>
          <w:spacing w:val="15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Indonesia.</w:t>
      </w:r>
    </w:p>
    <w:p>
      <w:pPr>
        <w:pStyle w:val="style0"/>
        <w:spacing w:before="31"/>
        <w:ind w:left="100"/>
        <w:jc w:val="both"/>
        <w:rPr>
          <w:sz w:val="18"/>
        </w:rPr>
      </w:pPr>
      <w:r>
        <w:rPr>
          <w:color w:val="231f20"/>
          <w:w w:val="90"/>
          <w:sz w:val="18"/>
        </w:rPr>
        <w:t>Harahap,</w:t>
      </w:r>
      <w:r>
        <w:rPr>
          <w:color w:val="231f20"/>
          <w:spacing w:val="1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Y.</w:t>
      </w:r>
      <w:r>
        <w:rPr>
          <w:color w:val="231f20"/>
          <w:spacing w:val="1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2004.</w:t>
      </w:r>
      <w:r>
        <w:rPr>
          <w:color w:val="231f20"/>
          <w:spacing w:val="12"/>
          <w:w w:val="90"/>
          <w:sz w:val="18"/>
        </w:rPr>
        <w:t xml:space="preserve"> </w:t>
      </w:r>
      <w:r>
        <w:rPr>
          <w:rFonts w:ascii="Trebuchet MS"/>
          <w:i/>
          <w:color w:val="231f20"/>
          <w:w w:val="90"/>
          <w:sz w:val="18"/>
        </w:rPr>
        <w:t>Arbitrase</w:t>
      </w:r>
      <w:r>
        <w:rPr>
          <w:color w:val="231f20"/>
          <w:w w:val="90"/>
          <w:sz w:val="18"/>
        </w:rPr>
        <w:t>.</w:t>
      </w:r>
      <w:r>
        <w:rPr>
          <w:color w:val="231f20"/>
          <w:spacing w:val="1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Jakarta:</w:t>
      </w:r>
      <w:r>
        <w:rPr>
          <w:color w:val="231f20"/>
          <w:spacing w:val="1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Sinar</w:t>
      </w:r>
      <w:r>
        <w:rPr>
          <w:color w:val="231f20"/>
          <w:spacing w:val="1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Grafika.</w:t>
      </w:r>
    </w:p>
    <w:p>
      <w:pPr>
        <w:pStyle w:val="style0"/>
        <w:spacing w:before="107" w:lineRule="auto" w:line="223"/>
        <w:ind w:left="667" w:right="116" w:hanging="567"/>
        <w:jc w:val="both"/>
        <w:rPr>
          <w:sz w:val="18"/>
        </w:rPr>
      </w:pPr>
      <w:r>
        <w:br w:type="column"/>
      </w:r>
      <w:r>
        <w:rPr>
          <w:color w:val="231f20"/>
          <w:w w:val="95"/>
          <w:sz w:val="18"/>
        </w:rPr>
        <w:t>Harahap, Y. 2003.</w:t>
      </w:r>
      <w:r>
        <w:rPr>
          <w:color w:val="231f20"/>
          <w:spacing w:val="1"/>
          <w:w w:val="95"/>
          <w:sz w:val="18"/>
        </w:rPr>
        <w:t xml:space="preserve"> </w:t>
      </w:r>
      <w:r>
        <w:rPr>
          <w:rFonts w:ascii="Trebuchet MS"/>
          <w:i/>
          <w:color w:val="231f20"/>
          <w:w w:val="95"/>
          <w:sz w:val="18"/>
        </w:rPr>
        <w:t>Arbitrase ditinjau dari Reglement</w:t>
      </w:r>
      <w:r>
        <w:rPr>
          <w:rFonts w:ascii="Trebuchet MS"/>
          <w:i/>
          <w:color w:val="231f20"/>
          <w:spacing w:val="-49"/>
          <w:w w:val="95"/>
          <w:sz w:val="18"/>
        </w:rPr>
        <w:t xml:space="preserve"> </w:t>
      </w:r>
      <w:r>
        <w:rPr>
          <w:rFonts w:ascii="Trebuchet MS"/>
          <w:i/>
          <w:color w:val="231f20"/>
          <w:w w:val="90"/>
          <w:sz w:val="18"/>
        </w:rPr>
        <w:t>Acara Perdata (Rv) Peraturan prosedur BANI In-</w:t>
      </w:r>
      <w:r>
        <w:rPr>
          <w:rFonts w:ascii="Trebuchet MS"/>
          <w:i/>
          <w:color w:val="231f20"/>
          <w:spacing w:val="1"/>
          <w:w w:val="90"/>
          <w:sz w:val="18"/>
        </w:rPr>
        <w:t xml:space="preserve"> </w:t>
      </w:r>
      <w:r>
        <w:rPr>
          <w:rFonts w:ascii="Trebuchet MS"/>
          <w:i/>
          <w:color w:val="231f20"/>
          <w:w w:val="90"/>
          <w:sz w:val="18"/>
        </w:rPr>
        <w:t>ternational Centre for the Settlement of invest-</w:t>
      </w:r>
      <w:r>
        <w:rPr>
          <w:rFonts w:ascii="Trebuchet MS"/>
          <w:i/>
          <w:color w:val="231f20"/>
          <w:spacing w:val="-46"/>
          <w:w w:val="90"/>
          <w:sz w:val="18"/>
        </w:rPr>
        <w:t xml:space="preserve"> </w:t>
      </w:r>
      <w:r>
        <w:rPr>
          <w:rFonts w:ascii="Trebuchet MS"/>
          <w:i/>
          <w:color w:val="231f20"/>
          <w:w w:val="95"/>
          <w:sz w:val="18"/>
        </w:rPr>
        <w:t>ment disputes (ICSID), UNCITRAL Arbitration</w:t>
      </w:r>
      <w:r>
        <w:rPr>
          <w:rFonts w:ascii="Trebuchet MS"/>
          <w:i/>
          <w:color w:val="231f20"/>
          <w:spacing w:val="1"/>
          <w:w w:val="95"/>
          <w:sz w:val="18"/>
        </w:rPr>
        <w:t xml:space="preserve"> </w:t>
      </w:r>
      <w:r>
        <w:rPr>
          <w:rFonts w:ascii="Trebuchet MS"/>
          <w:i/>
          <w:color w:val="231f20"/>
          <w:w w:val="95"/>
          <w:sz w:val="18"/>
        </w:rPr>
        <w:t>Rules Convention on The Recognition and En-</w:t>
      </w:r>
      <w:r>
        <w:rPr>
          <w:rFonts w:ascii="Trebuchet MS"/>
          <w:i/>
          <w:color w:val="231f20"/>
          <w:spacing w:val="1"/>
          <w:w w:val="95"/>
          <w:sz w:val="18"/>
        </w:rPr>
        <w:t xml:space="preserve"> </w:t>
      </w:r>
      <w:r>
        <w:rPr>
          <w:rFonts w:ascii="Trebuchet MS"/>
          <w:i/>
          <w:color w:val="231f20"/>
          <w:w w:val="90"/>
          <w:sz w:val="18"/>
        </w:rPr>
        <w:t>forcement</w:t>
      </w:r>
      <w:r>
        <w:rPr>
          <w:rFonts w:ascii="Trebuchet MS"/>
          <w:i/>
          <w:color w:val="231f20"/>
          <w:spacing w:val="-7"/>
          <w:w w:val="90"/>
          <w:sz w:val="18"/>
        </w:rPr>
        <w:t xml:space="preserve"> </w:t>
      </w:r>
      <w:r>
        <w:rPr>
          <w:rFonts w:ascii="Trebuchet MS"/>
          <w:i/>
          <w:color w:val="231f20"/>
          <w:w w:val="90"/>
          <w:sz w:val="18"/>
        </w:rPr>
        <w:t>of</w:t>
      </w:r>
      <w:r>
        <w:rPr>
          <w:rFonts w:ascii="Trebuchet MS"/>
          <w:i/>
          <w:color w:val="231f20"/>
          <w:spacing w:val="-6"/>
          <w:w w:val="90"/>
          <w:sz w:val="18"/>
        </w:rPr>
        <w:t xml:space="preserve"> </w:t>
      </w:r>
      <w:r>
        <w:rPr>
          <w:rFonts w:ascii="Trebuchet MS"/>
          <w:i/>
          <w:color w:val="231f20"/>
          <w:w w:val="90"/>
          <w:sz w:val="18"/>
        </w:rPr>
        <w:t>Foreign</w:t>
      </w:r>
      <w:r>
        <w:rPr>
          <w:rFonts w:ascii="Trebuchet MS"/>
          <w:i/>
          <w:color w:val="231f20"/>
          <w:spacing w:val="-7"/>
          <w:w w:val="90"/>
          <w:sz w:val="18"/>
        </w:rPr>
        <w:t xml:space="preserve"> </w:t>
      </w:r>
      <w:r>
        <w:rPr>
          <w:rFonts w:ascii="Trebuchet MS"/>
          <w:i/>
          <w:color w:val="231f20"/>
          <w:w w:val="90"/>
          <w:sz w:val="18"/>
        </w:rPr>
        <w:t>Arbitral</w:t>
      </w:r>
      <w:r>
        <w:rPr>
          <w:rFonts w:ascii="Trebuchet MS"/>
          <w:i/>
          <w:color w:val="231f20"/>
          <w:spacing w:val="-6"/>
          <w:w w:val="90"/>
          <w:sz w:val="18"/>
        </w:rPr>
        <w:t xml:space="preserve"> </w:t>
      </w:r>
      <w:r>
        <w:rPr>
          <w:rFonts w:ascii="Trebuchet MS"/>
          <w:i/>
          <w:color w:val="231f20"/>
          <w:w w:val="90"/>
          <w:sz w:val="18"/>
        </w:rPr>
        <w:t>Award</w:t>
      </w:r>
      <w:r>
        <w:rPr>
          <w:rFonts w:ascii="Trebuchet MS"/>
          <w:i/>
          <w:color w:val="231f20"/>
          <w:spacing w:val="-6"/>
          <w:w w:val="90"/>
          <w:sz w:val="18"/>
        </w:rPr>
        <w:t xml:space="preserve"> </w:t>
      </w:r>
      <w:r>
        <w:rPr>
          <w:rFonts w:ascii="Trebuchet MS"/>
          <w:i/>
          <w:color w:val="231f20"/>
          <w:w w:val="90"/>
          <w:sz w:val="18"/>
        </w:rPr>
        <w:t>Perma</w:t>
      </w:r>
      <w:r>
        <w:rPr>
          <w:rFonts w:ascii="Trebuchet MS"/>
          <w:i/>
          <w:color w:val="231f20"/>
          <w:spacing w:val="-7"/>
          <w:w w:val="90"/>
          <w:sz w:val="18"/>
        </w:rPr>
        <w:t xml:space="preserve"> </w:t>
      </w:r>
      <w:r>
        <w:rPr>
          <w:rFonts w:ascii="Trebuchet MS"/>
          <w:i/>
          <w:color w:val="231f20"/>
          <w:w w:val="90"/>
          <w:sz w:val="18"/>
        </w:rPr>
        <w:t>No.</w:t>
      </w:r>
      <w:r>
        <w:rPr>
          <w:rFonts w:ascii="Trebuchet MS"/>
          <w:i/>
          <w:color w:val="231f20"/>
          <w:spacing w:val="-6"/>
          <w:w w:val="90"/>
          <w:sz w:val="18"/>
        </w:rPr>
        <w:t xml:space="preserve"> </w:t>
      </w:r>
      <w:r>
        <w:rPr>
          <w:rFonts w:ascii="Trebuchet MS"/>
          <w:i/>
          <w:color w:val="231f20"/>
          <w:w w:val="90"/>
          <w:sz w:val="18"/>
        </w:rPr>
        <w:t>I</w:t>
      </w:r>
      <w:r>
        <w:rPr>
          <w:rFonts w:ascii="Trebuchet MS"/>
          <w:i/>
          <w:color w:val="231f20"/>
          <w:spacing w:val="-47"/>
          <w:w w:val="90"/>
          <w:sz w:val="18"/>
        </w:rPr>
        <w:t xml:space="preserve"> </w:t>
      </w:r>
      <w:r>
        <w:rPr>
          <w:rFonts w:ascii="Trebuchet MS"/>
          <w:i/>
          <w:color w:val="231f20"/>
          <w:w w:val="95"/>
          <w:sz w:val="18"/>
        </w:rPr>
        <w:t>tahun</w:t>
      </w:r>
      <w:r>
        <w:rPr>
          <w:rFonts w:ascii="Trebuchet MS"/>
          <w:i/>
          <w:color w:val="231f20"/>
          <w:spacing w:val="-4"/>
          <w:w w:val="95"/>
          <w:sz w:val="18"/>
        </w:rPr>
        <w:t xml:space="preserve"> </w:t>
      </w:r>
      <w:r>
        <w:rPr>
          <w:rFonts w:ascii="Trebuchet MS"/>
          <w:i/>
          <w:color w:val="231f20"/>
          <w:w w:val="95"/>
          <w:sz w:val="18"/>
        </w:rPr>
        <w:t>1990.</w:t>
      </w:r>
      <w:r>
        <w:rPr>
          <w:rFonts w:ascii="Trebuchet MS"/>
          <w:i/>
          <w:color w:val="231f20"/>
          <w:spacing w:val="-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Jakarta:</w:t>
      </w:r>
      <w:r>
        <w:rPr>
          <w:color w:val="231f20"/>
          <w:spacing w:val="-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Sinar</w:t>
      </w:r>
      <w:r>
        <w:rPr>
          <w:color w:val="231f20"/>
          <w:spacing w:val="-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Grafika.</w:t>
      </w:r>
    </w:p>
    <w:p>
      <w:pPr>
        <w:pStyle w:val="style0"/>
        <w:spacing w:before="35"/>
        <w:ind w:left="100"/>
        <w:rPr>
          <w:sz w:val="18"/>
        </w:rPr>
      </w:pPr>
      <w:r>
        <w:rPr>
          <w:color w:val="231f20"/>
          <w:w w:val="95"/>
          <w:sz w:val="18"/>
        </w:rPr>
        <w:t>ICSID</w:t>
      </w:r>
      <w:r>
        <w:rPr>
          <w:color w:val="231f20"/>
          <w:spacing w:val="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Convention.</w:t>
      </w:r>
    </w:p>
    <w:p>
      <w:pPr>
        <w:pStyle w:val="style0"/>
        <w:spacing w:before="53" w:lineRule="auto" w:line="216"/>
        <w:ind w:left="667" w:right="118" w:hanging="567"/>
        <w:jc w:val="both"/>
        <w:rPr>
          <w:sz w:val="18"/>
        </w:rPr>
      </w:pPr>
      <w:r>
        <w:rPr>
          <w:color w:val="231f20"/>
          <w:sz w:val="18"/>
        </w:rPr>
        <w:t>Law of the Republic of Indonesia Number 3 of 2020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w w:val="95"/>
          <w:sz w:val="18"/>
        </w:rPr>
        <w:t>concerning Amendments to Law of the Repub-</w:t>
      </w:r>
      <w:r>
        <w:rPr>
          <w:color w:val="231f20"/>
          <w:spacing w:val="1"/>
          <w:w w:val="95"/>
          <w:sz w:val="18"/>
        </w:rPr>
        <w:t xml:space="preserve"> </w:t>
      </w:r>
      <w:r>
        <w:rPr>
          <w:color w:val="231f20"/>
          <w:sz w:val="18"/>
        </w:rPr>
        <w:t>lic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Indonesia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Number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4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2009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concerning</w:t>
      </w:r>
      <w:r>
        <w:rPr>
          <w:color w:val="231f20"/>
          <w:spacing w:val="-53"/>
          <w:sz w:val="18"/>
        </w:rPr>
        <w:t xml:space="preserve"> </w:t>
      </w:r>
      <w:r>
        <w:rPr>
          <w:color w:val="231f20"/>
          <w:sz w:val="18"/>
        </w:rPr>
        <w:t>Mineral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Coal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Mining.</w:t>
      </w:r>
    </w:p>
    <w:p>
      <w:pPr>
        <w:pStyle w:val="style0"/>
        <w:spacing w:before="59" w:lineRule="auto" w:line="216"/>
        <w:ind w:left="667" w:right="119" w:hanging="567"/>
        <w:jc w:val="both"/>
        <w:rPr>
          <w:sz w:val="18"/>
        </w:rPr>
      </w:pPr>
      <w:r>
        <w:rPr>
          <w:color w:val="231f20"/>
          <w:sz w:val="18"/>
        </w:rPr>
        <w:t>Law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Republic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Indonesia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Number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25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2007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concerning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Investment.</w:t>
      </w:r>
    </w:p>
    <w:p>
      <w:pPr>
        <w:pStyle w:val="style0"/>
        <w:spacing w:before="58" w:lineRule="auto" w:line="216"/>
        <w:ind w:left="667" w:right="119" w:hanging="567"/>
        <w:jc w:val="both"/>
        <w:rPr>
          <w:sz w:val="18"/>
        </w:rPr>
      </w:pPr>
      <w:r>
        <w:rPr>
          <w:color w:val="231f20"/>
          <w:sz w:val="18"/>
        </w:rPr>
        <w:t>Law of the Republic of Indonesia Number 4 of 2009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concerning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Mineral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Coal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Mining.</w:t>
      </w:r>
    </w:p>
    <w:p>
      <w:pPr>
        <w:pStyle w:val="style0"/>
        <w:spacing w:before="57" w:lineRule="auto" w:line="216"/>
        <w:ind w:left="667" w:right="119" w:hanging="567"/>
        <w:jc w:val="both"/>
        <w:rPr>
          <w:sz w:val="18"/>
        </w:rPr>
      </w:pPr>
      <w:r>
        <w:rPr>
          <w:color w:val="231f20"/>
          <w:sz w:val="18"/>
        </w:rPr>
        <w:t>Law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Republic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Indonesia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Number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30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1999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w w:val="95"/>
          <w:sz w:val="18"/>
        </w:rPr>
        <w:t>concerning Arbitration and Alternative Dispute</w:t>
      </w:r>
      <w:r>
        <w:rPr>
          <w:color w:val="231f20"/>
          <w:spacing w:val="1"/>
          <w:w w:val="95"/>
          <w:sz w:val="18"/>
        </w:rPr>
        <w:t xml:space="preserve"> </w:t>
      </w:r>
      <w:r>
        <w:rPr>
          <w:color w:val="231f20"/>
          <w:sz w:val="18"/>
        </w:rPr>
        <w:t>Resolution.</w:t>
      </w:r>
    </w:p>
    <w:p>
      <w:pPr>
        <w:pStyle w:val="style0"/>
        <w:spacing w:before="58" w:lineRule="auto" w:line="216"/>
        <w:ind w:left="667" w:right="119" w:hanging="567"/>
        <w:jc w:val="both"/>
        <w:rPr>
          <w:sz w:val="18"/>
        </w:rPr>
      </w:pPr>
      <w:r>
        <w:rPr>
          <w:color w:val="231f20"/>
          <w:sz w:val="18"/>
        </w:rPr>
        <w:t>Law of the Republic of Indonesia Number 1 of 1967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concerning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Foreign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Investment.</w:t>
      </w:r>
    </w:p>
    <w:p>
      <w:pPr>
        <w:pStyle w:val="style0"/>
        <w:spacing w:before="58" w:lineRule="auto" w:line="216"/>
        <w:ind w:left="667" w:right="119" w:hanging="567"/>
        <w:jc w:val="both"/>
        <w:rPr>
          <w:sz w:val="18"/>
        </w:rPr>
      </w:pPr>
      <w:r>
        <w:rPr>
          <w:color w:val="231f20"/>
          <w:sz w:val="18"/>
        </w:rPr>
        <w:t>Law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Republic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Indonesia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Number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11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1967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concerning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Mining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Principles.</w:t>
      </w:r>
    </w:p>
    <w:p>
      <w:pPr>
        <w:pStyle w:val="style0"/>
        <w:spacing w:before="57" w:lineRule="auto" w:line="216"/>
        <w:ind w:left="667" w:right="118" w:hanging="567"/>
        <w:jc w:val="both"/>
        <w:rPr>
          <w:sz w:val="18"/>
        </w:rPr>
      </w:pPr>
      <w:r>
        <w:rPr>
          <w:color w:val="231f20"/>
          <w:sz w:val="18"/>
        </w:rPr>
        <w:t>Law of the Republic of Indonesia Nu</w:t>
      </w:r>
      <w:r>
        <w:rPr>
          <w:color w:val="231f20"/>
          <w:sz w:val="18"/>
        </w:rPr>
        <w:t>mber 5 of 1968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w w:val="95"/>
          <w:sz w:val="18"/>
        </w:rPr>
        <w:t>concerning</w:t>
      </w:r>
      <w:r>
        <w:rPr>
          <w:color w:val="231f20"/>
          <w:spacing w:val="-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Settlement</w:t>
      </w:r>
      <w:r>
        <w:rPr>
          <w:color w:val="231f20"/>
          <w:spacing w:val="-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Disputes</w:t>
      </w:r>
      <w:r>
        <w:rPr>
          <w:color w:val="231f20"/>
          <w:spacing w:val="-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between</w:t>
      </w:r>
      <w:r>
        <w:rPr>
          <w:color w:val="231f20"/>
          <w:spacing w:val="-7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5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State and Foreign Citizens Regarding Invest-</w:t>
      </w:r>
      <w:r>
        <w:rPr>
          <w:color w:val="231f20"/>
          <w:spacing w:val="1"/>
          <w:w w:val="95"/>
          <w:sz w:val="18"/>
        </w:rPr>
        <w:t xml:space="preserve"> </w:t>
      </w:r>
      <w:r>
        <w:rPr>
          <w:color w:val="231f20"/>
          <w:sz w:val="18"/>
        </w:rPr>
        <w:t>ment.</w:t>
      </w:r>
    </w:p>
    <w:p>
      <w:pPr>
        <w:pStyle w:val="style0"/>
        <w:spacing w:before="57" w:lineRule="auto" w:line="218"/>
        <w:ind w:left="667" w:right="116" w:hanging="567"/>
        <w:jc w:val="both"/>
        <w:rPr>
          <w:sz w:val="18"/>
        </w:rPr>
      </w:pPr>
      <w:r>
        <w:rPr>
          <w:color w:val="231f20"/>
          <w:w w:val="95"/>
          <w:sz w:val="18"/>
        </w:rPr>
        <w:t>Margono,</w:t>
      </w:r>
      <w:r>
        <w:rPr>
          <w:color w:val="231f20"/>
          <w:spacing w:val="-1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S.</w:t>
      </w:r>
      <w:r>
        <w:rPr>
          <w:color w:val="231f20"/>
          <w:spacing w:val="-1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2000.</w:t>
      </w:r>
      <w:r>
        <w:rPr>
          <w:color w:val="231f20"/>
          <w:spacing w:val="32"/>
          <w:w w:val="95"/>
          <w:sz w:val="18"/>
        </w:rPr>
        <w:t xml:space="preserve"> </w:t>
      </w:r>
      <w:r>
        <w:rPr>
          <w:rFonts w:ascii="Trebuchet MS"/>
          <w:i/>
          <w:color w:val="231f20"/>
          <w:w w:val="95"/>
          <w:sz w:val="18"/>
        </w:rPr>
        <w:t>Alternative</w:t>
      </w:r>
      <w:r>
        <w:rPr>
          <w:rFonts w:ascii="Trebuchet MS"/>
          <w:i/>
          <w:color w:val="231f20"/>
          <w:spacing w:val="-9"/>
          <w:w w:val="95"/>
          <w:sz w:val="18"/>
        </w:rPr>
        <w:t xml:space="preserve"> </w:t>
      </w:r>
      <w:r>
        <w:rPr>
          <w:rFonts w:ascii="Trebuchet MS"/>
          <w:i/>
          <w:color w:val="231f20"/>
          <w:w w:val="95"/>
          <w:sz w:val="18"/>
        </w:rPr>
        <w:t>Dispute</w:t>
      </w:r>
      <w:r>
        <w:rPr>
          <w:rFonts w:ascii="Trebuchet MS"/>
          <w:i/>
          <w:color w:val="231f20"/>
          <w:spacing w:val="-8"/>
          <w:w w:val="95"/>
          <w:sz w:val="18"/>
        </w:rPr>
        <w:t xml:space="preserve"> </w:t>
      </w:r>
      <w:r>
        <w:rPr>
          <w:rFonts w:ascii="Trebuchet MS"/>
          <w:i/>
          <w:color w:val="231f20"/>
          <w:w w:val="95"/>
          <w:sz w:val="18"/>
        </w:rPr>
        <w:t>Resolution</w:t>
      </w:r>
      <w:r>
        <w:rPr>
          <w:rFonts w:ascii="Trebuchet MS"/>
          <w:i/>
          <w:color w:val="231f20"/>
          <w:spacing w:val="-9"/>
          <w:w w:val="95"/>
          <w:sz w:val="18"/>
        </w:rPr>
        <w:t xml:space="preserve"> </w:t>
      </w:r>
      <w:r>
        <w:rPr>
          <w:rFonts w:ascii="Trebuchet MS"/>
          <w:i/>
          <w:color w:val="231f20"/>
          <w:w w:val="95"/>
          <w:sz w:val="18"/>
        </w:rPr>
        <w:t>dan</w:t>
      </w:r>
      <w:r>
        <w:rPr>
          <w:rFonts w:ascii="Trebuchet MS"/>
          <w:i/>
          <w:color w:val="231f20"/>
          <w:spacing w:val="-49"/>
          <w:w w:val="95"/>
          <w:sz w:val="18"/>
        </w:rPr>
        <w:t xml:space="preserve"> </w:t>
      </w:r>
      <w:r>
        <w:rPr>
          <w:rFonts w:ascii="Trebuchet MS"/>
          <w:i/>
          <w:color w:val="231f20"/>
          <w:w w:val="95"/>
          <w:sz w:val="18"/>
        </w:rPr>
        <w:t>Arbitrase: Proses Pelembagaan dan Aspek Hu-</w:t>
      </w:r>
      <w:r>
        <w:rPr>
          <w:rFonts w:ascii="Trebuchet MS"/>
          <w:i/>
          <w:color w:val="231f20"/>
          <w:spacing w:val="-49"/>
          <w:w w:val="95"/>
          <w:sz w:val="18"/>
        </w:rPr>
        <w:t xml:space="preserve"> </w:t>
      </w:r>
      <w:r>
        <w:rPr>
          <w:rFonts w:ascii="Trebuchet MS"/>
          <w:i/>
          <w:color w:val="231f20"/>
          <w:sz w:val="18"/>
        </w:rPr>
        <w:t>kum.</w:t>
      </w:r>
      <w:r>
        <w:rPr>
          <w:rFonts w:ascii="Trebuchet MS"/>
          <w:i/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Jakarta: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Ghalia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Indonesia.</w:t>
      </w:r>
    </w:p>
    <w:p>
      <w:pPr>
        <w:pStyle w:val="style0"/>
        <w:spacing w:before="55" w:lineRule="auto" w:line="216"/>
        <w:ind w:left="667" w:right="118" w:hanging="567"/>
        <w:jc w:val="both"/>
        <w:rPr>
          <w:sz w:val="18"/>
        </w:rPr>
      </w:pPr>
      <w:r>
        <w:rPr>
          <w:color w:val="1f2023"/>
          <w:sz w:val="18"/>
        </w:rPr>
        <w:t>Ministry of Energy and Mineral Resources</w:t>
      </w:r>
      <w:r>
        <w:rPr>
          <w:color w:val="231f20"/>
          <w:sz w:val="18"/>
        </w:rPr>
        <w:t>, retrieved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 xml:space="preserve">from </w:t>
      </w:r>
      <w:r>
        <w:rPr/>
        <w:fldChar w:fldCharType="begin"/>
      </w:r>
      <w:r>
        <w:instrText xml:space="preserve"> HYPERLINK "http://www.esdm.go.id/id/media-center/" </w:instrText>
      </w:r>
      <w:r>
        <w:rPr/>
        <w:fldChar w:fldCharType="separate"/>
      </w:r>
      <w:r>
        <w:rPr>
          <w:color w:val="0000ff"/>
          <w:spacing w:val="-1"/>
          <w:w w:val="95"/>
          <w:sz w:val="18"/>
          <w:u w:val="single" w:color="231f20"/>
        </w:rPr>
        <w:t>https://www.esdm.go.id/id/media-</w:t>
      </w:r>
      <w:r>
        <w:rPr/>
        <w:fldChar w:fldCharType="end"/>
      </w:r>
      <w:r>
        <w:rPr>
          <w:color w:val="0000ff"/>
          <w:spacing w:val="-1"/>
          <w:w w:val="95"/>
          <w:sz w:val="18"/>
          <w:u w:val="single" w:color="231f20"/>
        </w:rPr>
        <w:t>center/</w:t>
      </w:r>
      <w:r>
        <w:rPr>
          <w:color w:val="0000ff"/>
          <w:w w:val="95"/>
          <w:sz w:val="18"/>
        </w:rPr>
        <w:t xml:space="preserve"> </w:t>
      </w:r>
      <w:r>
        <w:rPr>
          <w:color w:val="0000ff"/>
          <w:w w:val="90"/>
          <w:sz w:val="18"/>
          <w:u w:val="single" w:color="231f20"/>
        </w:rPr>
        <w:t>arsip-berita/keputusan-arbitrase-atas-sengketa-</w:t>
      </w:r>
      <w:r>
        <w:rPr>
          <w:color w:val="0000ff"/>
          <w:spacing w:val="1"/>
          <w:w w:val="90"/>
          <w:sz w:val="18"/>
        </w:rPr>
        <w:t xml:space="preserve"> </w:t>
      </w:r>
      <w:r>
        <w:rPr>
          <w:color w:val="0000ff"/>
          <w:w w:val="95"/>
          <w:sz w:val="18"/>
          <w:u w:val="single" w:color="231f20"/>
        </w:rPr>
        <w:t>divestasi-saham-pt-newmont-menangkan-in-</w:t>
      </w:r>
      <w:r>
        <w:rPr>
          <w:color w:val="0000ff"/>
          <w:spacing w:val="1"/>
          <w:w w:val="95"/>
          <w:sz w:val="18"/>
        </w:rPr>
        <w:t xml:space="preserve"> </w:t>
      </w:r>
      <w:r>
        <w:rPr>
          <w:color w:val="0000ff"/>
          <w:sz w:val="18"/>
          <w:u w:val="single" w:color="231f20"/>
        </w:rPr>
        <w:t>donesia</w:t>
      </w:r>
    </w:p>
    <w:p>
      <w:pPr>
        <w:pStyle w:val="style0"/>
        <w:spacing w:before="59" w:lineRule="auto" w:line="216"/>
        <w:ind w:left="667" w:right="118" w:hanging="567"/>
        <w:jc w:val="both"/>
        <w:rPr>
          <w:sz w:val="18"/>
        </w:rPr>
      </w:pPr>
      <w:r>
        <w:rPr>
          <w:color w:val="1f2023"/>
          <w:sz w:val="18"/>
        </w:rPr>
        <w:t>Ministry of Energy and Mineral Resources</w:t>
      </w:r>
      <w:r>
        <w:rPr>
          <w:color w:val="231f20"/>
          <w:sz w:val="18"/>
        </w:rPr>
        <w:t xml:space="preserve">, </w:t>
      </w:r>
      <w:r>
        <w:rPr>
          <w:color w:val="231f20"/>
          <w:sz w:val="18"/>
        </w:rPr>
        <w:t>retrieved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pacing w:val="-1"/>
          <w:w w:val="95"/>
          <w:sz w:val="18"/>
        </w:rPr>
        <w:t xml:space="preserve">from </w:t>
      </w:r>
      <w:r>
        <w:rPr/>
        <w:fldChar w:fldCharType="begin"/>
      </w:r>
      <w:r>
        <w:instrText xml:space="preserve"> HYPERLINK "http://www.esdm.go.id/id/media-center/" </w:instrText>
      </w:r>
      <w:r>
        <w:rPr/>
        <w:fldChar w:fldCharType="separate"/>
      </w:r>
      <w:r>
        <w:rPr>
          <w:color w:val="0000ff"/>
          <w:spacing w:val="-1"/>
          <w:w w:val="95"/>
          <w:sz w:val="18"/>
          <w:u w:val="single" w:color="231f20"/>
        </w:rPr>
        <w:t>https://www.esdm.go.id/id/media-</w:t>
      </w:r>
      <w:r>
        <w:rPr/>
        <w:fldChar w:fldCharType="end"/>
      </w:r>
      <w:r>
        <w:rPr>
          <w:color w:val="0000ff"/>
          <w:spacing w:val="-1"/>
          <w:w w:val="95"/>
          <w:sz w:val="18"/>
          <w:u w:val="single" w:color="231f20"/>
        </w:rPr>
        <w:t>center/</w:t>
      </w:r>
      <w:r>
        <w:rPr>
          <w:color w:val="0000ff"/>
          <w:w w:val="95"/>
          <w:sz w:val="18"/>
        </w:rPr>
        <w:t xml:space="preserve"> </w:t>
      </w:r>
      <w:r>
        <w:rPr>
          <w:color w:val="0000ff"/>
          <w:w w:val="90"/>
          <w:sz w:val="18"/>
          <w:u w:val="single" w:color="231f20"/>
        </w:rPr>
        <w:t>arsip-berita/keputusan-arbitrase-at</w:t>
      </w:r>
      <w:r>
        <w:rPr>
          <w:color w:val="0000ff"/>
          <w:w w:val="90"/>
          <w:sz w:val="18"/>
          <w:u w:val="single" w:color="231f20"/>
        </w:rPr>
        <w:t>as-sengketa-</w:t>
      </w:r>
      <w:r>
        <w:rPr>
          <w:color w:val="0000ff"/>
          <w:spacing w:val="1"/>
          <w:w w:val="90"/>
          <w:sz w:val="18"/>
        </w:rPr>
        <w:t xml:space="preserve"> </w:t>
      </w:r>
      <w:r>
        <w:rPr>
          <w:color w:val="0000ff"/>
          <w:w w:val="95"/>
          <w:sz w:val="18"/>
          <w:u w:val="single" w:color="231f20"/>
        </w:rPr>
        <w:t>divestasi-saham-pt-newmont-menangkan-in-</w:t>
      </w:r>
      <w:r>
        <w:rPr>
          <w:color w:val="0000ff"/>
          <w:spacing w:val="1"/>
          <w:w w:val="95"/>
          <w:sz w:val="18"/>
        </w:rPr>
        <w:t xml:space="preserve"> </w:t>
      </w:r>
      <w:r>
        <w:rPr>
          <w:color w:val="0000ff"/>
          <w:sz w:val="18"/>
          <w:u w:val="single" w:color="231f20"/>
        </w:rPr>
        <w:t>donesia</w:t>
      </w:r>
    </w:p>
    <w:p>
      <w:pPr>
        <w:pStyle w:val="style0"/>
        <w:spacing w:before="41"/>
        <w:ind w:left="100"/>
        <w:jc w:val="both"/>
        <w:rPr>
          <w:sz w:val="18"/>
        </w:rPr>
      </w:pPr>
      <w:r>
        <w:rPr>
          <w:color w:val="231f20"/>
          <w:w w:val="95"/>
          <w:sz w:val="18"/>
        </w:rPr>
        <w:t>New</w:t>
      </w:r>
      <w:r>
        <w:rPr>
          <w:color w:val="231f20"/>
          <w:spacing w:val="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York</w:t>
      </w:r>
      <w:r>
        <w:rPr>
          <w:color w:val="231f20"/>
          <w:spacing w:val="9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Convention.</w:t>
      </w:r>
    </w:p>
    <w:p>
      <w:pPr>
        <w:pStyle w:val="style0"/>
        <w:spacing w:before="54" w:lineRule="auto" w:line="216"/>
        <w:ind w:left="667" w:right="118" w:hanging="567"/>
        <w:jc w:val="both"/>
        <w:rPr>
          <w:sz w:val="18"/>
        </w:rPr>
      </w:pPr>
      <w:r>
        <w:rPr>
          <w:color w:val="231f20"/>
          <w:w w:val="95"/>
          <w:sz w:val="18"/>
        </w:rPr>
        <w:t>Regulation</w:t>
      </w:r>
      <w:r>
        <w:rPr>
          <w:color w:val="231f20"/>
          <w:spacing w:val="-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Supreme</w:t>
      </w:r>
      <w:r>
        <w:rPr>
          <w:color w:val="231f20"/>
          <w:spacing w:val="-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Court</w:t>
      </w:r>
      <w:r>
        <w:rPr>
          <w:color w:val="231f20"/>
          <w:spacing w:val="-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Republic</w:t>
      </w:r>
      <w:r>
        <w:rPr>
          <w:color w:val="231f20"/>
          <w:spacing w:val="-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4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In-</w:t>
      </w:r>
      <w:r>
        <w:rPr>
          <w:color w:val="231f20"/>
          <w:spacing w:val="-51"/>
          <w:w w:val="95"/>
          <w:sz w:val="18"/>
        </w:rPr>
        <w:t xml:space="preserve"> </w:t>
      </w:r>
      <w:r>
        <w:rPr>
          <w:color w:val="231f20"/>
          <w:sz w:val="18"/>
        </w:rPr>
        <w:t>donesia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Number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1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2008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concerning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Media-</w:t>
      </w:r>
      <w:r>
        <w:rPr>
          <w:color w:val="231f20"/>
          <w:spacing w:val="-54"/>
          <w:sz w:val="18"/>
        </w:rPr>
        <w:t xml:space="preserve"> </w:t>
      </w:r>
      <w:r>
        <w:rPr>
          <w:color w:val="231f20"/>
          <w:sz w:val="18"/>
        </w:rPr>
        <w:t>tion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Procedures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Courts.</w:t>
      </w:r>
    </w:p>
    <w:p>
      <w:pPr>
        <w:pStyle w:val="style0"/>
        <w:spacing w:before="59" w:lineRule="auto" w:line="213"/>
        <w:ind w:left="667" w:right="118" w:hanging="567"/>
        <w:jc w:val="both"/>
        <w:rPr>
          <w:sz w:val="18"/>
        </w:rPr>
      </w:pPr>
      <w:r>
        <w:rPr>
          <w:color w:val="231f20"/>
          <w:w w:val="95"/>
          <w:sz w:val="18"/>
        </w:rPr>
        <w:t xml:space="preserve">Redi, A. 2016. </w:t>
      </w:r>
      <w:r>
        <w:rPr>
          <w:rFonts w:ascii="Trebuchet MS"/>
          <w:i/>
          <w:color w:val="231f20"/>
          <w:w w:val="95"/>
          <w:sz w:val="18"/>
        </w:rPr>
        <w:t>Hukum Penyelesaian Sengketa Pertam-</w:t>
      </w:r>
      <w:r>
        <w:rPr>
          <w:rFonts w:ascii="Trebuchet MS"/>
          <w:i/>
          <w:color w:val="231f20"/>
          <w:spacing w:val="-49"/>
          <w:w w:val="95"/>
          <w:sz w:val="18"/>
        </w:rPr>
        <w:t xml:space="preserve"> </w:t>
      </w:r>
      <w:r>
        <w:rPr>
          <w:rFonts w:ascii="Trebuchet MS"/>
          <w:i/>
          <w:color w:val="231f20"/>
          <w:w w:val="95"/>
          <w:sz w:val="18"/>
        </w:rPr>
        <w:t>bangan Mineral dan Batubara</w:t>
      </w:r>
      <w:r>
        <w:rPr>
          <w:color w:val="231f20"/>
          <w:w w:val="95"/>
          <w:sz w:val="18"/>
        </w:rPr>
        <w:t>. Bekasi: Sinar</w:t>
      </w:r>
      <w:r>
        <w:rPr>
          <w:color w:val="231f20"/>
          <w:spacing w:val="1"/>
          <w:w w:val="95"/>
          <w:sz w:val="18"/>
        </w:rPr>
        <w:t xml:space="preserve"> </w:t>
      </w:r>
      <w:r>
        <w:rPr>
          <w:color w:val="231f20"/>
          <w:sz w:val="18"/>
        </w:rPr>
        <w:t>Grafika.</w:t>
      </w:r>
    </w:p>
    <w:p>
      <w:pPr>
        <w:pStyle w:val="style0"/>
        <w:spacing w:before="59" w:lineRule="auto" w:line="213"/>
        <w:ind w:left="667" w:right="118" w:hanging="567"/>
        <w:jc w:val="both"/>
        <w:rPr>
          <w:sz w:val="18"/>
        </w:rPr>
      </w:pPr>
      <w:r>
        <w:rPr>
          <w:color w:val="231f20"/>
          <w:w w:val="95"/>
          <w:sz w:val="18"/>
        </w:rPr>
        <w:t xml:space="preserve">Sari, N. 2013. </w:t>
      </w:r>
      <w:r>
        <w:rPr>
          <w:rFonts w:ascii="Trebuchet MS"/>
          <w:i/>
          <w:color w:val="231f20"/>
          <w:w w:val="95"/>
          <w:sz w:val="18"/>
        </w:rPr>
        <w:t>Penyelesaian Sengketa Di Bidang Per-</w:t>
      </w:r>
      <w:r>
        <w:rPr>
          <w:rFonts w:ascii="Trebuchet MS"/>
          <w:i/>
          <w:color w:val="231f20"/>
          <w:spacing w:val="1"/>
          <w:w w:val="95"/>
          <w:sz w:val="18"/>
        </w:rPr>
        <w:t xml:space="preserve"> </w:t>
      </w:r>
      <w:r>
        <w:rPr>
          <w:rFonts w:ascii="Trebuchet MS"/>
          <w:i/>
          <w:color w:val="231f20"/>
          <w:w w:val="90"/>
          <w:sz w:val="18"/>
        </w:rPr>
        <w:t>tambangan Melalui Mediasi</w:t>
      </w:r>
      <w:r>
        <w:rPr>
          <w:color w:val="231f20"/>
          <w:w w:val="90"/>
          <w:sz w:val="18"/>
        </w:rPr>
        <w:t>, Thesis: Universitas</w:t>
      </w:r>
      <w:r>
        <w:rPr>
          <w:color w:val="231f20"/>
          <w:spacing w:val="1"/>
          <w:w w:val="90"/>
          <w:sz w:val="18"/>
        </w:rPr>
        <w:t xml:space="preserve"> </w:t>
      </w:r>
      <w:r>
        <w:rPr>
          <w:color w:val="231f20"/>
          <w:sz w:val="18"/>
        </w:rPr>
        <w:t>Airlangga.</w:t>
      </w:r>
    </w:p>
    <w:p>
      <w:pPr>
        <w:pStyle w:val="style0"/>
        <w:spacing w:before="40"/>
        <w:ind w:left="100"/>
        <w:rPr>
          <w:sz w:val="18"/>
        </w:rPr>
      </w:pPr>
      <w:r>
        <w:rPr>
          <w:color w:val="231f20"/>
          <w:w w:val="95"/>
          <w:sz w:val="18"/>
        </w:rPr>
        <w:t>SIAC</w:t>
      </w:r>
      <w:r>
        <w:rPr>
          <w:color w:val="231f20"/>
          <w:spacing w:val="-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Rules 2016</w:t>
      </w:r>
    </w:p>
    <w:p>
      <w:pPr>
        <w:pStyle w:val="style0"/>
        <w:spacing w:before="55" w:lineRule="auto" w:line="213"/>
        <w:ind w:left="667" w:right="117" w:hanging="567"/>
        <w:jc w:val="both"/>
        <w:rPr>
          <w:sz w:val="18"/>
        </w:rPr>
      </w:pPr>
      <w:r>
        <w:rPr>
          <w:color w:val="231f20"/>
          <w:w w:val="95"/>
          <w:sz w:val="18"/>
        </w:rPr>
        <w:t xml:space="preserve">Susanti, A. N., 2017. </w:t>
      </w:r>
      <w:r>
        <w:rPr>
          <w:rFonts w:ascii="Trebuchet MS"/>
          <w:i/>
          <w:color w:val="231f20"/>
          <w:w w:val="95"/>
          <w:sz w:val="18"/>
        </w:rPr>
        <w:t>Penyelesaian Sengketa Arbitrase</w:t>
      </w:r>
      <w:r>
        <w:rPr>
          <w:rFonts w:ascii="Trebuchet MS"/>
          <w:i/>
          <w:color w:val="231f20"/>
          <w:spacing w:val="-49"/>
          <w:w w:val="95"/>
          <w:sz w:val="18"/>
        </w:rPr>
        <w:t xml:space="preserve"> </w:t>
      </w:r>
      <w:r>
        <w:rPr>
          <w:rFonts w:ascii="Trebuchet MS"/>
          <w:i/>
          <w:color w:val="231f20"/>
          <w:w w:val="95"/>
          <w:sz w:val="18"/>
        </w:rPr>
        <w:t>dan</w:t>
      </w:r>
      <w:r>
        <w:rPr>
          <w:rFonts w:ascii="Trebuchet MS"/>
          <w:i/>
          <w:color w:val="231f20"/>
          <w:spacing w:val="-8"/>
          <w:w w:val="95"/>
          <w:sz w:val="18"/>
        </w:rPr>
        <w:t xml:space="preserve"> </w:t>
      </w:r>
      <w:r>
        <w:rPr>
          <w:rFonts w:ascii="Trebuchet MS"/>
          <w:i/>
          <w:color w:val="231f20"/>
          <w:w w:val="95"/>
          <w:sz w:val="18"/>
        </w:rPr>
        <w:t>Penerapan</w:t>
      </w:r>
      <w:r>
        <w:rPr>
          <w:rFonts w:ascii="Trebuchet MS"/>
          <w:i/>
          <w:color w:val="231f20"/>
          <w:spacing w:val="-8"/>
          <w:w w:val="95"/>
          <w:sz w:val="18"/>
        </w:rPr>
        <w:t xml:space="preserve"> </w:t>
      </w:r>
      <w:r>
        <w:rPr>
          <w:rFonts w:ascii="Trebuchet MS"/>
          <w:i/>
          <w:color w:val="231f20"/>
          <w:w w:val="95"/>
          <w:sz w:val="18"/>
        </w:rPr>
        <w:t>Hukumnya</w:t>
      </w:r>
      <w:r>
        <w:rPr>
          <w:color w:val="231f20"/>
          <w:w w:val="95"/>
          <w:sz w:val="18"/>
        </w:rPr>
        <w:t>,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Jakarta:</w:t>
      </w:r>
      <w:r>
        <w:rPr>
          <w:color w:val="231f20"/>
          <w:spacing w:val="-10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Kencana.</w:t>
      </w:r>
    </w:p>
    <w:p>
      <w:pPr>
        <w:pStyle w:val="style0"/>
        <w:spacing w:before="56" w:lineRule="auto" w:line="213"/>
        <w:ind w:left="667" w:right="118" w:hanging="567"/>
        <w:jc w:val="both"/>
        <w:rPr>
          <w:sz w:val="18"/>
        </w:rPr>
      </w:pPr>
      <w:r>
        <w:rPr>
          <w:color w:val="231f20"/>
          <w:w w:val="90"/>
          <w:sz w:val="18"/>
        </w:rPr>
        <w:t xml:space="preserve">Sukwanto, B. &amp; Siregar, T. 2010. </w:t>
      </w:r>
      <w:r>
        <w:rPr>
          <w:rFonts w:ascii="Trebuchet MS"/>
          <w:i/>
          <w:color w:val="231f20"/>
          <w:w w:val="90"/>
          <w:sz w:val="18"/>
        </w:rPr>
        <w:t>Pelaksanaaan Putusan</w:t>
      </w:r>
      <w:r>
        <w:rPr>
          <w:rFonts w:ascii="Trebuchet MS"/>
          <w:i/>
          <w:color w:val="231f20"/>
          <w:spacing w:val="1"/>
          <w:w w:val="90"/>
          <w:sz w:val="18"/>
        </w:rPr>
        <w:t xml:space="preserve"> </w:t>
      </w:r>
      <w:r>
        <w:rPr>
          <w:rFonts w:ascii="Trebuchet MS"/>
          <w:i/>
          <w:color w:val="231f20"/>
          <w:w w:val="90"/>
          <w:sz w:val="18"/>
        </w:rPr>
        <w:t>Arbitrase Internasional di Indonesia</w:t>
      </w:r>
      <w:r>
        <w:rPr>
          <w:color w:val="231f20"/>
          <w:w w:val="90"/>
          <w:sz w:val="18"/>
        </w:rPr>
        <w:t>. Jurnal Mer-</w:t>
      </w:r>
      <w:r>
        <w:rPr>
          <w:color w:val="231f20"/>
          <w:spacing w:val="1"/>
          <w:w w:val="90"/>
          <w:sz w:val="18"/>
        </w:rPr>
        <w:t xml:space="preserve"> </w:t>
      </w:r>
      <w:r>
        <w:rPr>
          <w:color w:val="231f20"/>
          <w:sz w:val="18"/>
        </w:rPr>
        <w:t>catoria,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Vol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3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No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1</w:t>
      </w:r>
    </w:p>
    <w:p>
      <w:pPr>
        <w:pStyle w:val="style0"/>
        <w:spacing w:before="59" w:lineRule="auto" w:line="213"/>
        <w:ind w:left="667" w:right="118" w:hanging="567"/>
        <w:jc w:val="both"/>
        <w:rPr>
          <w:sz w:val="18"/>
        </w:rPr>
      </w:pPr>
      <w:r>
        <w:rPr>
          <w:color w:val="231f20"/>
          <w:w w:val="90"/>
          <w:sz w:val="18"/>
        </w:rPr>
        <w:t xml:space="preserve">Trihastuti, N. 2013. </w:t>
      </w:r>
      <w:r>
        <w:rPr>
          <w:rFonts w:ascii="Trebuchet MS"/>
          <w:i/>
          <w:color w:val="231f20"/>
          <w:w w:val="90"/>
          <w:sz w:val="18"/>
        </w:rPr>
        <w:t>Hukum Kontrak Karya Pola Kerjasa-</w:t>
      </w:r>
      <w:r>
        <w:rPr>
          <w:rFonts w:ascii="Trebuchet MS"/>
          <w:i/>
          <w:color w:val="231f20"/>
          <w:spacing w:val="1"/>
          <w:w w:val="90"/>
          <w:sz w:val="18"/>
        </w:rPr>
        <w:t xml:space="preserve"> </w:t>
      </w:r>
      <w:r>
        <w:rPr>
          <w:rFonts w:ascii="Trebuchet MS"/>
          <w:i/>
          <w:color w:val="231f20"/>
          <w:w w:val="95"/>
          <w:sz w:val="18"/>
        </w:rPr>
        <w:t>ma Pengusahaan Pertambangan di Indonesia</w:t>
      </w:r>
      <w:r>
        <w:rPr>
          <w:color w:val="231f20"/>
          <w:w w:val="95"/>
          <w:sz w:val="18"/>
        </w:rPr>
        <w:t>.</w:t>
      </w:r>
      <w:r>
        <w:rPr>
          <w:color w:val="231f20"/>
          <w:spacing w:val="1"/>
          <w:w w:val="95"/>
          <w:sz w:val="18"/>
        </w:rPr>
        <w:t xml:space="preserve"> </w:t>
      </w:r>
      <w:r>
        <w:rPr>
          <w:color w:val="231f20"/>
          <w:sz w:val="18"/>
        </w:rPr>
        <w:t>Malang: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Setara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Press.</w:t>
      </w:r>
    </w:p>
    <w:p>
      <w:pPr>
        <w:pStyle w:val="style0"/>
        <w:spacing w:before="40"/>
        <w:ind w:left="100"/>
        <w:rPr>
          <w:sz w:val="18"/>
        </w:rPr>
      </w:pPr>
      <w:r>
        <w:rPr>
          <w:color w:val="231f20"/>
          <w:spacing w:val="-1"/>
          <w:sz w:val="18"/>
        </w:rPr>
        <w:t>UNCITRAL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Rules.</w:t>
      </w:r>
    </w:p>
    <w:p>
      <w:pPr>
        <w:pStyle w:val="style0"/>
        <w:spacing w:before="35" w:lineRule="exact" w:line="210"/>
        <w:ind w:left="100"/>
        <w:jc w:val="both"/>
        <w:rPr>
          <w:sz w:val="18"/>
        </w:rPr>
      </w:pPr>
      <w:r>
        <w:rPr>
          <w:color w:val="231f20"/>
          <w:w w:val="95"/>
          <w:sz w:val="18"/>
        </w:rPr>
        <w:t>Widnyana,</w:t>
      </w:r>
      <w:r>
        <w:rPr>
          <w:color w:val="231f20"/>
          <w:spacing w:val="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I.</w:t>
      </w:r>
      <w:r>
        <w:rPr>
          <w:color w:val="231f20"/>
          <w:spacing w:val="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2009.</w:t>
      </w:r>
      <w:r>
        <w:rPr>
          <w:color w:val="231f20"/>
          <w:spacing w:val="5"/>
          <w:w w:val="95"/>
          <w:sz w:val="18"/>
        </w:rPr>
        <w:t xml:space="preserve"> </w:t>
      </w:r>
      <w:r>
        <w:rPr>
          <w:rFonts w:ascii="Trebuchet MS"/>
          <w:i/>
          <w:color w:val="231f20"/>
          <w:w w:val="95"/>
          <w:sz w:val="18"/>
        </w:rPr>
        <w:t>Alternatif</w:t>
      </w:r>
      <w:r>
        <w:rPr>
          <w:rFonts w:ascii="Trebuchet MS"/>
          <w:i/>
          <w:color w:val="231f20"/>
          <w:spacing w:val="7"/>
          <w:w w:val="95"/>
          <w:sz w:val="18"/>
        </w:rPr>
        <w:t xml:space="preserve"> </w:t>
      </w:r>
      <w:r>
        <w:rPr>
          <w:rFonts w:ascii="Trebuchet MS"/>
          <w:i/>
          <w:color w:val="231f20"/>
          <w:w w:val="95"/>
          <w:sz w:val="18"/>
        </w:rPr>
        <w:t>Penyelesaian</w:t>
      </w:r>
      <w:r>
        <w:rPr>
          <w:rFonts w:ascii="Trebuchet MS"/>
          <w:i/>
          <w:color w:val="231f20"/>
          <w:spacing w:val="7"/>
          <w:w w:val="95"/>
          <w:sz w:val="18"/>
        </w:rPr>
        <w:t xml:space="preserve"> </w:t>
      </w:r>
      <w:r>
        <w:rPr>
          <w:rFonts w:ascii="Trebuchet MS"/>
          <w:i/>
          <w:color w:val="231f20"/>
          <w:w w:val="95"/>
          <w:sz w:val="18"/>
        </w:rPr>
        <w:t>Sengketa</w:t>
      </w:r>
      <w:r>
        <w:rPr>
          <w:color w:val="231f20"/>
          <w:w w:val="95"/>
          <w:sz w:val="18"/>
        </w:rPr>
        <w:t>.</w:t>
      </w:r>
    </w:p>
    <w:p>
      <w:pPr>
        <w:pStyle w:val="style0"/>
        <w:spacing w:lineRule="exact" w:line="207"/>
        <w:ind w:left="667"/>
        <w:rPr>
          <w:sz w:val="18"/>
        </w:rPr>
      </w:pPr>
      <w:r>
        <w:rPr>
          <w:color w:val="231f20"/>
          <w:w w:val="90"/>
          <w:sz w:val="18"/>
        </w:rPr>
        <w:t>Jakarta:</w:t>
      </w:r>
      <w:r>
        <w:rPr>
          <w:color w:val="231f20"/>
          <w:spacing w:val="10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PT</w:t>
      </w:r>
      <w:r>
        <w:rPr>
          <w:color w:val="231f20"/>
          <w:spacing w:val="11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Fikahati</w:t>
      </w:r>
      <w:r>
        <w:rPr>
          <w:color w:val="231f20"/>
          <w:spacing w:val="10"/>
          <w:w w:val="90"/>
          <w:sz w:val="18"/>
        </w:rPr>
        <w:t xml:space="preserve"> </w:t>
      </w:r>
      <w:r>
        <w:rPr>
          <w:color w:val="231f20"/>
          <w:w w:val="90"/>
          <w:sz w:val="18"/>
        </w:rPr>
        <w:t>Aneska.</w:t>
      </w:r>
    </w:p>
    <w:sectPr>
      <w:pgSz w:w="11910" w:h="16840" w:orient="portrait"/>
      <w:pgMar w:top="1560" w:right="1580" w:bottom="1340" w:left="1600" w:header="1171" w:footer="1142" w:gutter="0"/>
      <w:cols w:equalWidth="0" w:space="720" w:num="2">
        <w:col w:w="4275" w:space="97"/>
        <w:col w:w="43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002020204"/>
    <w:charset w:val="00"/>
    <w:family w:val="swiss"/>
    <w:pitch w:val="variable"/>
    <w:sig w:usb0="00000687" w:usb1="00000000" w:usb2="00000000" w:usb3="00000000" w:csb0="000000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66"/>
      <w:spacing w:lineRule="auto" w:line="14"/>
      <w:ind w:left="0" w:right="0" w:firstLine="0"/>
      <w:jc w:val="left"/>
      <w:rPr>
        <w:sz w:val="2"/>
      </w:rPr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66"/>
      <w:spacing w:lineRule="auto" w:line="14"/>
      <w:ind w:left="0" w:righ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false" relativeHeight="8" behindDoc="true" locked="false" layoutInCell="true" allowOverlap="true">
              <wp:simplePos x="0" y="0"/>
              <wp:positionH relativeFrom="page">
                <wp:posOffset>6480175</wp:posOffset>
              </wp:positionH>
              <wp:positionV relativeFrom="page">
                <wp:posOffset>9793605</wp:posOffset>
              </wp:positionV>
              <wp:extent cx="0" cy="0"/>
              <wp:effectExtent l="0" t="0" r="0" b="0"/>
              <wp:wrapNone/>
              <wp:docPr id="4101" name="Line 2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0" cy="0"/>
                      </a:xfrm>
                      <a:prstGeom prst="line"/>
                      <a:ln cmpd="sng" cap="flat" w="9525">
                        <a:solidFill>
                          <a:srgbClr val="231f2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>
                      <a:prstTxWarp prst="textNoShape"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4101" filled="f" stroked="t" from="510.25pt,771.15pt" to="510.25pt,771.15pt" style="position:absolute;z-index:-2147483639;mso-position-horizontal-relative:page;mso-position-vertical-relative:page;mso-width-percent:0;mso-height-percent:0;mso-width-relative:page;mso-height-relative:page;mso-wrap-distance-left:0.0pt;mso-wrap-distance-right:0.0pt;visibility:visible;">
              <v:stroke color="#231f20"/>
              <v:fill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false" relativeHeight="9" behindDoc="true" locked="false" layoutInCell="true" allowOverlap="true">
              <wp:simplePos x="0" y="0"/>
              <wp:positionH relativeFrom="page">
                <wp:posOffset>1042035</wp:posOffset>
              </wp:positionH>
              <wp:positionV relativeFrom="page">
                <wp:posOffset>9795510</wp:posOffset>
              </wp:positionV>
              <wp:extent cx="201930" cy="167005"/>
              <wp:effectExtent l="0" t="0" r="0" b="0"/>
              <wp:wrapNone/>
              <wp:docPr id="4102" name="Text Box 1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201930" cy="167005"/>
                      </a:xfrm>
                      <a:prstGeom prst="rect"/>
                      <a:ln>
                        <a:noFill/>
                      </a:ln>
                    </wps:spPr>
                    <wps:txbx id="4102">
                      <w:txbxContent>
                        <w:p>
                          <w:pPr>
                            <w:pStyle w:val="style0"/>
                            <w:spacing w:before="13"/>
                            <w:ind w:left="60"/>
                            <w:rPr>
                              <w:sz w:val="18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t>20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vert="horz" anchor="t" wrap="square" upright="true">
                      <a:prstTxWarp prst="textNoShape"/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4102" filled="f" stroked="f" style="position:absolute;margin-left:82.05pt;margin-top:771.3pt;width:15.9pt;height:13.15pt;z-index:-2147483638;mso-position-horizontal-relative:page;mso-position-vertical-relative:page;mso-width-percent:0;mso-height-percent:0;mso-width-relative:page;mso-height-relative:page;mso-wrap-distance-left:0.0pt;mso-wrap-distance-right:0.0pt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before="13"/>
                      <w:ind w:left="60"/>
                      <w:rPr>
                        <w:sz w:val="18"/>
                      </w:rPr>
                    </w:pPr>
                    <w:r>
                      <w:rPr/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t>20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66"/>
      <w:spacing w:lineRule="auto" w:line="14"/>
      <w:ind w:left="0" w:righ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false" relativeHeight="6" behindDoc="true" locked="false" layoutInCell="true" allowOverlap="true">
              <wp:simplePos x="0" y="0"/>
              <wp:positionH relativeFrom="page">
                <wp:posOffset>6480175</wp:posOffset>
              </wp:positionH>
              <wp:positionV relativeFrom="page">
                <wp:posOffset>9793605</wp:posOffset>
              </wp:positionV>
              <wp:extent cx="0" cy="0"/>
              <wp:effectExtent l="0" t="0" r="0" b="0"/>
              <wp:wrapNone/>
              <wp:docPr id="4103" name="Line 4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0" cy="0"/>
                      </a:xfrm>
                      <a:prstGeom prst="line"/>
                      <a:ln cmpd="sng" cap="flat" w="9525">
                        <a:solidFill>
                          <a:srgbClr val="231f2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>
                      <a:prstTxWarp prst="textNoShape"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4103" filled="f" stroked="t" from="510.25pt,771.15pt" to="510.25pt,771.15pt" style="position:absolute;z-index:-2147483641;mso-position-horizontal-relative:page;mso-position-vertical-relative:page;mso-width-percent:0;mso-height-percent:0;mso-width-relative:page;mso-height-relative:page;mso-wrap-distance-left:0.0pt;mso-wrap-distance-right:0.0pt;visibility:visible;">
              <v:stroke color="#231f20"/>
              <v:fill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false" relativeHeight="7" behindDoc="true" locked="false" layoutInCell="true" allowOverlap="true">
              <wp:simplePos x="0" y="0"/>
              <wp:positionH relativeFrom="page">
                <wp:posOffset>6316345</wp:posOffset>
              </wp:positionH>
              <wp:positionV relativeFrom="page">
                <wp:posOffset>9795510</wp:posOffset>
              </wp:positionV>
              <wp:extent cx="201929" cy="167005"/>
              <wp:effectExtent l="0" t="0" r="0" b="0"/>
              <wp:wrapNone/>
              <wp:docPr id="4104" name="Text Box 3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201929" cy="167005"/>
                      </a:xfrm>
                      <a:prstGeom prst="rect"/>
                      <a:ln>
                        <a:noFill/>
                      </a:ln>
                    </wps:spPr>
                    <wps:txbx id="4104">
                      <w:txbxContent>
                        <w:p>
                          <w:pPr>
                            <w:pStyle w:val="style0"/>
                            <w:spacing w:before="13"/>
                            <w:ind w:left="60"/>
                            <w:rPr>
                              <w:sz w:val="18"/>
                            </w:rPr>
                          </w:pPr>
                          <w:r>
                            <w:rPr/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t>19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vert="horz" anchor="t" wrap="square" upright="true">
                      <a:prstTxWarp prst="textNoShape"/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4104" filled="f" stroked="f" style="position:absolute;margin-left:497.35pt;margin-top:771.3pt;width:15.9pt;height:13.15pt;z-index:-2147483640;mso-position-horizontal-relative:page;mso-position-vertical-relative:page;mso-width-percent:0;mso-height-percent:0;mso-width-relative:page;mso-height-relative:page;mso-wrap-distance-left:0.0pt;mso-wrap-distance-right:0.0pt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before="13"/>
                      <w:ind w:left="60"/>
                      <w:rPr>
                        <w:sz w:val="18"/>
                      </w:rPr>
                    </w:pPr>
                    <w:r>
                      <w:rPr/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t>19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66"/>
      <w:spacing w:lineRule="auto" w:line="14"/>
      <w:ind w:left="0" w:righ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false" relativeHeight="4" behindDoc="true" locked="false" layoutInCell="true" allowOverlap="true">
              <wp:simplePos x="0" y="0"/>
              <wp:positionH relativeFrom="page">
                <wp:posOffset>6480175</wp:posOffset>
              </wp:positionH>
              <wp:positionV relativeFrom="page">
                <wp:posOffset>894714</wp:posOffset>
              </wp:positionV>
              <wp:extent cx="0" cy="0"/>
              <wp:effectExtent l="0" t="0" r="0" b="0"/>
              <wp:wrapNone/>
              <wp:docPr id="4097" name="Line 6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0" cy="0"/>
                      </a:xfrm>
                      <a:prstGeom prst="line"/>
                      <a:ln cmpd="sng" cap="flat" w="6350">
                        <a:solidFill>
                          <a:srgbClr val="231f2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>
                      <a:prstTxWarp prst="textNoShape"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4097" filled="f" stroked="t" from="510.25pt,70.45pt" to="510.25pt,70.45pt" style="position:absolute;z-index:-2147483643;mso-position-horizontal-relative:page;mso-position-vertical-relative:page;mso-width-percent:0;mso-height-percent:0;mso-width-relative:page;mso-height-relative:page;mso-wrap-distance-left:0.0pt;mso-wrap-distance-right:0.0pt;visibility:visible;">
              <v:stroke color="#231f20" weight="0.5pt"/>
              <v:fill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false" relativeHeight="5" behindDoc="true" locked="false" layoutInCell="true" allowOverlap="true">
              <wp:simplePos x="0" y="0"/>
              <wp:positionH relativeFrom="page">
                <wp:posOffset>2409190</wp:posOffset>
              </wp:positionH>
              <wp:positionV relativeFrom="page">
                <wp:posOffset>723900</wp:posOffset>
              </wp:positionV>
              <wp:extent cx="2741930" cy="167005"/>
              <wp:effectExtent l="0" t="0" r="0" b="0"/>
              <wp:wrapNone/>
              <wp:docPr id="4098" name="Text Box 5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2741930" cy="167005"/>
                      </a:xfrm>
                      <a:prstGeom prst="rect"/>
                      <a:ln>
                        <a:noFill/>
                      </a:ln>
                    </wps:spPr>
                    <wps:txbx id="4098">
                      <w:txbxContent>
                        <w:p>
                          <w:pPr>
                            <w:pStyle w:val="style0"/>
                            <w:spacing w:before="13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31f20"/>
                              <w:w w:val="95"/>
                              <w:sz w:val="18"/>
                            </w:rPr>
                            <w:t>Pandecta.</w:t>
                          </w:r>
                          <w:r>
                            <w:rPr>
                              <w:color w:val="231f20"/>
                              <w:spacing w:val="2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8"/>
                            </w:rPr>
                            <w:t>Volume</w:t>
                          </w:r>
                          <w:r>
                            <w:rPr>
                              <w:color w:val="231f20"/>
                              <w:spacing w:val="3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8"/>
                            </w:rPr>
                            <w:t>17.</w:t>
                          </w:r>
                          <w:r>
                            <w:rPr>
                              <w:color w:val="231f20"/>
                              <w:spacing w:val="2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8"/>
                            </w:rPr>
                            <w:t>Number</w:t>
                          </w:r>
                          <w:r>
                            <w:rPr>
                              <w:color w:val="231f20"/>
                              <w:spacing w:val="3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8"/>
                            </w:rPr>
                            <w:t>1.</w:t>
                          </w:r>
                          <w:r>
                            <w:rPr>
                              <w:color w:val="231f20"/>
                              <w:spacing w:val="3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8"/>
                            </w:rPr>
                            <w:t>June</w:t>
                          </w:r>
                          <w:r>
                            <w:rPr>
                              <w:color w:val="231f20"/>
                              <w:spacing w:val="2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8"/>
                            </w:rPr>
                            <w:t>2022</w:t>
                          </w:r>
                          <w:r>
                            <w:rPr>
                              <w:color w:val="231f20"/>
                              <w:spacing w:val="3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8"/>
                            </w:rPr>
                            <w:t>Page</w:t>
                          </w:r>
                          <w:r>
                            <w:rPr>
                              <w:color w:val="231f20"/>
                              <w:spacing w:val="2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w w:val="95"/>
                              <w:sz w:val="18"/>
                            </w:rPr>
                            <w:t>18-28</w:t>
                          </w:r>
                        </w:p>
                      </w:txbxContent>
                    </wps:txbx>
                    <wps:bodyPr lIns="0" rIns="0" tIns="0" bIns="0" vert="horz" anchor="t" wrap="square" upright="true">
                      <a:prstTxWarp prst="textNoShape"/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4098" filled="f" stroked="f" style="position:absolute;margin-left:189.7pt;margin-top:57.0pt;width:215.9pt;height:13.15pt;z-index:-2147483642;mso-position-horizontal-relative:page;mso-position-vertical-relative:page;mso-width-percent:0;mso-height-percent:0;mso-width-relative:page;mso-height-relative:page;mso-wrap-distance-left:0.0pt;mso-wrap-distance-right:0.0pt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before="13"/>
                      <w:ind w:left="20"/>
                      <w:rPr>
                        <w:sz w:val="18"/>
                      </w:rPr>
                    </w:pPr>
                    <w:r>
                      <w:rPr>
                        <w:color w:val="231f20"/>
                        <w:w w:val="95"/>
                        <w:sz w:val="18"/>
                      </w:rPr>
                      <w:t>Pandecta.</w:t>
                    </w:r>
                    <w:r>
                      <w:rPr>
                        <w:color w:val="231f20"/>
                        <w:spacing w:val="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8"/>
                      </w:rPr>
                      <w:t>Volume</w:t>
                    </w:r>
                    <w:r>
                      <w:rPr>
                        <w:color w:val="231f20"/>
                        <w:spacing w:val="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8"/>
                      </w:rPr>
                      <w:t>17.</w:t>
                    </w:r>
                    <w:r>
                      <w:rPr>
                        <w:color w:val="231f20"/>
                        <w:spacing w:val="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8"/>
                      </w:rPr>
                      <w:t>Number</w:t>
                    </w:r>
                    <w:r>
                      <w:rPr>
                        <w:color w:val="231f20"/>
                        <w:spacing w:val="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8"/>
                      </w:rPr>
                      <w:t>1.</w:t>
                    </w:r>
                    <w:r>
                      <w:rPr>
                        <w:color w:val="231f20"/>
                        <w:spacing w:val="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8"/>
                      </w:rPr>
                      <w:t>June</w:t>
                    </w:r>
                    <w:r>
                      <w:rPr>
                        <w:color w:val="231f20"/>
                        <w:spacing w:val="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8"/>
                      </w:rPr>
                      <w:t>2022</w:t>
                    </w:r>
                    <w:r>
                      <w:rPr>
                        <w:color w:val="231f20"/>
                        <w:spacing w:val="3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8"/>
                      </w:rPr>
                      <w:t>Page</w:t>
                    </w:r>
                    <w:r>
                      <w:rPr>
                        <w:color w:val="231f20"/>
                        <w:spacing w:val="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w w:val="95"/>
                        <w:sz w:val="18"/>
                      </w:rPr>
                      <w:t>18-28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66"/>
      <w:spacing w:lineRule="auto" w:line="14"/>
      <w:ind w:left="0" w:righ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false" relativeHeight="2" behindDoc="true" locked="false" layoutInCell="true" allowOverlap="true">
              <wp:simplePos x="0" y="0"/>
              <wp:positionH relativeFrom="page">
                <wp:posOffset>6480175</wp:posOffset>
              </wp:positionH>
              <wp:positionV relativeFrom="page">
                <wp:posOffset>897889</wp:posOffset>
              </wp:positionV>
              <wp:extent cx="0" cy="0"/>
              <wp:effectExtent l="0" t="0" r="0" b="0"/>
              <wp:wrapNone/>
              <wp:docPr id="4099" name="Line 8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0" cy="0"/>
                      </a:xfrm>
                      <a:prstGeom prst="line"/>
                      <a:ln cmpd="sng" cap="flat" w="9525">
                        <a:solidFill>
                          <a:srgbClr val="231f2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>
                      <a:prstTxWarp prst="textNoShape"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4099" filled="f" stroked="t" from="510.25pt,70.7pt" to="510.25pt,70.7pt" style="position:absolute;z-index:-2147483645;mso-position-horizontal-relative:page;mso-position-vertical-relative:page;mso-width-percent:0;mso-height-percent:0;mso-width-relative:page;mso-height-relative:page;mso-wrap-distance-left:0.0pt;mso-wrap-distance-right:0.0pt;visibility:visible;">
              <v:stroke color="#231f20"/>
              <v:fill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false" relativeHeight="3" behindDoc="true" locked="false" layoutInCell="true" allowOverlap="true">
              <wp:simplePos x="0" y="0"/>
              <wp:positionH relativeFrom="page">
                <wp:posOffset>3475990</wp:posOffset>
              </wp:positionH>
              <wp:positionV relativeFrom="page">
                <wp:posOffset>730885</wp:posOffset>
              </wp:positionV>
              <wp:extent cx="606425" cy="167004"/>
              <wp:effectExtent l="0" t="0" r="0" b="0"/>
              <wp:wrapNone/>
              <wp:docPr id="4100" name="Text Box 7"/>
              <wp:cNvGraphicFramePr>
                <a:graphicFrameLocks xmlns:a="http://schemas.openxmlformats.org/drawingml/2006/main" noChangeAspect="false" noSelect="false" noResize="false" noGrp="false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606425" cy="167004"/>
                      </a:xfrm>
                      <a:prstGeom prst="rect"/>
                      <a:ln>
                        <a:noFill/>
                      </a:ln>
                    </wps:spPr>
                    <wps:txbx id="4100">
                      <w:txbxContent>
                        <w:p>
                          <w:pPr>
                            <w:pStyle w:val="style0"/>
                            <w:spacing w:before="13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pacing w:val="-4"/>
                              <w:w w:val="90"/>
                              <w:sz w:val="18"/>
                            </w:rPr>
                            <w:t>Author</w:t>
                          </w:r>
                          <w:r>
                            <w:rPr>
                              <w:spacing w:val="-4"/>
                              <w:w w:val="90"/>
                              <w:sz w:val="18"/>
                            </w:rPr>
                            <w:t>,</w:t>
                          </w:r>
                          <w:r>
                            <w:rPr>
                              <w:spacing w:val="-8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w w:val="90"/>
                              <w:sz w:val="18"/>
                            </w:rPr>
                            <w:t>Title</w:t>
                          </w:r>
                        </w:p>
                      </w:txbxContent>
                    </wps:txbx>
                    <wps:bodyPr lIns="0" rIns="0" tIns="0" bIns="0" vert="horz" anchor="t" wrap="square" upright="true">
                      <a:prstTxWarp prst="textNoShape"/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4100" filled="f" stroked="f" style="position:absolute;margin-left:273.7pt;margin-top:57.55pt;width:47.75pt;height:13.15pt;z-index:-2147483644;mso-position-horizontal-relative:page;mso-position-vertical-relative:page;mso-width-percent:0;mso-height-percent:0;mso-width-relative:page;mso-height-relative:page;mso-wrap-distance-left:0.0pt;mso-wrap-distance-right:0.0pt;visibility:visible;">
              <v:stroke on="f"/>
              <v:fill/>
              <v:textbox inset="0.0pt,0.0pt,0.0pt,0.0pt">
                <w:txbxContent>
                  <w:p>
                    <w:pPr>
                      <w:pStyle w:val="style0"/>
                      <w:spacing w:before="13"/>
                      <w:ind w:left="20"/>
                      <w:rPr>
                        <w:sz w:val="18"/>
                      </w:rPr>
                    </w:pPr>
                    <w:r>
                      <w:rPr>
                        <w:b/>
                        <w:spacing w:val="-4"/>
                        <w:w w:val="90"/>
                        <w:sz w:val="18"/>
                      </w:rPr>
                      <w:t>Author</w:t>
                    </w:r>
                    <w:r>
                      <w:rPr>
                        <w:spacing w:val="-4"/>
                        <w:w w:val="90"/>
                        <w:sz w:val="18"/>
                      </w:rPr>
                      <w:t>,</w:t>
                    </w:r>
                    <w:r>
                      <w:rPr>
                        <w:spacing w:val="-8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spacing w:val="-4"/>
                        <w:w w:val="90"/>
                        <w:sz w:val="18"/>
                      </w:rPr>
                      <w:t>Title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B66932A"/>
    <w:lvl w:ilvl="0" w:tplc="3F981E5E">
      <w:start w:val="1"/>
      <w:numFmt w:val="decimal"/>
      <w:lvlText w:val="%1."/>
      <w:lvlJc w:val="left"/>
      <w:pPr>
        <w:ind w:left="667" w:hanging="284"/>
        <w:jc w:val="left"/>
      </w:pPr>
      <w:rPr>
        <w:rFonts w:ascii="Tahoma" w:cs="Tahoma" w:eastAsia="Tahoma" w:hAnsi="Tahoma" w:hint="default"/>
        <w:color w:val="231f20"/>
        <w:w w:val="96"/>
        <w:sz w:val="22"/>
        <w:szCs w:val="22"/>
        <w:lang w:val="en-US" w:bidi="ar-SA" w:eastAsia="en-US"/>
      </w:rPr>
    </w:lvl>
    <w:lvl w:ilvl="1" w:tplc="6C0A44D2">
      <w:start w:val="1"/>
      <w:numFmt w:val="bullet"/>
      <w:lvlText w:val="•"/>
      <w:lvlJc w:val="left"/>
      <w:pPr>
        <w:ind w:left="1021" w:hanging="284"/>
      </w:pPr>
      <w:rPr>
        <w:rFonts w:hint="default"/>
        <w:lang w:val="en-US" w:bidi="ar-SA" w:eastAsia="en-US"/>
      </w:rPr>
    </w:lvl>
    <w:lvl w:ilvl="2" w:tplc="79E6C8EA">
      <w:start w:val="1"/>
      <w:numFmt w:val="bullet"/>
      <w:lvlText w:val="•"/>
      <w:lvlJc w:val="left"/>
      <w:pPr>
        <w:ind w:left="1382" w:hanging="284"/>
      </w:pPr>
      <w:rPr>
        <w:rFonts w:hint="default"/>
        <w:lang w:val="en-US" w:bidi="ar-SA" w:eastAsia="en-US"/>
      </w:rPr>
    </w:lvl>
    <w:lvl w:ilvl="3" w:tplc="7400843E">
      <w:start w:val="1"/>
      <w:numFmt w:val="bullet"/>
      <w:lvlText w:val="•"/>
      <w:lvlJc w:val="left"/>
      <w:pPr>
        <w:ind w:left="1744" w:hanging="284"/>
      </w:pPr>
      <w:rPr>
        <w:rFonts w:hint="default"/>
        <w:lang w:val="en-US" w:bidi="ar-SA" w:eastAsia="en-US"/>
      </w:rPr>
    </w:lvl>
    <w:lvl w:ilvl="4" w:tplc="ACF83860">
      <w:start w:val="1"/>
      <w:numFmt w:val="bullet"/>
      <w:lvlText w:val="•"/>
      <w:lvlJc w:val="left"/>
      <w:pPr>
        <w:ind w:left="2105" w:hanging="284"/>
      </w:pPr>
      <w:rPr>
        <w:rFonts w:hint="default"/>
        <w:lang w:val="en-US" w:bidi="ar-SA" w:eastAsia="en-US"/>
      </w:rPr>
    </w:lvl>
    <w:lvl w:ilvl="5" w:tplc="23AE530C">
      <w:start w:val="1"/>
      <w:numFmt w:val="bullet"/>
      <w:lvlText w:val="•"/>
      <w:lvlJc w:val="left"/>
      <w:pPr>
        <w:ind w:left="2467" w:hanging="284"/>
      </w:pPr>
      <w:rPr>
        <w:rFonts w:hint="default"/>
        <w:lang w:val="en-US" w:bidi="ar-SA" w:eastAsia="en-US"/>
      </w:rPr>
    </w:lvl>
    <w:lvl w:ilvl="6" w:tplc="66380E86">
      <w:start w:val="1"/>
      <w:numFmt w:val="bullet"/>
      <w:lvlText w:val="•"/>
      <w:lvlJc w:val="left"/>
      <w:pPr>
        <w:ind w:left="2828" w:hanging="284"/>
      </w:pPr>
      <w:rPr>
        <w:rFonts w:hint="default"/>
        <w:lang w:val="en-US" w:bidi="ar-SA" w:eastAsia="en-US"/>
      </w:rPr>
    </w:lvl>
    <w:lvl w:ilvl="7" w:tplc="9A625178">
      <w:start w:val="1"/>
      <w:numFmt w:val="bullet"/>
      <w:lvlText w:val="•"/>
      <w:lvlJc w:val="left"/>
      <w:pPr>
        <w:ind w:left="3189" w:hanging="284"/>
      </w:pPr>
      <w:rPr>
        <w:rFonts w:hint="default"/>
        <w:lang w:val="en-US" w:bidi="ar-SA" w:eastAsia="en-US"/>
      </w:rPr>
    </w:lvl>
    <w:lvl w:ilvl="8" w:tplc="BA528538">
      <w:start w:val="1"/>
      <w:numFmt w:val="bullet"/>
      <w:lvlText w:val="•"/>
      <w:lvlJc w:val="left"/>
      <w:pPr>
        <w:ind w:left="3551" w:hanging="284"/>
      </w:pPr>
      <w:rPr>
        <w:rFonts w:hint="default"/>
        <w:lang w:val="en-US" w:bidi="ar-SA" w:eastAsia="en-US"/>
      </w:rPr>
    </w:lvl>
  </w:abstractNum>
  <w:abstractNum w:abstractNumId="1">
    <w:nsid w:val="00000001"/>
    <w:multiLevelType w:val="hybridMultilevel"/>
    <w:tmpl w:val="FDB6B660"/>
    <w:lvl w:ilvl="0" w:tplc="2C0C222C">
      <w:start w:val="1"/>
      <w:numFmt w:val="decimal"/>
      <w:lvlText w:val="%1."/>
      <w:lvlJc w:val="left"/>
      <w:pPr>
        <w:ind w:left="667" w:hanging="284"/>
        <w:jc w:val="right"/>
      </w:pPr>
      <w:rPr>
        <w:rFonts w:hint="default"/>
        <w:w w:val="96"/>
        <w:lang w:val="en-US" w:bidi="ar-SA" w:eastAsia="en-US"/>
      </w:rPr>
    </w:lvl>
    <w:lvl w:ilvl="1" w:tplc="632062FC">
      <w:start w:val="1"/>
      <w:numFmt w:val="bullet"/>
      <w:lvlText w:val="•"/>
      <w:lvlJc w:val="left"/>
      <w:pPr>
        <w:ind w:left="1029" w:hanging="284"/>
      </w:pPr>
      <w:rPr>
        <w:rFonts w:hint="default"/>
        <w:lang w:val="en-US" w:bidi="ar-SA" w:eastAsia="en-US"/>
      </w:rPr>
    </w:lvl>
    <w:lvl w:ilvl="2" w:tplc="C3A8B85E">
      <w:start w:val="1"/>
      <w:numFmt w:val="bullet"/>
      <w:lvlText w:val="•"/>
      <w:lvlJc w:val="left"/>
      <w:pPr>
        <w:ind w:left="1398" w:hanging="284"/>
      </w:pPr>
      <w:rPr>
        <w:rFonts w:hint="default"/>
        <w:lang w:val="en-US" w:bidi="ar-SA" w:eastAsia="en-US"/>
      </w:rPr>
    </w:lvl>
    <w:lvl w:ilvl="3" w:tplc="7368F882">
      <w:start w:val="1"/>
      <w:numFmt w:val="bullet"/>
      <w:lvlText w:val="•"/>
      <w:lvlJc w:val="left"/>
      <w:pPr>
        <w:ind w:left="1768" w:hanging="284"/>
      </w:pPr>
      <w:rPr>
        <w:rFonts w:hint="default"/>
        <w:lang w:val="en-US" w:bidi="ar-SA" w:eastAsia="en-US"/>
      </w:rPr>
    </w:lvl>
    <w:lvl w:ilvl="4" w:tplc="52D05D60">
      <w:start w:val="1"/>
      <w:numFmt w:val="bullet"/>
      <w:lvlText w:val="•"/>
      <w:lvlJc w:val="left"/>
      <w:pPr>
        <w:ind w:left="2137" w:hanging="284"/>
      </w:pPr>
      <w:rPr>
        <w:rFonts w:hint="default"/>
        <w:lang w:val="en-US" w:bidi="ar-SA" w:eastAsia="en-US"/>
      </w:rPr>
    </w:lvl>
    <w:lvl w:ilvl="5" w:tplc="82E876A6">
      <w:start w:val="1"/>
      <w:numFmt w:val="bullet"/>
      <w:lvlText w:val="•"/>
      <w:lvlJc w:val="left"/>
      <w:pPr>
        <w:ind w:left="2506" w:hanging="284"/>
      </w:pPr>
      <w:rPr>
        <w:rFonts w:hint="default"/>
        <w:lang w:val="en-US" w:bidi="ar-SA" w:eastAsia="en-US"/>
      </w:rPr>
    </w:lvl>
    <w:lvl w:ilvl="6" w:tplc="4EB03420">
      <w:start w:val="1"/>
      <w:numFmt w:val="bullet"/>
      <w:lvlText w:val="•"/>
      <w:lvlJc w:val="left"/>
      <w:pPr>
        <w:ind w:left="2876" w:hanging="284"/>
      </w:pPr>
      <w:rPr>
        <w:rFonts w:hint="default"/>
        <w:lang w:val="en-US" w:bidi="ar-SA" w:eastAsia="en-US"/>
      </w:rPr>
    </w:lvl>
    <w:lvl w:ilvl="7" w:tplc="FA007358">
      <w:start w:val="1"/>
      <w:numFmt w:val="bullet"/>
      <w:lvlText w:val="•"/>
      <w:lvlJc w:val="left"/>
      <w:pPr>
        <w:ind w:left="3245" w:hanging="284"/>
      </w:pPr>
      <w:rPr>
        <w:rFonts w:hint="default"/>
        <w:lang w:val="en-US" w:bidi="ar-SA" w:eastAsia="en-US"/>
      </w:rPr>
    </w:lvl>
    <w:lvl w:ilvl="8" w:tplc="6F9E8D10">
      <w:start w:val="1"/>
      <w:numFmt w:val="bullet"/>
      <w:lvlText w:val="•"/>
      <w:lvlJc w:val="left"/>
      <w:pPr>
        <w:ind w:left="3614" w:hanging="284"/>
      </w:pPr>
      <w:rPr>
        <w:rFonts w:hint="default"/>
        <w:lang w:val="en-US" w:bidi="ar-SA" w:eastAsia="en-US"/>
      </w:rPr>
    </w:lvl>
  </w:abstractNum>
  <w:abstractNum w:abstractNumId="2">
    <w:nsid w:val="00000002"/>
    <w:multiLevelType w:val="hybridMultilevel"/>
    <w:tmpl w:val="3692FBEE"/>
    <w:lvl w:ilvl="0" w:tplc="5FD03FE0">
      <w:start w:val="1"/>
      <w:numFmt w:val="decimal"/>
      <w:lvlText w:val="%1."/>
      <w:lvlJc w:val="left"/>
      <w:pPr>
        <w:ind w:left="667" w:hanging="284"/>
        <w:jc w:val="left"/>
      </w:pPr>
      <w:rPr>
        <w:rFonts w:ascii="Tahoma" w:cs="Tahoma" w:eastAsia="Tahoma" w:hAnsi="Tahoma" w:hint="default"/>
        <w:color w:val="231f20"/>
        <w:w w:val="96"/>
        <w:sz w:val="22"/>
        <w:szCs w:val="22"/>
        <w:lang w:val="en-US" w:bidi="ar-SA" w:eastAsia="en-US"/>
      </w:rPr>
    </w:lvl>
    <w:lvl w:ilvl="1" w:tplc="EE8C0D78">
      <w:start w:val="1"/>
      <w:numFmt w:val="bullet"/>
      <w:lvlText w:val="•"/>
      <w:lvlJc w:val="left"/>
      <w:pPr>
        <w:ind w:left="1029" w:hanging="284"/>
      </w:pPr>
      <w:rPr>
        <w:rFonts w:hint="default"/>
        <w:lang w:val="en-US" w:bidi="ar-SA" w:eastAsia="en-US"/>
      </w:rPr>
    </w:lvl>
    <w:lvl w:ilvl="2" w:tplc="178CCAD4">
      <w:start w:val="1"/>
      <w:numFmt w:val="bullet"/>
      <w:lvlText w:val="•"/>
      <w:lvlJc w:val="left"/>
      <w:pPr>
        <w:ind w:left="1398" w:hanging="284"/>
      </w:pPr>
      <w:rPr>
        <w:rFonts w:hint="default"/>
        <w:lang w:val="en-US" w:bidi="ar-SA" w:eastAsia="en-US"/>
      </w:rPr>
    </w:lvl>
    <w:lvl w:ilvl="3" w:tplc="E416D228">
      <w:start w:val="1"/>
      <w:numFmt w:val="bullet"/>
      <w:lvlText w:val="•"/>
      <w:lvlJc w:val="left"/>
      <w:pPr>
        <w:ind w:left="1768" w:hanging="284"/>
      </w:pPr>
      <w:rPr>
        <w:rFonts w:hint="default"/>
        <w:lang w:val="en-US" w:bidi="ar-SA" w:eastAsia="en-US"/>
      </w:rPr>
    </w:lvl>
    <w:lvl w:ilvl="4" w:tplc="06F2D740">
      <w:start w:val="1"/>
      <w:numFmt w:val="bullet"/>
      <w:lvlText w:val="•"/>
      <w:lvlJc w:val="left"/>
      <w:pPr>
        <w:ind w:left="2137" w:hanging="284"/>
      </w:pPr>
      <w:rPr>
        <w:rFonts w:hint="default"/>
        <w:lang w:val="en-US" w:bidi="ar-SA" w:eastAsia="en-US"/>
      </w:rPr>
    </w:lvl>
    <w:lvl w:ilvl="5" w:tplc="528639BE">
      <w:start w:val="1"/>
      <w:numFmt w:val="bullet"/>
      <w:lvlText w:val="•"/>
      <w:lvlJc w:val="left"/>
      <w:pPr>
        <w:ind w:left="2506" w:hanging="284"/>
      </w:pPr>
      <w:rPr>
        <w:rFonts w:hint="default"/>
        <w:lang w:val="en-US" w:bidi="ar-SA" w:eastAsia="en-US"/>
      </w:rPr>
    </w:lvl>
    <w:lvl w:ilvl="6" w:tplc="77B6EFDC">
      <w:start w:val="1"/>
      <w:numFmt w:val="bullet"/>
      <w:lvlText w:val="•"/>
      <w:lvlJc w:val="left"/>
      <w:pPr>
        <w:ind w:left="2876" w:hanging="284"/>
      </w:pPr>
      <w:rPr>
        <w:rFonts w:hint="default"/>
        <w:lang w:val="en-US" w:bidi="ar-SA" w:eastAsia="en-US"/>
      </w:rPr>
    </w:lvl>
    <w:lvl w:ilvl="7" w:tplc="58BCB46E">
      <w:start w:val="1"/>
      <w:numFmt w:val="bullet"/>
      <w:lvlText w:val="•"/>
      <w:lvlJc w:val="left"/>
      <w:pPr>
        <w:ind w:left="3245" w:hanging="284"/>
      </w:pPr>
      <w:rPr>
        <w:rFonts w:hint="default"/>
        <w:lang w:val="en-US" w:bidi="ar-SA" w:eastAsia="en-US"/>
      </w:rPr>
    </w:lvl>
    <w:lvl w:ilvl="8" w:tplc="8658716E">
      <w:start w:val="1"/>
      <w:numFmt w:val="bullet"/>
      <w:lvlText w:val="•"/>
      <w:lvlJc w:val="left"/>
      <w:pPr>
        <w:ind w:left="3614" w:hanging="284"/>
      </w:pPr>
      <w:rPr>
        <w:rFonts w:hint="default"/>
        <w:lang w:val="en-US" w:bidi="ar-SA" w:eastAsia="en-US"/>
      </w:rPr>
    </w:lvl>
  </w:abstractNum>
  <w:abstractNum w:abstractNumId="3">
    <w:nsid w:val="00000003"/>
    <w:multiLevelType w:val="hybridMultilevel"/>
    <w:tmpl w:val="D1DEDB4C"/>
    <w:lvl w:ilvl="0" w:tplc="B1020F32">
      <w:start w:val="1"/>
      <w:numFmt w:val="decimal"/>
      <w:lvlText w:val="%1."/>
      <w:lvlJc w:val="left"/>
      <w:pPr>
        <w:ind w:left="667" w:hanging="284"/>
        <w:jc w:val="left"/>
      </w:pPr>
      <w:rPr>
        <w:rFonts w:ascii="Tahoma" w:cs="Tahoma" w:eastAsia="Tahoma" w:hAnsi="Tahoma" w:hint="default"/>
        <w:color w:val="231f20"/>
        <w:w w:val="96"/>
        <w:sz w:val="22"/>
        <w:szCs w:val="22"/>
        <w:lang w:val="en-US" w:bidi="ar-SA" w:eastAsia="en-US"/>
      </w:rPr>
    </w:lvl>
    <w:lvl w:ilvl="1" w:tplc="68529C60">
      <w:start w:val="1"/>
      <w:numFmt w:val="bullet"/>
      <w:lvlText w:val="•"/>
      <w:lvlJc w:val="left"/>
      <w:pPr>
        <w:ind w:left="1029" w:hanging="284"/>
      </w:pPr>
      <w:rPr>
        <w:rFonts w:hint="default"/>
        <w:lang w:val="en-US" w:bidi="ar-SA" w:eastAsia="en-US"/>
      </w:rPr>
    </w:lvl>
    <w:lvl w:ilvl="2" w:tplc="B6127274">
      <w:start w:val="1"/>
      <w:numFmt w:val="bullet"/>
      <w:lvlText w:val="•"/>
      <w:lvlJc w:val="left"/>
      <w:pPr>
        <w:ind w:left="1398" w:hanging="284"/>
      </w:pPr>
      <w:rPr>
        <w:rFonts w:hint="default"/>
        <w:lang w:val="en-US" w:bidi="ar-SA" w:eastAsia="en-US"/>
      </w:rPr>
    </w:lvl>
    <w:lvl w:ilvl="3" w:tplc="2CC4D7F2">
      <w:start w:val="1"/>
      <w:numFmt w:val="bullet"/>
      <w:lvlText w:val="•"/>
      <w:lvlJc w:val="left"/>
      <w:pPr>
        <w:ind w:left="1768" w:hanging="284"/>
      </w:pPr>
      <w:rPr>
        <w:rFonts w:hint="default"/>
        <w:lang w:val="en-US" w:bidi="ar-SA" w:eastAsia="en-US"/>
      </w:rPr>
    </w:lvl>
    <w:lvl w:ilvl="4" w:tplc="E60A9764">
      <w:start w:val="1"/>
      <w:numFmt w:val="bullet"/>
      <w:lvlText w:val="•"/>
      <w:lvlJc w:val="left"/>
      <w:pPr>
        <w:ind w:left="2137" w:hanging="284"/>
      </w:pPr>
      <w:rPr>
        <w:rFonts w:hint="default"/>
        <w:lang w:val="en-US" w:bidi="ar-SA" w:eastAsia="en-US"/>
      </w:rPr>
    </w:lvl>
    <w:lvl w:ilvl="5" w:tplc="4B74118C">
      <w:start w:val="1"/>
      <w:numFmt w:val="bullet"/>
      <w:lvlText w:val="•"/>
      <w:lvlJc w:val="left"/>
      <w:pPr>
        <w:ind w:left="2506" w:hanging="284"/>
      </w:pPr>
      <w:rPr>
        <w:rFonts w:hint="default"/>
        <w:lang w:val="en-US" w:bidi="ar-SA" w:eastAsia="en-US"/>
      </w:rPr>
    </w:lvl>
    <w:lvl w:ilvl="6" w:tplc="8DDCB820">
      <w:start w:val="1"/>
      <w:numFmt w:val="bullet"/>
      <w:lvlText w:val="•"/>
      <w:lvlJc w:val="left"/>
      <w:pPr>
        <w:ind w:left="2876" w:hanging="284"/>
      </w:pPr>
      <w:rPr>
        <w:rFonts w:hint="default"/>
        <w:lang w:val="en-US" w:bidi="ar-SA" w:eastAsia="en-US"/>
      </w:rPr>
    </w:lvl>
    <w:lvl w:ilvl="7" w:tplc="49D02C66">
      <w:start w:val="1"/>
      <w:numFmt w:val="bullet"/>
      <w:lvlText w:val="•"/>
      <w:lvlJc w:val="left"/>
      <w:pPr>
        <w:ind w:left="3245" w:hanging="284"/>
      </w:pPr>
      <w:rPr>
        <w:rFonts w:hint="default"/>
        <w:lang w:val="en-US" w:bidi="ar-SA" w:eastAsia="en-US"/>
      </w:rPr>
    </w:lvl>
    <w:lvl w:ilvl="8" w:tplc="B008BDD2">
      <w:start w:val="1"/>
      <w:numFmt w:val="bullet"/>
      <w:lvlText w:val="•"/>
      <w:lvlJc w:val="left"/>
      <w:pPr>
        <w:ind w:left="3614" w:hanging="284"/>
      </w:pPr>
      <w:rPr>
        <w:rFonts w:hint="default"/>
        <w:lang w:val="en-US" w:bidi="ar-SA" w:eastAsia="en-US"/>
      </w:rPr>
    </w:lvl>
  </w:abstractNum>
  <w:abstractNum w:abstractNumId="4">
    <w:nsid w:val="00000004"/>
    <w:multiLevelType w:val="hybridMultilevel"/>
    <w:tmpl w:val="7F069576"/>
    <w:lvl w:ilvl="0" w:tplc="6094A362">
      <w:start w:val="1"/>
      <w:numFmt w:val="upperLetter"/>
      <w:lvlText w:val="%1."/>
      <w:lvlJc w:val="left"/>
      <w:pPr>
        <w:ind w:left="384" w:hanging="284"/>
        <w:jc w:val="left"/>
      </w:pPr>
      <w:rPr>
        <w:rFonts w:ascii="Tahoma" w:cs="Tahoma" w:eastAsia="Tahoma" w:hAnsi="Tahoma" w:hint="default"/>
        <w:b/>
        <w:bCs/>
        <w:color w:val="231f20"/>
        <w:w w:val="88"/>
        <w:sz w:val="24"/>
        <w:szCs w:val="24"/>
        <w:lang w:val="en-US" w:bidi="ar-SA" w:eastAsia="en-US"/>
      </w:rPr>
    </w:lvl>
    <w:lvl w:ilvl="1" w:tplc="99049826">
      <w:start w:val="1"/>
      <w:numFmt w:val="decimal"/>
      <w:lvlText w:val="%2."/>
      <w:lvlJc w:val="left"/>
      <w:pPr>
        <w:ind w:left="384" w:hanging="284"/>
        <w:jc w:val="left"/>
      </w:pPr>
      <w:rPr>
        <w:rFonts w:hint="default"/>
        <w:b/>
        <w:bCs/>
        <w:w w:val="86"/>
        <w:lang w:val="en-US" w:bidi="ar-SA" w:eastAsia="en-US"/>
      </w:rPr>
    </w:lvl>
    <w:lvl w:ilvl="2" w:tplc="8C6EF396">
      <w:start w:val="1"/>
      <w:numFmt w:val="decimal"/>
      <w:lvlText w:val="%3."/>
      <w:lvlJc w:val="left"/>
      <w:pPr>
        <w:ind w:left="667" w:hanging="284"/>
        <w:jc w:val="left"/>
      </w:pPr>
      <w:rPr>
        <w:rFonts w:ascii="Tahoma" w:cs="Tahoma" w:eastAsia="Tahoma" w:hAnsi="Tahoma" w:hint="default"/>
        <w:color w:val="231f20"/>
        <w:w w:val="96"/>
        <w:sz w:val="22"/>
        <w:szCs w:val="22"/>
        <w:lang w:val="en-US" w:bidi="ar-SA" w:eastAsia="en-US"/>
      </w:rPr>
    </w:lvl>
    <w:lvl w:ilvl="3" w:tplc="59A442F8">
      <w:start w:val="1"/>
      <w:numFmt w:val="bullet"/>
      <w:lvlText w:val="•"/>
      <w:lvlJc w:val="left"/>
      <w:pPr>
        <w:ind w:left="491" w:hanging="284"/>
      </w:pPr>
      <w:rPr>
        <w:rFonts w:hint="default"/>
        <w:lang w:val="en-US" w:bidi="ar-SA" w:eastAsia="en-US"/>
      </w:rPr>
    </w:lvl>
    <w:lvl w:ilvl="4" w:tplc="AB2A16BE">
      <w:start w:val="1"/>
      <w:numFmt w:val="bullet"/>
      <w:lvlText w:val="•"/>
      <w:lvlJc w:val="left"/>
      <w:pPr>
        <w:ind w:left="407" w:hanging="284"/>
      </w:pPr>
      <w:rPr>
        <w:rFonts w:hint="default"/>
        <w:lang w:val="en-US" w:bidi="ar-SA" w:eastAsia="en-US"/>
      </w:rPr>
    </w:lvl>
    <w:lvl w:ilvl="5" w:tplc="C8AE767A">
      <w:start w:val="1"/>
      <w:numFmt w:val="bullet"/>
      <w:lvlText w:val="•"/>
      <w:lvlJc w:val="left"/>
      <w:pPr>
        <w:ind w:left="322" w:hanging="284"/>
      </w:pPr>
      <w:rPr>
        <w:rFonts w:hint="default"/>
        <w:lang w:val="en-US" w:bidi="ar-SA" w:eastAsia="en-US"/>
      </w:rPr>
    </w:lvl>
    <w:lvl w:ilvl="6" w:tplc="C856155A">
      <w:start w:val="1"/>
      <w:numFmt w:val="bullet"/>
      <w:lvlText w:val="•"/>
      <w:lvlJc w:val="left"/>
      <w:pPr>
        <w:ind w:left="238" w:hanging="284"/>
      </w:pPr>
      <w:rPr>
        <w:rFonts w:hint="default"/>
        <w:lang w:val="en-US" w:bidi="ar-SA" w:eastAsia="en-US"/>
      </w:rPr>
    </w:lvl>
    <w:lvl w:ilvl="7" w:tplc="878EDAD6">
      <w:start w:val="1"/>
      <w:numFmt w:val="bullet"/>
      <w:lvlText w:val="•"/>
      <w:lvlJc w:val="left"/>
      <w:pPr>
        <w:ind w:left="154" w:hanging="284"/>
      </w:pPr>
      <w:rPr>
        <w:rFonts w:hint="default"/>
        <w:lang w:val="en-US" w:bidi="ar-SA" w:eastAsia="en-US"/>
      </w:rPr>
    </w:lvl>
    <w:lvl w:ilvl="8" w:tplc="C07CE5E4">
      <w:start w:val="1"/>
      <w:numFmt w:val="bullet"/>
      <w:lvlText w:val="•"/>
      <w:lvlJc w:val="left"/>
      <w:pPr>
        <w:ind w:left="70" w:hanging="284"/>
      </w:pPr>
      <w:rPr>
        <w:rFonts w:hint="default"/>
        <w:lang w:val="en-US" w:bidi="ar-SA" w:eastAsia="en-U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evenAndOddHeaders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pPr/>
    <w:rPr>
      <w:rFonts w:ascii="Tahoma" w:cs="Tahoma" w:eastAsia="Tahoma" w:hAnsi="Tahoma"/>
    </w:rPr>
  </w:style>
  <w:style w:type="paragraph" w:styleId="style1">
    <w:name w:val="heading 1"/>
    <w:basedOn w:val="style0"/>
    <w:next w:val="style1"/>
    <w:qFormat/>
    <w:uiPriority w:val="9"/>
    <w:pPr>
      <w:spacing w:before="33"/>
      <w:ind w:left="384" w:hanging="285"/>
      <w:jc w:val="both"/>
      <w:outlineLvl w:val="0"/>
    </w:pPr>
    <w:rPr>
      <w:b/>
      <w:bCs/>
      <w:sz w:val="24"/>
      <w:szCs w:val="24"/>
    </w:rPr>
  </w:style>
  <w:style w:type="paragraph" w:styleId="style2">
    <w:name w:val="heading 2"/>
    <w:basedOn w:val="style0"/>
    <w:next w:val="style2"/>
    <w:qFormat/>
    <w:uiPriority w:val="9"/>
    <w:pPr>
      <w:spacing w:before="107"/>
      <w:ind w:left="384" w:right="131" w:hanging="284"/>
      <w:jc w:val="both"/>
      <w:outlineLvl w:val="1"/>
    </w:pPr>
    <w:rPr>
      <w:b/>
      <w:bCs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qFormat/>
    <w:uiPriority w:val="1"/>
    <w:pPr>
      <w:ind w:left="100" w:right="38" w:firstLine="547"/>
      <w:jc w:val="both"/>
    </w:pPr>
    <w:rPr/>
  </w:style>
  <w:style w:type="paragraph" w:styleId="style179">
    <w:name w:val="List Paragraph"/>
    <w:basedOn w:val="style0"/>
    <w:next w:val="style179"/>
    <w:qFormat/>
    <w:uiPriority w:val="1"/>
    <w:pPr>
      <w:ind w:left="667" w:right="38" w:hanging="284"/>
      <w:jc w:val="both"/>
    </w:pPr>
    <w:rPr/>
  </w:style>
  <w:style w:type="paragraph" w:customStyle="1" w:styleId="style4097">
    <w:name w:val="Table Paragraph"/>
    <w:basedOn w:val="style0"/>
    <w:next w:val="style4097"/>
    <w:qFormat/>
    <w:uiPriority w:val="1"/>
    <w:pPr>
      <w:ind w:left="80"/>
    </w:pPr>
    <w:rPr/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8">
    <w:name w:val="Header Char_d2390f9c-6c0c-4c91-bca7-77bb8ccdbb71"/>
    <w:basedOn w:val="style65"/>
    <w:next w:val="style4098"/>
    <w:link w:val="style31"/>
    <w:uiPriority w:val="99"/>
    <w:rPr>
      <w:rFonts w:ascii="Tahoma" w:cs="Tahoma" w:eastAsia="Tahoma" w:hAnsi="Tahoma"/>
    </w:rPr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9">
    <w:name w:val="Footer Char_62230df8-7a23-49a4-bd5c-87714d167337"/>
    <w:basedOn w:val="style65"/>
    <w:next w:val="style4099"/>
    <w:link w:val="style32"/>
    <w:uiPriority w:val="99"/>
    <w:rPr>
      <w:rFonts w:ascii="Tahoma" w:cs="Tahoma" w:eastAsia="Tahoma" w:hAnsi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11" Type="http://schemas.openxmlformats.org/officeDocument/2006/relationships/settings" Target="settings.xml"/><Relationship Id="rId10" Type="http://schemas.openxmlformats.org/officeDocument/2006/relationships/fontTable" Target="fontTable.xml"/><Relationship Id="rId12" Type="http://schemas.openxmlformats.org/officeDocument/2006/relationships/theme" Target="theme/theme1.xml"/><Relationship Id="rId9" Type="http://schemas.openxmlformats.org/officeDocument/2006/relationships/styles" Target="styles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4.xml"/><Relationship Id="rId8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6992</Words>
  <Pages>11</Pages>
  <Characters>37683</Characters>
  <Application>WPS Office</Application>
  <DocSecurity>0</DocSecurity>
  <Paragraphs>227</Paragraphs>
  <ScaleCrop>false</ScaleCrop>
  <LinksUpToDate>false</LinksUpToDate>
  <CharactersWithSpaces>44511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2022-07-01T03:20:00Z</dcterms:created>
  <dc:creator>LENOVO</dc:creator>
  <lastModifiedBy>Redmi 8</lastModifiedBy>
  <dcterms:modified xsi:type="dcterms:W3CDTF">2022-07-01T05:08:29Z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2022-07-01T00:00:00Z</vt:filetime>
  </property>
  <property fmtid="{D5CDD505-2E9C-101B-9397-08002B2CF9AE}" pid="5" name="ICV">
    <vt:lpwstr>ba44af7c608c4182a85e8a7137fe1f35</vt:lpwstr>
  </property>
</Properties>
</file>