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4"/>
          <w:szCs w:val="24"/>
        </w:rPr>
      </w:pPr>
      <w:r>
        <w:rPr>
          <w:rFonts w:ascii="inherit" w:eastAsia="Times New Roman" w:hAnsi="inherit" w:cs="Courier New"/>
          <w:b/>
          <w:color w:val="212121"/>
          <w:sz w:val="24"/>
          <w:szCs w:val="24"/>
        </w:rPr>
        <w:t xml:space="preserve">The Tomb of Teungku Di Anjong: </w:t>
      </w:r>
    </w:p>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4"/>
          <w:szCs w:val="24"/>
        </w:rPr>
      </w:pPr>
      <w:r>
        <w:rPr>
          <w:rFonts w:ascii="inherit" w:eastAsia="Times New Roman" w:hAnsi="inherit" w:cs="Courier New"/>
          <w:b/>
          <w:color w:val="212121"/>
          <w:sz w:val="24"/>
          <w:szCs w:val="24"/>
        </w:rPr>
        <w:t>From History, Art Artifacts and Revitalization Motive for the Development of Aceh Creative Batik Design</w:t>
      </w:r>
      <w:r>
        <w:rPr>
          <w:rStyle w:val="ReferensiCatatanKaki"/>
          <w:rFonts w:ascii="inherit" w:eastAsia="Times New Roman" w:hAnsi="inherit" w:cs="Courier New"/>
          <w:b/>
          <w:color w:val="212121"/>
          <w:sz w:val="24"/>
          <w:szCs w:val="24"/>
        </w:rPr>
        <w:footnoteReference w:id="1"/>
      </w: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4"/>
          <w:szCs w:val="24"/>
        </w:rPr>
      </w:pP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4"/>
          <w:szCs w:val="24"/>
        </w:rPr>
      </w:pP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rPr>
      </w:pP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rPr>
      </w:pPr>
    </w:p>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4"/>
          <w:szCs w:val="24"/>
        </w:rPr>
      </w:pPr>
      <w:r>
        <w:rPr>
          <w:rFonts w:ascii="inherit" w:eastAsia="Times New Roman" w:hAnsi="inherit" w:cs="Courier New"/>
          <w:color w:val="212121"/>
          <w:sz w:val="24"/>
          <w:szCs w:val="24"/>
        </w:rPr>
        <w:t>By</w:t>
      </w:r>
    </w:p>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4"/>
          <w:szCs w:val="24"/>
        </w:rPr>
      </w:pPr>
      <w:r>
        <w:rPr>
          <w:rFonts w:ascii="inherit" w:eastAsia="Times New Roman" w:hAnsi="inherit" w:cs="Courier New"/>
          <w:color w:val="212121"/>
          <w:sz w:val="24"/>
          <w:szCs w:val="24"/>
        </w:rPr>
        <w:t>Herwandi (</w:t>
      </w:r>
      <w:r w:rsidR="008E5C30">
        <w:rPr>
          <w:rFonts w:ascii="Times New Roman" w:hAnsi="Times New Roman"/>
          <w:sz w:val="20"/>
          <w:szCs w:val="20"/>
        </w:rPr>
        <w:t>Faculty of  Humanities, University of Andalas</w:t>
      </w:r>
      <w:r>
        <w:rPr>
          <w:rFonts w:ascii="inherit" w:eastAsia="Times New Roman" w:hAnsi="inherit" w:cs="Courier New"/>
          <w:color w:val="212121"/>
          <w:sz w:val="24"/>
          <w:szCs w:val="24"/>
        </w:rPr>
        <w:t>)</w:t>
      </w:r>
    </w:p>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4"/>
          <w:szCs w:val="24"/>
        </w:rPr>
      </w:pPr>
      <w:r>
        <w:rPr>
          <w:rFonts w:ascii="inherit" w:eastAsia="Times New Roman" w:hAnsi="inherit" w:cs="Courier New"/>
          <w:color w:val="212121"/>
          <w:sz w:val="24"/>
          <w:szCs w:val="24"/>
        </w:rPr>
        <w:t>Husaini Ibrahim (Un</w:t>
      </w:r>
      <w:r w:rsidR="00961B09">
        <w:rPr>
          <w:rFonts w:ascii="inherit" w:eastAsia="Times New Roman" w:hAnsi="inherit" w:cs="Courier New"/>
          <w:color w:val="212121"/>
          <w:sz w:val="24"/>
          <w:szCs w:val="24"/>
        </w:rPr>
        <w:t>iv.</w:t>
      </w:r>
      <w:r w:rsidR="008E5C30">
        <w:rPr>
          <w:rFonts w:ascii="inherit" w:eastAsia="Times New Roman" w:hAnsi="inherit" w:cs="Courier New"/>
          <w:color w:val="212121"/>
          <w:sz w:val="24"/>
          <w:szCs w:val="24"/>
        </w:rPr>
        <w:t xml:space="preserve"> of</w:t>
      </w:r>
      <w:r w:rsidR="00961B09">
        <w:rPr>
          <w:rFonts w:ascii="inherit" w:eastAsia="Times New Roman" w:hAnsi="inherit" w:cs="Courier New"/>
          <w:color w:val="212121"/>
          <w:sz w:val="24"/>
          <w:szCs w:val="24"/>
        </w:rPr>
        <w:t xml:space="preserve"> Syiah Kuala)</w:t>
      </w:r>
    </w:p>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0"/>
          <w:szCs w:val="20"/>
        </w:rPr>
      </w:pPr>
      <w:r>
        <w:rPr>
          <w:rFonts w:ascii="inherit" w:eastAsia="Times New Roman" w:hAnsi="inherit" w:cs="Courier New"/>
          <w:color w:val="212121"/>
          <w:sz w:val="24"/>
          <w:szCs w:val="24"/>
        </w:rPr>
        <w:t>Muhammad Yusdi (</w:t>
      </w:r>
      <w:r w:rsidR="008E5C30">
        <w:rPr>
          <w:rFonts w:ascii="Times New Roman" w:hAnsi="Times New Roman"/>
          <w:sz w:val="20"/>
          <w:szCs w:val="20"/>
        </w:rPr>
        <w:t>Faculty of  Humanities, University of Andalas</w:t>
      </w:r>
      <w:r w:rsidR="00961B09">
        <w:rPr>
          <w:rFonts w:ascii="inherit" w:eastAsia="Times New Roman" w:hAnsi="inherit" w:cs="Courier New"/>
          <w:color w:val="212121"/>
          <w:sz w:val="24"/>
          <w:szCs w:val="24"/>
        </w:rPr>
        <w:t>)</w:t>
      </w: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rPr>
      </w:pP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rPr>
      </w:pPr>
    </w:p>
    <w:p w:rsidR="005B63E8" w:rsidRPr="00956497" w:rsidRDefault="0063176A" w:rsidP="009564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inherit" w:eastAsia="Times New Roman" w:hAnsi="inherit" w:cs="Courier New"/>
          <w:b/>
          <w:color w:val="212121"/>
          <w:sz w:val="24"/>
          <w:szCs w:val="24"/>
        </w:rPr>
      </w:pPr>
      <w:r w:rsidRPr="00956497">
        <w:rPr>
          <w:rFonts w:ascii="inherit" w:eastAsia="Times New Roman" w:hAnsi="inherit" w:cs="Courier New"/>
          <w:b/>
          <w:color w:val="212121"/>
          <w:sz w:val="24"/>
          <w:szCs w:val="24"/>
        </w:rPr>
        <w:t>Abstract</w:t>
      </w:r>
    </w:p>
    <w:p w:rsidR="00956497" w:rsidRDefault="00956497" w:rsidP="009564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inherit" w:eastAsia="Times New Roman" w:hAnsi="inherit" w:cs="Courier New"/>
          <w:color w:val="212121"/>
          <w:sz w:val="24"/>
          <w:szCs w:val="24"/>
        </w:rPr>
      </w:pPr>
    </w:p>
    <w:p w:rsidR="005B63E8" w:rsidRPr="00B378AE"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color w:val="212121"/>
        </w:rPr>
      </w:pPr>
      <w:r w:rsidRPr="00B378AE">
        <w:rPr>
          <w:rFonts w:ascii="inherit" w:eastAsia="Times New Roman" w:hAnsi="inherit" w:cs="Courier New"/>
          <w:color w:val="212121"/>
        </w:rPr>
        <w:t xml:space="preserve">Teungku Di Anjong is a great </w:t>
      </w:r>
      <w:r w:rsidRPr="00B378AE">
        <w:rPr>
          <w:rFonts w:ascii="inherit" w:eastAsia="Times New Roman" w:hAnsi="inherit" w:cs="Courier New" w:hint="eastAsia"/>
          <w:color w:val="212121"/>
        </w:rPr>
        <w:t>‘</w:t>
      </w:r>
      <w:r w:rsidRPr="00B378AE">
        <w:rPr>
          <w:rFonts w:ascii="inherit" w:eastAsia="Times New Roman" w:hAnsi="inherit" w:cs="Courier New"/>
          <w:color w:val="212121"/>
        </w:rPr>
        <w:t>pries</w:t>
      </w:r>
      <w:r w:rsidRPr="00B378AE">
        <w:rPr>
          <w:rFonts w:ascii="inherit" w:eastAsia="Times New Roman" w:hAnsi="inherit" w:cs="Courier New" w:hint="eastAsia"/>
          <w:color w:val="212121"/>
        </w:rPr>
        <w:t>’</w:t>
      </w:r>
      <w:r w:rsidRPr="00B378AE">
        <w:rPr>
          <w:rFonts w:ascii="inherit" w:eastAsia="Times New Roman" w:hAnsi="inherit" w:cs="Courier New"/>
          <w:color w:val="212121"/>
        </w:rPr>
        <w:t xml:space="preserve"> who lived during his reign of Sultan Alaudin Mahmud Shah in the kingdom of Aceh Darussalam (1760 - 1781 AD). He came from Hedramawut but was very influential in Aceh at the time of his life, and had followers not only from the area around Aceh, but also from remote parts of Sumatra, Java, even from Peninsular Malaysia.</w:t>
      </w:r>
    </w:p>
    <w:p w:rsidR="005B63E8" w:rsidRPr="00B378AE"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color w:val="212121"/>
        </w:rPr>
      </w:pPr>
    </w:p>
    <w:p w:rsidR="005B63E8" w:rsidRPr="00B378AE"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rPr>
      </w:pPr>
      <w:r w:rsidRPr="00B378AE">
        <w:rPr>
          <w:rFonts w:ascii="inherit" w:eastAsia="Times New Roman" w:hAnsi="inherit" w:cs="Courier New"/>
          <w:color w:val="212121"/>
        </w:rPr>
        <w:t>Teungku Di Anjong is buried in Gampong Peulanggahan, Kutaraja Sub-district, Banda Aceh City. His tomb is in an old mosque complex, which the people named by the Teungku Di Anjong Mosque. The tomb of Teungku Di Anjong along with his wife's grave named Syarifah, is in a co</w:t>
      </w:r>
      <w:r w:rsidR="00956497" w:rsidRPr="00B378AE">
        <w:rPr>
          <w:rFonts w:ascii="inherit" w:eastAsia="Times New Roman" w:hAnsi="inherit" w:cs="Courier New"/>
          <w:color w:val="212121"/>
        </w:rPr>
        <w:t>n</w:t>
      </w:r>
      <w:r w:rsidRPr="00B378AE">
        <w:rPr>
          <w:rFonts w:ascii="inherit" w:eastAsia="Times New Roman" w:hAnsi="inherit" w:cs="Courier New"/>
          <w:color w:val="212121"/>
        </w:rPr>
        <w:t>struct (cungkub), has a jirat a</w:t>
      </w:r>
      <w:r w:rsidRPr="00B378AE">
        <w:rPr>
          <w:rFonts w:ascii="inherit" w:eastAsia="Times New Roman" w:hAnsi="inherit" w:cs="Courier New"/>
        </w:rPr>
        <w:t>nd two beautifully decorated tombstones. The decorations are generally in harmony with Islamic art, filled with Arabic flower and calligraphic ornaments. Currently the grave of Tengku Di</w:t>
      </w:r>
      <w:r w:rsidR="00956497" w:rsidRPr="00B378AE">
        <w:rPr>
          <w:rFonts w:ascii="inherit" w:eastAsia="Times New Roman" w:hAnsi="inherit" w:cs="Courier New"/>
        </w:rPr>
        <w:t xml:space="preserve"> A</w:t>
      </w:r>
      <w:r w:rsidRPr="00B378AE">
        <w:rPr>
          <w:rFonts w:ascii="inherit" w:eastAsia="Times New Roman" w:hAnsi="inherit" w:cs="Courier New"/>
        </w:rPr>
        <w:t>njong become</w:t>
      </w:r>
      <w:r w:rsidR="00956497" w:rsidRPr="00B378AE">
        <w:rPr>
          <w:rFonts w:ascii="inherit" w:eastAsia="Times New Roman" w:hAnsi="inherit" w:cs="Courier New"/>
        </w:rPr>
        <w:t>s</w:t>
      </w:r>
      <w:r w:rsidRPr="00B378AE">
        <w:rPr>
          <w:rFonts w:ascii="inherit" w:eastAsia="Times New Roman" w:hAnsi="inherit" w:cs="Courier New"/>
        </w:rPr>
        <w:t xml:space="preserve"> a tourist destination object that is unceasingly visited by travelers, both domestic and foreign.</w:t>
      </w:r>
    </w:p>
    <w:p w:rsidR="005B63E8" w:rsidRPr="00B378AE"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rPr>
      </w:pPr>
    </w:p>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sz w:val="24"/>
          <w:szCs w:val="24"/>
        </w:rPr>
      </w:pPr>
      <w:r w:rsidRPr="00B378AE">
        <w:rPr>
          <w:rFonts w:ascii="inherit" w:eastAsia="Times New Roman" w:hAnsi="inherit" w:cs="Courier New"/>
        </w:rPr>
        <w:t>Teungku Di Anjong Tomb is an art artifact, an art product of the creative industry in the 18th century ago in Aceh, which is a continuation of the tradition of decorating the tomb from earlier times. In this article will discuss the history of Teungku Di Anjong, in dynamics and its role in the development of history in the kingdom of Aceh Darussalam. Then will see the artifacts of the tomb of Tengku Di Anjong, which is associated with the revitalization of the ornament on the tomb, which can produce a new patented "motif" design that is registered to IPR (Intellectual Property Rights). The design of the new motif can be part of the enhancement of creativity for the development of batik motifs in Aceh Darussalam. Batik produced can have character of Aceh and islamic character.</w:t>
      </w: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sz w:val="24"/>
          <w:szCs w:val="24"/>
        </w:rPr>
      </w:pPr>
    </w:p>
    <w:p w:rsidR="005B63E8" w:rsidRDefault="005B63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sz w:val="24"/>
          <w:szCs w:val="24"/>
        </w:rPr>
      </w:pPr>
    </w:p>
    <w:p w:rsidR="005B63E8" w:rsidRDefault="006317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inherit" w:eastAsia="Times New Roman" w:hAnsi="inherit" w:cs="Courier New"/>
          <w:i/>
          <w:sz w:val="24"/>
          <w:szCs w:val="24"/>
        </w:rPr>
      </w:pPr>
      <w:r>
        <w:rPr>
          <w:rFonts w:ascii="inherit" w:eastAsia="Times New Roman" w:hAnsi="inherit" w:cs="Courier New"/>
          <w:sz w:val="24"/>
          <w:szCs w:val="24"/>
        </w:rPr>
        <w:t xml:space="preserve">Keywords: </w:t>
      </w:r>
      <w:r>
        <w:rPr>
          <w:rFonts w:ascii="inherit" w:eastAsia="Times New Roman" w:hAnsi="inherit" w:cs="Courier New"/>
          <w:i/>
          <w:sz w:val="24"/>
          <w:szCs w:val="24"/>
        </w:rPr>
        <w:t>Teungku Di Anjong, history, Aceh Darussalam, archeology, art artifacts, revitalization, tomb decoration, creative batik design.</w:t>
      </w:r>
    </w:p>
    <w:p w:rsidR="005B63E8" w:rsidRDefault="005B63E8">
      <w:pPr>
        <w:pStyle w:val="Standard"/>
        <w:shd w:val="clear" w:color="auto" w:fill="FFFFFF"/>
        <w:tabs>
          <w:tab w:val="left" w:pos="990"/>
        </w:tabs>
        <w:autoSpaceDE w:val="0"/>
        <w:spacing w:line="240" w:lineRule="auto"/>
        <w:ind w:left="1056" w:hangingChars="440" w:hanging="1056"/>
        <w:jc w:val="both"/>
        <w:rPr>
          <w:i/>
        </w:rPr>
      </w:pPr>
    </w:p>
    <w:p w:rsidR="005B63E8" w:rsidRDefault="005B63E8">
      <w:pPr>
        <w:pStyle w:val="Standard"/>
        <w:shd w:val="clear" w:color="auto" w:fill="FFFFFF"/>
        <w:tabs>
          <w:tab w:val="left" w:pos="990"/>
        </w:tabs>
        <w:autoSpaceDE w:val="0"/>
        <w:spacing w:line="240" w:lineRule="auto"/>
        <w:jc w:val="both"/>
        <w:rPr>
          <w:sz w:val="20"/>
          <w:szCs w:val="20"/>
        </w:rPr>
      </w:pPr>
    </w:p>
    <w:p w:rsidR="005B63E8" w:rsidRDefault="0063176A">
      <w:pPr>
        <w:pStyle w:val="Standard"/>
        <w:numPr>
          <w:ilvl w:val="0"/>
          <w:numId w:val="4"/>
        </w:numPr>
        <w:shd w:val="clear" w:color="auto" w:fill="FFFFFF"/>
        <w:tabs>
          <w:tab w:val="left" w:pos="990"/>
        </w:tabs>
        <w:autoSpaceDE w:val="0"/>
        <w:spacing w:line="360" w:lineRule="auto"/>
        <w:jc w:val="both"/>
        <w:rPr>
          <w:b/>
        </w:rPr>
      </w:pPr>
      <w:r>
        <w:rPr>
          <w:b/>
        </w:rPr>
        <w:lastRenderedPageBreak/>
        <w:t>Introduction</w:t>
      </w:r>
    </w:p>
    <w:p w:rsidR="005B63E8" w:rsidRDefault="0063176A">
      <w:pPr>
        <w:pStyle w:val="Standard"/>
        <w:shd w:val="clear" w:color="auto" w:fill="FFFFFF"/>
        <w:tabs>
          <w:tab w:val="left" w:pos="990"/>
        </w:tabs>
        <w:autoSpaceDE w:val="0"/>
        <w:spacing w:line="360" w:lineRule="auto"/>
        <w:jc w:val="both"/>
        <w:rPr>
          <w:rFonts w:cs="Times New Roman"/>
        </w:rPr>
      </w:pPr>
      <w:r>
        <w:rPr>
          <w:b/>
        </w:rPr>
        <w:tab/>
      </w:r>
      <w:r>
        <w:rPr>
          <w:rFonts w:cs="Times New Roman"/>
        </w:rPr>
        <w:t xml:space="preserve">Acheh Darussalam preserves the rich cultural inheritance, mainly related to the Islamic one. </w:t>
      </w:r>
      <w:r w:rsidR="00956497">
        <w:rPr>
          <w:rFonts w:cs="Times New Roman"/>
        </w:rPr>
        <w:t xml:space="preserve"> It s</w:t>
      </w:r>
      <w:r>
        <w:rPr>
          <w:rFonts w:cs="Times New Roman"/>
        </w:rPr>
        <w:t>tart</w:t>
      </w:r>
      <w:r w:rsidR="00956497">
        <w:rPr>
          <w:rFonts w:cs="Times New Roman"/>
        </w:rPr>
        <w:t>ed</w:t>
      </w:r>
      <w:r>
        <w:rPr>
          <w:rFonts w:cs="Times New Roman"/>
        </w:rPr>
        <w:t xml:space="preserve"> from </w:t>
      </w:r>
      <w:r w:rsidR="00956497">
        <w:rPr>
          <w:rFonts w:cs="Times New Roman"/>
        </w:rPr>
        <w:t xml:space="preserve">the </w:t>
      </w:r>
      <w:r>
        <w:rPr>
          <w:rFonts w:cs="Times New Roman"/>
        </w:rPr>
        <w:t>intangible</w:t>
      </w:r>
      <w:r w:rsidR="00956497">
        <w:rPr>
          <w:rFonts w:cs="Times New Roman"/>
        </w:rPr>
        <w:t xml:space="preserve">, </w:t>
      </w:r>
      <w:r>
        <w:rPr>
          <w:rFonts w:cs="Times New Roman"/>
        </w:rPr>
        <w:t>customary rites up to</w:t>
      </w:r>
      <w:r w:rsidR="00956497">
        <w:rPr>
          <w:rFonts w:cs="Times New Roman"/>
        </w:rPr>
        <w:t xml:space="preserve"> </w:t>
      </w:r>
      <w:r>
        <w:rPr>
          <w:rFonts w:cs="Times New Roman"/>
        </w:rPr>
        <w:t>the cultural one</w:t>
      </w:r>
      <w:r w:rsidR="00956497">
        <w:rPr>
          <w:rFonts w:cs="Times New Roman"/>
        </w:rPr>
        <w:t>s</w:t>
      </w:r>
      <w:r>
        <w:rPr>
          <w:rFonts w:cs="Times New Roman"/>
        </w:rPr>
        <w:t xml:space="preserve"> in form of the living</w:t>
      </w:r>
      <w:r w:rsidR="00956497">
        <w:rPr>
          <w:rFonts w:cs="Times New Roman"/>
        </w:rPr>
        <w:t xml:space="preserve"> </w:t>
      </w:r>
      <w:r>
        <w:rPr>
          <w:rFonts w:cs="Times New Roman"/>
        </w:rPr>
        <w:t>and visible cultural entity</w:t>
      </w:r>
      <w:r w:rsidR="00956497">
        <w:rPr>
          <w:rFonts w:cs="Times New Roman"/>
        </w:rPr>
        <w:t xml:space="preserve"> </w:t>
      </w:r>
      <w:r>
        <w:rPr>
          <w:rFonts w:cs="Times New Roman"/>
        </w:rPr>
        <w:t>until now. Acheh is an endless cultural area to explore. Especially in the aspect of the intangible one, Acheh is rich in the inheritance with the remain</w:t>
      </w:r>
      <w:r w:rsidR="00956497">
        <w:rPr>
          <w:rFonts w:cs="Times New Roman"/>
        </w:rPr>
        <w:t>s</w:t>
      </w:r>
      <w:r>
        <w:rPr>
          <w:rFonts w:cs="Times New Roman"/>
        </w:rPr>
        <w:t xml:space="preserve"> of artisti</w:t>
      </w:r>
      <w:bookmarkStart w:id="0" w:name="_GoBack"/>
      <w:bookmarkEnd w:id="0"/>
      <w:r>
        <w:rPr>
          <w:rFonts w:cs="Times New Roman"/>
        </w:rPr>
        <w:t>c artifact decorating the world art and creative industry</w:t>
      </w:r>
      <w:r w:rsidR="00956497">
        <w:rPr>
          <w:rFonts w:cs="Times New Roman"/>
        </w:rPr>
        <w:t xml:space="preserve"> </w:t>
      </w:r>
      <w:r>
        <w:rPr>
          <w:rFonts w:cs="Times New Roman"/>
        </w:rPr>
        <w:t>in its era. Say, for example, the artistic artifact in form of the grave attribute such as tombstone.</w:t>
      </w:r>
      <w:r w:rsidR="00956497">
        <w:rPr>
          <w:rFonts w:cs="Times New Roman"/>
        </w:rPr>
        <w:t xml:space="preserve"> </w:t>
      </w:r>
      <w:r>
        <w:rPr>
          <w:rFonts w:cs="Times New Roman"/>
        </w:rPr>
        <w:t xml:space="preserve">Thousand of artistic artifacts in form of tombstones scattered in almost every </w:t>
      </w:r>
      <w:r>
        <w:rPr>
          <w:rFonts w:cs="Times New Roman"/>
          <w:i/>
        </w:rPr>
        <w:t xml:space="preserve">Gampong, </w:t>
      </w:r>
      <w:r>
        <w:rPr>
          <w:rFonts w:cs="Times New Roman"/>
        </w:rPr>
        <w:t>the Achehtraditional villages.</w:t>
      </w:r>
    </w:p>
    <w:p w:rsidR="005B63E8" w:rsidRDefault="0063176A">
      <w:pPr>
        <w:spacing w:line="360" w:lineRule="auto"/>
        <w:ind w:firstLine="720"/>
        <w:jc w:val="both"/>
        <w:rPr>
          <w:rFonts w:ascii="Times New Roman" w:hAnsi="Times New Roman"/>
          <w:sz w:val="24"/>
          <w:szCs w:val="24"/>
        </w:rPr>
      </w:pPr>
      <w:r>
        <w:rPr>
          <w:rFonts w:ascii="Times New Roman" w:hAnsi="Times New Roman"/>
          <w:sz w:val="24"/>
          <w:szCs w:val="24"/>
        </w:rPr>
        <w:t>In such away, the artistic artifacts and the grave attribute show how the tombstone inspire and grows the creative industry long time ago in the  Nangroe Aceh Darussalam. In its historical discourse, the artistic artifacts were not only traded surrounding the Acheh area but traded to the other areas across Indonesia such as  Malaysia (Yatim 1986, Ambary 1991).</w:t>
      </w:r>
    </w:p>
    <w:p w:rsidR="005B63E8" w:rsidRDefault="0063176A">
      <w:pPr>
        <w:spacing w:line="360" w:lineRule="auto"/>
        <w:ind w:firstLine="720"/>
        <w:jc w:val="both"/>
        <w:rPr>
          <w:rFonts w:ascii="Times New Roman" w:hAnsi="Times New Roman"/>
          <w:sz w:val="24"/>
          <w:szCs w:val="24"/>
        </w:rPr>
      </w:pPr>
      <w:r>
        <w:rPr>
          <w:rFonts w:ascii="Times New Roman" w:hAnsi="Times New Roman"/>
          <w:sz w:val="24"/>
          <w:szCs w:val="24"/>
        </w:rPr>
        <w:t xml:space="preserve">The findings of such artistic artifacts are the evidence that the Nanggro Aceh Darussalam is a very potential area as the field and the object of research on creative industry for it is rich in artifact resources. However, among the resources could have undergone damage and even unusable for being worn-out that it is hard to be identified  and made sources of study at the moment and later on.  Let alone after Acheh was stormed by a civil war, and natural disaster of both earth quake and tsunami, deteriorating the condition that caused many sites seriously damage and they cannot be made the source of study anymore. Such artistic artifacts have recorded the artistic forms mainly the one of decorative variety of Acheh in the past time. If they are revitalized, thus the decorative pattern found on the artistic artifacts could be the main capital in developing both various art and creative industry in Acheh for the moment and the future. </w:t>
      </w:r>
    </w:p>
    <w:p w:rsidR="005B63E8" w:rsidRDefault="0063176A">
      <w:pPr>
        <w:spacing w:line="360" w:lineRule="auto"/>
        <w:ind w:firstLine="720"/>
        <w:jc w:val="both"/>
      </w:pPr>
      <w:r>
        <w:rPr>
          <w:rFonts w:ascii="Times New Roman" w:hAnsi="Times New Roman"/>
          <w:sz w:val="24"/>
          <w:szCs w:val="24"/>
        </w:rPr>
        <w:t xml:space="preserve">This paper discusses the artistic artifact of </w:t>
      </w:r>
      <w:r w:rsidR="00956497">
        <w:rPr>
          <w:rFonts w:ascii="Times New Roman" w:hAnsi="Times New Roman"/>
          <w:sz w:val="24"/>
          <w:szCs w:val="24"/>
        </w:rPr>
        <w:t>Te</w:t>
      </w:r>
      <w:r>
        <w:rPr>
          <w:rFonts w:ascii="Times New Roman" w:hAnsi="Times New Roman"/>
          <w:sz w:val="24"/>
          <w:szCs w:val="24"/>
        </w:rPr>
        <w:t>ngku Di Anjong as the products of arts, artistic artifact appearing at the end of 18</w:t>
      </w:r>
      <w:r>
        <w:rPr>
          <w:rFonts w:ascii="Times New Roman" w:hAnsi="Times New Roman"/>
          <w:sz w:val="24"/>
          <w:szCs w:val="24"/>
          <w:vertAlign w:val="superscript"/>
        </w:rPr>
        <w:t>th</w:t>
      </w:r>
      <w:r>
        <w:rPr>
          <w:rFonts w:ascii="Times New Roman" w:hAnsi="Times New Roman"/>
          <w:sz w:val="24"/>
          <w:szCs w:val="24"/>
        </w:rPr>
        <w:t xml:space="preserve"> century AD. This paper will also relate to</w:t>
      </w:r>
      <w:r w:rsidR="00956497">
        <w:rPr>
          <w:rFonts w:ascii="Times New Roman" w:hAnsi="Times New Roman"/>
          <w:sz w:val="24"/>
          <w:szCs w:val="24"/>
        </w:rPr>
        <w:t xml:space="preserve"> Te</w:t>
      </w:r>
      <w:r>
        <w:rPr>
          <w:rFonts w:ascii="Times New Roman" w:hAnsi="Times New Roman"/>
          <w:sz w:val="24"/>
          <w:szCs w:val="24"/>
        </w:rPr>
        <w:t>ngku Di Anjong, great ulla buried in the grave. Who is Teungku Di Anjong and how do people appreciate him? What is the form of the ar</w:t>
      </w:r>
      <w:r w:rsidR="00956497">
        <w:rPr>
          <w:rFonts w:ascii="Times New Roman" w:hAnsi="Times New Roman"/>
          <w:sz w:val="24"/>
          <w:szCs w:val="24"/>
        </w:rPr>
        <w:t>tistic artifact of the grave of</w:t>
      </w:r>
      <w:r>
        <w:rPr>
          <w:rFonts w:ascii="Times New Roman" w:hAnsi="Times New Roman"/>
          <w:sz w:val="24"/>
          <w:szCs w:val="24"/>
        </w:rPr>
        <w:t xml:space="preserve"> </w:t>
      </w:r>
      <w:r>
        <w:rPr>
          <w:rFonts w:ascii="Times New Roman" w:hAnsi="Times New Roman"/>
          <w:sz w:val="24"/>
          <w:szCs w:val="24"/>
        </w:rPr>
        <w:lastRenderedPageBreak/>
        <w:t xml:space="preserve">Teungku di Anjong ? How is the decorative formal pattern of the artistic artifact? </w:t>
      </w:r>
      <w:r w:rsidR="00956497">
        <w:rPr>
          <w:rFonts w:ascii="Times New Roman" w:hAnsi="Times New Roman"/>
          <w:sz w:val="24"/>
          <w:szCs w:val="24"/>
        </w:rPr>
        <w:t>What is the formal motif</w:t>
      </w:r>
      <w:r>
        <w:rPr>
          <w:rFonts w:ascii="Times New Roman" w:hAnsi="Times New Roman"/>
          <w:sz w:val="24"/>
          <w:szCs w:val="24"/>
        </w:rPr>
        <w:t xml:space="preserve"> of revitalization result of Teungku Di Anjong’s grave? They are some number of question</w:t>
      </w:r>
      <w:r w:rsidR="00956497">
        <w:rPr>
          <w:rFonts w:ascii="Times New Roman" w:hAnsi="Times New Roman"/>
          <w:sz w:val="24"/>
          <w:szCs w:val="24"/>
        </w:rPr>
        <w:t>s</w:t>
      </w:r>
      <w:r>
        <w:rPr>
          <w:rFonts w:ascii="Times New Roman" w:hAnsi="Times New Roman"/>
          <w:sz w:val="24"/>
          <w:szCs w:val="24"/>
        </w:rPr>
        <w:t xml:space="preserve"> basing this article.</w:t>
      </w:r>
    </w:p>
    <w:p w:rsidR="005B63E8" w:rsidRDefault="0063176A">
      <w:pPr>
        <w:pStyle w:val="Standard"/>
        <w:shd w:val="clear" w:color="auto" w:fill="FFFFFF"/>
        <w:tabs>
          <w:tab w:val="left" w:pos="990"/>
        </w:tabs>
        <w:autoSpaceDE w:val="0"/>
        <w:spacing w:line="240" w:lineRule="auto"/>
        <w:ind w:left="360" w:hanging="360"/>
        <w:jc w:val="both"/>
        <w:rPr>
          <w:b/>
          <w:color w:val="000000"/>
        </w:rPr>
      </w:pPr>
      <w:r>
        <w:rPr>
          <w:b/>
          <w:color w:val="000000"/>
        </w:rPr>
        <w:t xml:space="preserve">B. History and Character of Teungku Di Anjong </w:t>
      </w:r>
    </w:p>
    <w:p w:rsidR="005B63E8" w:rsidRDefault="0063176A">
      <w:pPr>
        <w:pStyle w:val="Standard"/>
        <w:shd w:val="clear" w:color="auto" w:fill="FFFFFF"/>
        <w:tabs>
          <w:tab w:val="left" w:pos="990"/>
        </w:tabs>
        <w:autoSpaceDE w:val="0"/>
        <w:spacing w:after="0" w:line="360" w:lineRule="auto"/>
        <w:jc w:val="both"/>
        <w:rPr>
          <w:color w:val="000000"/>
        </w:rPr>
      </w:pPr>
      <w:r>
        <w:rPr>
          <w:color w:val="000000"/>
        </w:rPr>
        <w:tab/>
        <w:t>Teungku Di Anjong’s real name was Sayid Abubakar Ibnu Husein Bil-Faqih coming from Hedramawut (Mursyidah, 2011), having pedigree related to immediate descendant of Prophet Muhammad PBOH.</w:t>
      </w:r>
      <w:r w:rsidR="006D0349">
        <w:rPr>
          <w:color w:val="000000"/>
        </w:rPr>
        <w:t xml:space="preserve"> </w:t>
      </w:r>
      <w:r>
        <w:rPr>
          <w:color w:val="000000"/>
        </w:rPr>
        <w:t>He was a great ulama living the authority of Sultan Alaudin Mahmud Syah in the Kingdom of Acheh Darussalam (1760 – 1781 AD). As an Ulama living for more than 60-s years next to Sheikh Abdurrauf as-Singqili, Tengku Di Anjong appeared as the substitute ulama, and was quite influential during his life time in Acheh Darussalam.</w:t>
      </w:r>
    </w:p>
    <w:p w:rsidR="005B63E8" w:rsidRDefault="0063176A" w:rsidP="000E69B9">
      <w:pPr>
        <w:pStyle w:val="Standard"/>
        <w:shd w:val="clear" w:color="auto" w:fill="FFFFFF"/>
        <w:tabs>
          <w:tab w:val="left" w:pos="990"/>
        </w:tabs>
        <w:autoSpaceDE w:val="0"/>
        <w:spacing w:after="120" w:line="360" w:lineRule="auto"/>
        <w:jc w:val="both"/>
        <w:rPr>
          <w:color w:val="000000"/>
        </w:rPr>
      </w:pPr>
      <w:r>
        <w:rPr>
          <w:color w:val="000000"/>
        </w:rPr>
        <w:tab/>
        <w:t>During his life, he ever married</w:t>
      </w:r>
      <w:r w:rsidR="006D0349">
        <w:rPr>
          <w:color w:val="000000"/>
        </w:rPr>
        <w:t xml:space="preserve"> </w:t>
      </w:r>
      <w:r>
        <w:rPr>
          <w:color w:val="000000"/>
        </w:rPr>
        <w:t>two wives. First he was married to an Achenese girl, a daughter of an</w:t>
      </w:r>
      <w:r w:rsidR="006D0349">
        <w:rPr>
          <w:color w:val="000000"/>
        </w:rPr>
        <w:t xml:space="preserve"> </w:t>
      </w:r>
      <w:r>
        <w:rPr>
          <w:i/>
          <w:color w:val="000000"/>
        </w:rPr>
        <w:t>ulee balang</w:t>
      </w:r>
      <w:r>
        <w:rPr>
          <w:color w:val="000000"/>
        </w:rPr>
        <w:t xml:space="preserve"> (RoyalAcheh).  He lived a simple life with his this first wife though she was from the have family. It was not obvious what his first wife’s name was. However, next to the death of his first wife, Tengku Di Anjong went to the Middle East and got married to a woman from his home-town called Syarifah Fathimah binti Abdurrahman Aidit (Hurgronje, 1906: 219). Following the marriage, he came back to Acheh and permanently lived at Kampung Jawa with his wife to the end of his life (Mursyidah 2011). </w:t>
      </w:r>
    </w:p>
    <w:p w:rsidR="005B63E8" w:rsidRDefault="0063176A" w:rsidP="000E69B9">
      <w:pPr>
        <w:pStyle w:val="Standard"/>
        <w:shd w:val="clear" w:color="auto" w:fill="FFFFFF"/>
        <w:tabs>
          <w:tab w:val="left" w:pos="990"/>
        </w:tabs>
        <w:autoSpaceDE w:val="0"/>
        <w:spacing w:after="120" w:line="360" w:lineRule="auto"/>
        <w:jc w:val="both"/>
        <w:rPr>
          <w:color w:val="000000"/>
        </w:rPr>
      </w:pPr>
      <w:r>
        <w:rPr>
          <w:color w:val="000000"/>
        </w:rPr>
        <w:tab/>
        <w:t>He was a very influential Ulama in Acheh for he was the successor of the Ulama of Hadramawut networking spreading and strengthening Islam for some hundreds years before in the Archipelago. He played an important role at the end of 18</w:t>
      </w:r>
      <w:r>
        <w:rPr>
          <w:color w:val="000000"/>
          <w:vertAlign w:val="superscript"/>
        </w:rPr>
        <w:t>th</w:t>
      </w:r>
      <w:r>
        <w:rPr>
          <w:color w:val="000000"/>
        </w:rPr>
        <w:t xml:space="preserve"> centuryin Aceh. Hurgronje stated that that he was a great Ulama and and absolutely honored in Acheh (Hurgronje, 1906). He had a special relationship to the Sultan of Acheh Darussalam. Even one of his student was Sultan Mahmudsyah, originated from Bugis and then appointed the Sultan of Acheh. This Sultan then offered Teungku Di Anjong parcels of land due to his honor to Tengku Di Anjong. </w:t>
      </w:r>
    </w:p>
    <w:p w:rsidR="005B63E8" w:rsidRDefault="0063176A" w:rsidP="000E69B9">
      <w:pPr>
        <w:pStyle w:val="Standard"/>
        <w:shd w:val="clear" w:color="auto" w:fill="FFFFFF"/>
        <w:tabs>
          <w:tab w:val="left" w:pos="990"/>
        </w:tabs>
        <w:autoSpaceDE w:val="0"/>
        <w:spacing w:after="120" w:line="360" w:lineRule="auto"/>
        <w:jc w:val="both"/>
        <w:rPr>
          <w:rFonts w:cs="Times New Roman"/>
          <w:color w:val="000000"/>
        </w:rPr>
      </w:pPr>
      <w:r>
        <w:rPr>
          <w:color w:val="000000"/>
        </w:rPr>
        <w:tab/>
        <w:t xml:space="preserve">Teungku di Anjong also had a wide net-workingacross archipelago since his students were not only from the surrounding Acheh but a part of his disciples were also from some number of places such as Sumatera, Jawa, Celebes, and even from Brunei peninsular Malaysia (Nurdin 2017).  Teungku Di Anjong played an important role in </w:t>
      </w:r>
      <w:r>
        <w:rPr>
          <w:color w:val="000000"/>
        </w:rPr>
        <w:lastRenderedPageBreak/>
        <w:t>spreading Islam across the archipelago in 18</w:t>
      </w:r>
      <w:r>
        <w:rPr>
          <w:color w:val="000000"/>
          <w:vertAlign w:val="superscript"/>
        </w:rPr>
        <w:t>th</w:t>
      </w:r>
      <w:r>
        <w:rPr>
          <w:color w:val="000000"/>
        </w:rPr>
        <w:t xml:space="preserve"> century. He was both a figure the </w:t>
      </w:r>
      <w:r>
        <w:rPr>
          <w:rFonts w:cs="Times New Roman"/>
          <w:color w:val="000000"/>
        </w:rPr>
        <w:t>tasawuf ulama and ulama of fiqih</w:t>
      </w:r>
      <w:r>
        <w:rPr>
          <w:color w:val="000000"/>
        </w:rPr>
        <w:t>. He also played an important role to give an importantposition to Acheh as the “Chamber of Mecca” for previously people wanting to go for Hajj in the middle of 18</w:t>
      </w:r>
      <w:r>
        <w:rPr>
          <w:color w:val="000000"/>
          <w:vertAlign w:val="superscript"/>
        </w:rPr>
        <w:t>th</w:t>
      </w:r>
      <w:r>
        <w:rPr>
          <w:color w:val="000000"/>
        </w:rPr>
        <w:t xml:space="preserve"> centuryhat to transit first in Ahceh (Mardira 2017). The Mecca goers were accommodated at Dayah Teungku Di Anjong. At that time it has been built in that Acheh was considered the Chamber of Mecca since before leaving for Mecca, the Mecca goers</w:t>
      </w:r>
      <w:r>
        <w:rPr>
          <w:rFonts w:cs="Times New Roman"/>
          <w:color w:val="000000"/>
        </w:rPr>
        <w:t>hat to have a stop in Acheh beforehand (Nurdin 2017).</w:t>
      </w:r>
    </w:p>
    <w:p w:rsidR="005B63E8" w:rsidRDefault="0063176A">
      <w:pPr>
        <w:pStyle w:val="NormalWeb"/>
        <w:shd w:val="clear" w:color="auto" w:fill="FFFFFF"/>
        <w:spacing w:before="0" w:beforeAutospacing="0" w:after="150" w:afterAutospacing="0" w:line="360" w:lineRule="auto"/>
        <w:ind w:firstLine="720"/>
        <w:jc w:val="both"/>
        <w:rPr>
          <w:color w:val="000000"/>
        </w:rPr>
      </w:pPr>
      <w:r>
        <w:rPr>
          <w:color w:val="000000"/>
        </w:rPr>
        <w:t>Teungku Di Anjong inherited a number of writing works, one out of which was known named as Book Eight (</w:t>
      </w:r>
      <w:r>
        <w:rPr>
          <w:i/>
          <w:iCs/>
          <w:color w:val="000000"/>
        </w:rPr>
        <w:t>Kitab Lapan</w:t>
      </w:r>
      <w:r>
        <w:rPr>
          <w:color w:val="000000"/>
        </w:rPr>
        <w:t>), a Malay book written in  Arab character (Jawi), the collection of eight knowledge including fiqih, tasawuf, etc. This textbook is still studied by the Achenese in the villages (Mardira 2017).</w:t>
      </w:r>
    </w:p>
    <w:p w:rsidR="005B63E8" w:rsidRDefault="0063176A">
      <w:pPr>
        <w:pStyle w:val="Standard"/>
        <w:shd w:val="clear" w:color="auto" w:fill="FFFFFF"/>
        <w:tabs>
          <w:tab w:val="left" w:pos="720"/>
        </w:tabs>
        <w:autoSpaceDE w:val="0"/>
        <w:spacing w:after="0" w:line="360" w:lineRule="auto"/>
        <w:jc w:val="both"/>
        <w:rPr>
          <w:color w:val="000000"/>
        </w:rPr>
      </w:pPr>
      <w:r>
        <w:rPr>
          <w:color w:val="000000"/>
        </w:rPr>
        <w:tab/>
        <w:t>AfterTeungku Di Anjong died, he was buried by the side of his wife’s graveat at the Mosque of Mesjid Teungku Di Anjong at Kampung Jawa (Hurgronje, 1906:73). His repute was honored and his grave was made place of main pilgrim in Acheh at the end of 19</w:t>
      </w:r>
      <w:r>
        <w:rPr>
          <w:color w:val="000000"/>
          <w:vertAlign w:val="superscript"/>
        </w:rPr>
        <w:t>th</w:t>
      </w:r>
      <w:r>
        <w:rPr>
          <w:color w:val="000000"/>
        </w:rPr>
        <w:t xml:space="preserve"> century. Hourgronje stated that the grave of Tengku Di Anjong together with Syeh Kuala’s</w:t>
      </w:r>
      <w:r w:rsidR="000E7987">
        <w:rPr>
          <w:color w:val="000000"/>
        </w:rPr>
        <w:t xml:space="preserve"> </w:t>
      </w:r>
      <w:r>
        <w:rPr>
          <w:color w:val="000000"/>
        </w:rPr>
        <w:t>were the graves mostly frequented in Acheh (Hurgronje 1906). Even up t</w:t>
      </w:r>
      <w:r w:rsidR="000E7987">
        <w:rPr>
          <w:color w:val="000000"/>
        </w:rPr>
        <w:t>o</w:t>
      </w:r>
      <w:r>
        <w:rPr>
          <w:color w:val="000000"/>
        </w:rPr>
        <w:t xml:space="preserve"> the moment both graves still become tourism destination for pilgrim in Banda Acheh.  </w:t>
      </w:r>
    </w:p>
    <w:p w:rsidR="005B63E8" w:rsidRDefault="0063176A">
      <w:pPr>
        <w:pStyle w:val="Standard"/>
        <w:shd w:val="clear" w:color="auto" w:fill="FFFFFF"/>
        <w:tabs>
          <w:tab w:val="left" w:pos="720"/>
        </w:tabs>
        <w:autoSpaceDE w:val="0"/>
        <w:spacing w:after="0" w:line="360" w:lineRule="auto"/>
        <w:jc w:val="both"/>
        <w:rPr>
          <w:color w:val="000000"/>
        </w:rPr>
      </w:pPr>
      <w:r>
        <w:rPr>
          <w:color w:val="000000"/>
        </w:rPr>
        <w:tab/>
        <w:t>Up to the moment, the cemetery complex and the Mosque of Teungku Dianjong are used for holding various religious festivals and</w:t>
      </w:r>
      <w:r w:rsidR="000E7987">
        <w:rPr>
          <w:color w:val="000000"/>
        </w:rPr>
        <w:t xml:space="preserve"> </w:t>
      </w:r>
      <w:r>
        <w:rPr>
          <w:i/>
          <w:color w:val="000000"/>
        </w:rPr>
        <w:t xml:space="preserve">haul </w:t>
      </w:r>
      <w:r>
        <w:rPr>
          <w:color w:val="000000"/>
        </w:rPr>
        <w:t>by the people of Acheh</w:t>
      </w:r>
      <w:r>
        <w:rPr>
          <w:i/>
          <w:color w:val="000000"/>
        </w:rPr>
        <w:t>.</w:t>
      </w:r>
      <w:r>
        <w:rPr>
          <w:iCs/>
          <w:color w:val="000000"/>
        </w:rPr>
        <w:t xml:space="preserve">Such a number of religious celebrations </w:t>
      </w:r>
      <w:r>
        <w:rPr>
          <w:color w:val="000000"/>
        </w:rPr>
        <w:t>already became a tradition held at the cemetery of  Tengku di Anjong after he died. Almost every time there is an even celebration or</w:t>
      </w:r>
      <w:r>
        <w:rPr>
          <w:i/>
          <w:color w:val="000000"/>
        </w:rPr>
        <w:t xml:space="preserve"> kaul</w:t>
      </w:r>
      <w:r>
        <w:rPr>
          <w:color w:val="000000"/>
        </w:rPr>
        <w:t>held by the people such as the</w:t>
      </w:r>
      <w:r w:rsidR="000E7987">
        <w:rPr>
          <w:color w:val="000000"/>
        </w:rPr>
        <w:t xml:space="preserve"> </w:t>
      </w:r>
      <w:r>
        <w:rPr>
          <w:i/>
          <w:color w:val="000000"/>
        </w:rPr>
        <w:t xml:space="preserve">kaul </w:t>
      </w:r>
      <w:r>
        <w:rPr>
          <w:color w:val="000000"/>
        </w:rPr>
        <w:t xml:space="preserve">by the people intended to thanks giving such as wedding party, ear-piercing of a little girl marking her adult. As a whole, there are three celebrations (Hurgronje called it annual </w:t>
      </w:r>
      <w:r>
        <w:rPr>
          <w:i/>
          <w:color w:val="000000"/>
        </w:rPr>
        <w:t>kanduri</w:t>
      </w:r>
      <w:r>
        <w:rPr>
          <w:color w:val="000000"/>
        </w:rPr>
        <w:t xml:space="preserve">) held festively at the complex of  Teungku Di Anjong Cemetery (Hurgronje, 1906: 73). </w:t>
      </w:r>
    </w:p>
    <w:p w:rsidR="005B63E8" w:rsidRDefault="0063176A">
      <w:pPr>
        <w:pStyle w:val="Standard"/>
        <w:shd w:val="clear" w:color="auto" w:fill="FFFFFF"/>
        <w:tabs>
          <w:tab w:val="left" w:pos="720"/>
        </w:tabs>
        <w:autoSpaceDE w:val="0"/>
        <w:spacing w:after="0" w:line="360" w:lineRule="auto"/>
        <w:jc w:val="both"/>
        <w:rPr>
          <w:color w:val="000000"/>
        </w:rPr>
      </w:pPr>
      <w:r>
        <w:rPr>
          <w:color w:val="000000"/>
        </w:rPr>
        <w:tab/>
        <w:t xml:space="preserve">The first one is </w:t>
      </w:r>
      <w:r>
        <w:rPr>
          <w:i/>
          <w:color w:val="000000"/>
        </w:rPr>
        <w:t>kanduri Bu</w:t>
      </w:r>
      <w:r>
        <w:rPr>
          <w:color w:val="000000"/>
        </w:rPr>
        <w:t xml:space="preserve">, is the one to pay an honor to </w:t>
      </w:r>
      <w:r>
        <w:rPr>
          <w:i/>
          <w:color w:val="000000"/>
        </w:rPr>
        <w:t xml:space="preserve">Aja’ Eseutiri </w:t>
      </w:r>
      <w:r>
        <w:rPr>
          <w:color w:val="000000"/>
        </w:rPr>
        <w:t xml:space="preserve">(wife of Tengku Di Anjong). On the Rajab18, one of three main annual kenduri is held in </w:t>
      </w:r>
      <w:r>
        <w:rPr>
          <w:i/>
          <w:color w:val="000000"/>
        </w:rPr>
        <w:t>deah</w:t>
      </w:r>
      <w:r>
        <w:rPr>
          <w:color w:val="000000"/>
        </w:rPr>
        <w:t xml:space="preserve"> (woman’s prayer house) at the cemetery of the graet Ulama Besar Teungku Anjong. Such Kenduri is done to honor the wife of Teungku Di Anjong, whose grave is by the side of Teungku Di Anjong’sh</w:t>
      </w:r>
      <w:r w:rsidR="000E7987">
        <w:rPr>
          <w:color w:val="000000"/>
        </w:rPr>
        <w:t xml:space="preserve">imself. His wife, </w:t>
      </w:r>
      <w:r>
        <w:rPr>
          <w:color w:val="000000"/>
        </w:rPr>
        <w:t xml:space="preserve">usually is known as </w:t>
      </w:r>
      <w:r>
        <w:rPr>
          <w:i/>
          <w:color w:val="000000"/>
        </w:rPr>
        <w:t>Aja’ Eseutiri</w:t>
      </w:r>
      <w:r w:rsidR="000E7987">
        <w:rPr>
          <w:i/>
          <w:color w:val="000000"/>
        </w:rPr>
        <w:t xml:space="preserve"> </w:t>
      </w:r>
      <w:r>
        <w:rPr>
          <w:color w:val="000000"/>
        </w:rPr>
        <w:t>namely" “</w:t>
      </w:r>
      <w:r>
        <w:rPr>
          <w:i/>
          <w:color w:val="000000"/>
        </w:rPr>
        <w:t>the honored wife</w:t>
      </w:r>
      <w:r>
        <w:rPr>
          <w:color w:val="000000"/>
        </w:rPr>
        <w:t xml:space="preserve">”, daughter of Sayyid from a clan of a well known family </w:t>
      </w:r>
      <w:r>
        <w:rPr>
          <w:color w:val="000000"/>
        </w:rPr>
        <w:lastRenderedPageBreak/>
        <w:t>from Hedramawut called 'Aidid. His wife’s real name was Fatimah binti Abdurrahaman' Aidid. (Hurgronje, 1906: 219).</w:t>
      </w:r>
      <w:r>
        <w:rPr>
          <w:color w:val="000000"/>
        </w:rPr>
        <w:tab/>
        <w:t>The second one is the Birthday celebration of prophet Muhammad</w:t>
      </w:r>
      <w:r w:rsidR="000E7987">
        <w:rPr>
          <w:color w:val="000000"/>
        </w:rPr>
        <w:t xml:space="preserve"> </w:t>
      </w:r>
      <w:r>
        <w:rPr>
          <w:iCs/>
          <w:color w:val="000000"/>
        </w:rPr>
        <w:t>(</w:t>
      </w:r>
      <w:r>
        <w:rPr>
          <w:i/>
          <w:color w:val="000000"/>
        </w:rPr>
        <w:t>mulud nabi</w:t>
      </w:r>
      <w:r>
        <w:rPr>
          <w:iCs/>
          <w:color w:val="000000"/>
        </w:rPr>
        <w:t>)</w:t>
      </w:r>
      <w:r>
        <w:rPr>
          <w:i/>
          <w:color w:val="000000"/>
        </w:rPr>
        <w:t xml:space="preserve">, </w:t>
      </w:r>
      <w:r>
        <w:rPr>
          <w:color w:val="000000"/>
        </w:rPr>
        <w:t xml:space="preserve">commonly called </w:t>
      </w:r>
      <w:r>
        <w:rPr>
          <w:i/>
          <w:color w:val="000000"/>
        </w:rPr>
        <w:t xml:space="preserve">Mo’lot. </w:t>
      </w:r>
      <w:r>
        <w:rPr>
          <w:color w:val="000000"/>
        </w:rPr>
        <w:t>This celebration is to commemorate the birthday of Prophet Muhammad PBUH. This celebration is also held festively every year at the complex of Teungku Di Anjong cemetery. As the celebration is on, one or more buffalo are slaughtered. Traditionally, the celebration is attended by many ulamas, and the other people. According to Hurgronje, the ulama was offered a part of some slices of the meat sent to them by the cemetery keeper. (Hurgronje, 1906: 213). The third one of the annual celebration is held at</w:t>
      </w:r>
      <w:r>
        <w:rPr>
          <w:i/>
          <w:color w:val="000000"/>
        </w:rPr>
        <w:t>deah</w:t>
      </w:r>
      <w:r>
        <w:rPr>
          <w:color w:val="000000"/>
        </w:rPr>
        <w:t xml:space="preserve"> Tengku Anjong in the night</w:t>
      </w:r>
      <w:r w:rsidR="00956497">
        <w:rPr>
          <w:color w:val="000000"/>
        </w:rPr>
        <w:t xml:space="preserve"> </w:t>
      </w:r>
      <w:r>
        <w:rPr>
          <w:color w:val="000000"/>
        </w:rPr>
        <w:t>prior to14 of Ramadhan. This celebration is particularly dedicated to the honor of Teungku Di Anjong himself</w:t>
      </w:r>
      <w:r w:rsidR="00956497">
        <w:rPr>
          <w:color w:val="000000"/>
        </w:rPr>
        <w:t xml:space="preserve"> </w:t>
      </w:r>
      <w:r>
        <w:rPr>
          <w:color w:val="000000"/>
        </w:rPr>
        <w:t>dying on 14 of Ramadhan 1196 (August 1782). Thus, the celebration</w:t>
      </w:r>
      <w:r w:rsidR="00956497">
        <w:rPr>
          <w:color w:val="000000"/>
        </w:rPr>
        <w:t xml:space="preserve"> </w:t>
      </w:r>
      <w:r>
        <w:rPr>
          <w:color w:val="000000"/>
        </w:rPr>
        <w:t>was called the celebration (</w:t>
      </w:r>
      <w:r>
        <w:rPr>
          <w:i/>
          <w:color w:val="000000"/>
        </w:rPr>
        <w:t>kanduri</w:t>
      </w:r>
      <w:r>
        <w:rPr>
          <w:color w:val="000000"/>
        </w:rPr>
        <w:t>)  of Teungku Anjong (Hurgronje, 1906:235).</w:t>
      </w:r>
    </w:p>
    <w:p w:rsidR="005B63E8" w:rsidRDefault="005B63E8">
      <w:pPr>
        <w:pStyle w:val="Standard"/>
        <w:shd w:val="clear" w:color="auto" w:fill="FFFFFF"/>
        <w:tabs>
          <w:tab w:val="left" w:pos="990"/>
        </w:tabs>
        <w:autoSpaceDE w:val="0"/>
        <w:spacing w:line="360" w:lineRule="auto"/>
        <w:jc w:val="both"/>
        <w:rPr>
          <w:b/>
          <w:color w:val="000000"/>
        </w:rPr>
      </w:pPr>
    </w:p>
    <w:p w:rsidR="005B63E8" w:rsidRDefault="0063176A">
      <w:pPr>
        <w:pStyle w:val="Standard"/>
        <w:shd w:val="clear" w:color="auto" w:fill="FFFFFF"/>
        <w:tabs>
          <w:tab w:val="left" w:pos="360"/>
          <w:tab w:val="left" w:pos="990"/>
        </w:tabs>
        <w:autoSpaceDE w:val="0"/>
        <w:spacing w:after="0" w:line="240" w:lineRule="auto"/>
        <w:ind w:left="360" w:hanging="360"/>
        <w:jc w:val="both"/>
        <w:rPr>
          <w:b/>
          <w:color w:val="000000"/>
        </w:rPr>
      </w:pPr>
      <w:r>
        <w:rPr>
          <w:b/>
          <w:color w:val="000000"/>
        </w:rPr>
        <w:t>C. The Grave of Tengku Di Anjong: Decoratively Artistic Artifact</w:t>
      </w:r>
    </w:p>
    <w:p w:rsidR="005B63E8" w:rsidRDefault="0063176A">
      <w:pPr>
        <w:pStyle w:val="Standard"/>
        <w:shd w:val="clear" w:color="auto" w:fill="FFFFFF"/>
        <w:tabs>
          <w:tab w:val="left" w:pos="360"/>
          <w:tab w:val="left" w:pos="990"/>
        </w:tabs>
        <w:autoSpaceDE w:val="0"/>
        <w:spacing w:after="0" w:line="240" w:lineRule="auto"/>
        <w:ind w:left="360" w:hanging="360"/>
        <w:jc w:val="both"/>
        <w:rPr>
          <w:b/>
          <w:color w:val="000000"/>
        </w:rPr>
      </w:pPr>
      <w:r>
        <w:rPr>
          <w:b/>
          <w:color w:val="000000"/>
        </w:rPr>
        <w:tab/>
      </w:r>
      <w:r>
        <w:rPr>
          <w:b/>
          <w:color w:val="000000"/>
        </w:rPr>
        <w:tab/>
      </w:r>
    </w:p>
    <w:p w:rsidR="005B63E8" w:rsidRDefault="0063176A">
      <w:pPr>
        <w:shd w:val="clear" w:color="auto" w:fill="FFFFFF"/>
        <w:spacing w:after="0" w:line="360" w:lineRule="auto"/>
        <w:ind w:firstLine="720"/>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At Peulanggahan, Banda Acheh, there is found a prayer house called the Mosque of Teungku Di Anjong. There is a main building in the complex in form of a mosqueand a cover of grave there were buried to bodies they are the grave of Teungku Di Ajong and his wife’s called </w:t>
      </w:r>
      <w:r>
        <w:rPr>
          <w:rFonts w:ascii="Times New Roman" w:hAnsi="Times New Roman"/>
          <w:color w:val="000000"/>
          <w:sz w:val="24"/>
          <w:szCs w:val="24"/>
        </w:rPr>
        <w:t>Syarifah Fathimah binti Abdurrahman Aidit</w:t>
      </w:r>
      <w:r>
        <w:rPr>
          <w:rFonts w:ascii="Times New Roman" w:eastAsia="Times New Roman" w:hAnsi="Times New Roman"/>
          <w:color w:val="222222"/>
          <w:sz w:val="24"/>
          <w:szCs w:val="24"/>
        </w:rPr>
        <w:t xml:space="preserve">. </w:t>
      </w:r>
    </w:p>
    <w:p w:rsidR="005B63E8" w:rsidRDefault="0063176A">
      <w:pPr>
        <w:shd w:val="clear" w:color="auto" w:fill="FFFFFF"/>
        <w:spacing w:after="0" w:line="360" w:lineRule="auto"/>
        <w:ind w:firstLine="720"/>
        <w:jc w:val="both"/>
        <w:rPr>
          <w:rFonts w:ascii="Times New Roman" w:eastAsia="Times New Roman" w:hAnsi="Times New Roman"/>
          <w:color w:val="222222"/>
          <w:sz w:val="24"/>
          <w:szCs w:val="24"/>
        </w:rPr>
      </w:pPr>
      <w:r>
        <w:rPr>
          <w:rFonts w:ascii="Times New Roman" w:hAnsi="Times New Roman"/>
          <w:color w:val="000000"/>
          <w:sz w:val="24"/>
          <w:szCs w:val="24"/>
        </w:rPr>
        <w:t>The Mosque of Teungku Di Anjong was built by Teungku Di Anjong himself in 18</w:t>
      </w:r>
      <w:r>
        <w:rPr>
          <w:rFonts w:ascii="Times New Roman" w:hAnsi="Times New Roman"/>
          <w:color w:val="000000"/>
          <w:sz w:val="24"/>
          <w:szCs w:val="24"/>
          <w:vertAlign w:val="superscript"/>
        </w:rPr>
        <w:t>th</w:t>
      </w:r>
      <w:r>
        <w:rPr>
          <w:rFonts w:ascii="Times New Roman" w:hAnsi="Times New Roman"/>
          <w:color w:val="000000"/>
          <w:sz w:val="24"/>
          <w:szCs w:val="24"/>
        </w:rPr>
        <w:t xml:space="preserve"> century AD (Ibrahim 2006). The main building of the mosque was erected on the rectangular size</w:t>
      </w:r>
      <w:r>
        <w:rPr>
          <w:rFonts w:ascii="Times New Roman" w:eastAsia="Times New Roman" w:hAnsi="Times New Roman"/>
          <w:color w:val="222222"/>
          <w:sz w:val="24"/>
          <w:szCs w:val="24"/>
        </w:rPr>
        <w:t xml:space="preserve"> 14,80 x 9.20 m </w:t>
      </w:r>
      <w:r>
        <w:rPr>
          <w:rFonts w:ascii="Times New Roman" w:eastAsia="Times New Roman" w:hAnsi="Times New Roman"/>
          <w:color w:val="000000"/>
          <w:sz w:val="24"/>
          <w:szCs w:val="24"/>
        </w:rPr>
        <w:t>(</w:t>
      </w:r>
      <w:hyperlink r:id="rId9" w:history="1">
        <w:r>
          <w:rPr>
            <w:rStyle w:val="Hyperlink"/>
            <w:rFonts w:ascii="Times New Roman" w:hAnsi="Times New Roman"/>
            <w:sz w:val="24"/>
            <w:szCs w:val="24"/>
          </w:rPr>
          <w:t>https://gpswisataindonesia.wordpress.com/</w:t>
        </w:r>
      </w:hyperlink>
      <w:r>
        <w:rPr>
          <w:rFonts w:ascii="Times New Roman" w:hAnsi="Times New Roman"/>
          <w:color w:val="000000"/>
          <w:sz w:val="24"/>
          <w:szCs w:val="24"/>
        </w:rPr>
        <w:t xml:space="preserve">). This mosque is not very much different from the old ones in </w:t>
      </w:r>
      <w:r>
        <w:rPr>
          <w:rFonts w:ascii="Times New Roman" w:eastAsia="Times New Roman" w:hAnsi="Times New Roman"/>
          <w:color w:val="000000"/>
          <w:sz w:val="24"/>
          <w:szCs w:val="24"/>
        </w:rPr>
        <w:t>In</w:t>
      </w:r>
      <w:r>
        <w:rPr>
          <w:rFonts w:ascii="Times New Roman" w:eastAsia="Times New Roman" w:hAnsi="Times New Roman"/>
          <w:color w:val="222222"/>
          <w:sz w:val="24"/>
          <w:szCs w:val="24"/>
        </w:rPr>
        <w:t>donesia for generally the old mosques in Indonesia are commonlylayering roved</w:t>
      </w:r>
      <w:r>
        <w:rPr>
          <w:rFonts w:ascii="Times New Roman" w:hAnsi="Times New Roman"/>
          <w:color w:val="000000"/>
          <w:sz w:val="24"/>
          <w:szCs w:val="24"/>
        </w:rPr>
        <w:t>(O'Neill, 1994).</w:t>
      </w:r>
      <w:r>
        <w:rPr>
          <w:rFonts w:ascii="Times New Roman" w:eastAsia="Times New Roman" w:hAnsi="Times New Roman"/>
          <w:color w:val="222222"/>
          <w:sz w:val="24"/>
          <w:szCs w:val="24"/>
        </w:rPr>
        <w:t>In1990, this mosque was refurbished and financed by the Municipal Government of Banda Acheh City. Since the enlargement of the new building on the side of the wall deviated from the previous form, then the reconstruction stopped</w:t>
      </w:r>
      <w:r>
        <w:rPr>
          <w:rFonts w:ascii="Times New Roman" w:eastAsia="Times New Roman" w:hAnsi="Times New Roman"/>
          <w:color w:val="000000"/>
          <w:sz w:val="24"/>
          <w:szCs w:val="24"/>
        </w:rPr>
        <w:t>, primarily, on the wall part having changed (</w:t>
      </w:r>
      <w:hyperlink r:id="rId10" w:history="1">
        <w:r>
          <w:rPr>
            <w:rStyle w:val="Hyperlink"/>
            <w:rFonts w:ascii="Times New Roman" w:hAnsi="Times New Roman"/>
            <w:color w:val="000000"/>
            <w:sz w:val="24"/>
            <w:szCs w:val="24"/>
            <w:u w:val="none"/>
          </w:rPr>
          <w:t>https://gpswisataindonesia</w:t>
        </w:r>
      </w:hyperlink>
      <w:r>
        <w:rPr>
          <w:rFonts w:ascii="Times New Roman" w:hAnsi="Times New Roman"/>
          <w:color w:val="000000"/>
          <w:sz w:val="24"/>
          <w:szCs w:val="24"/>
        </w:rPr>
        <w:t>.</w:t>
      </w:r>
      <w:r>
        <w:rPr>
          <w:rFonts w:ascii="Times New Roman" w:hAnsi="Times New Roman"/>
          <w:sz w:val="24"/>
          <w:szCs w:val="24"/>
        </w:rPr>
        <w:t xml:space="preserve"> wordpress.com</w:t>
      </w:r>
      <w:r>
        <w:rPr>
          <w:rFonts w:ascii="Times New Roman" w:hAnsi="Times New Roman"/>
          <w:color w:val="000000"/>
          <w:sz w:val="24"/>
          <w:szCs w:val="24"/>
        </w:rPr>
        <w:t>)</w:t>
      </w:r>
      <w:r>
        <w:rPr>
          <w:rFonts w:ascii="Times New Roman" w:eastAsia="Times New Roman" w:hAnsi="Times New Roman"/>
          <w:color w:val="222222"/>
          <w:sz w:val="24"/>
          <w:szCs w:val="24"/>
        </w:rPr>
        <w:t>. The mosque Teungku Di Anjong underwent a serious as the tsunami took place Acheh on De</w:t>
      </w:r>
      <w:r w:rsidR="000E7987">
        <w:rPr>
          <w:rFonts w:ascii="Times New Roman" w:eastAsia="Times New Roman" w:hAnsi="Times New Roman"/>
          <w:color w:val="222222"/>
          <w:sz w:val="24"/>
          <w:szCs w:val="24"/>
        </w:rPr>
        <w:t>c</w:t>
      </w:r>
      <w:r>
        <w:rPr>
          <w:rFonts w:ascii="Times New Roman" w:eastAsia="Times New Roman" w:hAnsi="Times New Roman"/>
          <w:color w:val="222222"/>
          <w:sz w:val="24"/>
          <w:szCs w:val="24"/>
        </w:rPr>
        <w:t xml:space="preserve">ember 24.2004. In the event, this mosque was totally damaged and then rebuilt with the same architectural style with the different material that was to build it with ferro-concrete, no more </w:t>
      </w:r>
      <w:r>
        <w:rPr>
          <w:rFonts w:ascii="Times New Roman" w:eastAsia="Times New Roman" w:hAnsi="Times New Roman"/>
          <w:color w:val="222222"/>
          <w:sz w:val="24"/>
          <w:szCs w:val="24"/>
        </w:rPr>
        <w:lastRenderedPageBreak/>
        <w:t>original building material (Dewi, 2015: 31-32). This appose to the regulation</w:t>
      </w:r>
      <w:r w:rsidR="000E7987">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of Cultural Conservation of the Republic of Indonesia No. 11 2010. For there was a very significant change causing the mosque</w:t>
      </w:r>
      <w:r w:rsidR="000E7987">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is not made an object of cultural conservation any longer (OCC) conserved</w:t>
      </w:r>
      <w:r w:rsidR="000E7987">
        <w:rPr>
          <w:rFonts w:ascii="Times New Roman" w:eastAsia="Times New Roman" w:hAnsi="Times New Roman"/>
          <w:color w:val="222222"/>
          <w:sz w:val="24"/>
          <w:szCs w:val="24"/>
        </w:rPr>
        <w:t xml:space="preserve"> </w:t>
      </w:r>
      <w:r>
        <w:rPr>
          <w:rFonts w:ascii="Times New Roman" w:eastAsia="Times New Roman" w:hAnsi="Times New Roman"/>
          <w:color w:val="222222"/>
          <w:sz w:val="24"/>
          <w:szCs w:val="24"/>
        </w:rPr>
        <w:t>and the maintenance is no longer financed by the government</w:t>
      </w:r>
      <w:r w:rsidR="000E69B9">
        <w:rPr>
          <w:rFonts w:ascii="Times New Roman" w:eastAsia="Times New Roman" w:hAnsi="Times New Roman"/>
          <w:color w:val="222222"/>
          <w:sz w:val="24"/>
          <w:szCs w:val="24"/>
        </w:rPr>
        <w:t xml:space="preserve"> </w:t>
      </w:r>
      <w:r>
        <w:rPr>
          <w:rFonts w:ascii="Cambria" w:hAnsi="Cambria" w:cs="Cambria"/>
          <w:color w:val="000000"/>
          <w:sz w:val="24"/>
          <w:szCs w:val="24"/>
        </w:rPr>
        <w:t>(Dewi, 2015: 272)</w:t>
      </w:r>
      <w:r>
        <w:rPr>
          <w:rFonts w:ascii="Times New Roman" w:eastAsia="Times New Roman" w:hAnsi="Times New Roman"/>
          <w:color w:val="222222"/>
          <w:sz w:val="24"/>
          <w:szCs w:val="24"/>
        </w:rPr>
        <w:t xml:space="preserve">. </w:t>
      </w:r>
    </w:p>
    <w:p w:rsidR="005B63E8" w:rsidRDefault="0063176A" w:rsidP="000E69B9">
      <w:pPr>
        <w:tabs>
          <w:tab w:val="left" w:pos="450"/>
        </w:tabs>
        <w:autoSpaceDE w:val="0"/>
        <w:autoSpaceDN w:val="0"/>
        <w:adjustRightInd w:val="0"/>
        <w:spacing w:after="120" w:line="360" w:lineRule="auto"/>
        <w:ind w:firstLine="720"/>
        <w:jc w:val="both"/>
        <w:rPr>
          <w:b/>
          <w:color w:val="000000"/>
          <w:sz w:val="24"/>
          <w:szCs w:val="24"/>
        </w:rPr>
      </w:pPr>
      <w:r>
        <w:rPr>
          <w:rFonts w:ascii="Cambria" w:hAnsi="Cambria" w:cs="Cambria"/>
          <w:color w:val="000000"/>
          <w:sz w:val="24"/>
          <w:szCs w:val="24"/>
        </w:rPr>
        <w:t>By the side of Teungku Di Anjong mosque, there is found a grave cover of  Teungku Di Anjong and his wife. It is different from the mosque, the grave of is still considered original for it did not experience any considerable damaged as it was stormed by the tsunami in December 2004. Thus, the government still includes it into the protected cultural conservation and the government keeps financing its maintenance. This grave is considered authentic as there is damage or significant ma</w:t>
      </w:r>
      <w:r w:rsidR="000E7987">
        <w:rPr>
          <w:rFonts w:ascii="Cambria" w:hAnsi="Cambria" w:cs="Cambria"/>
          <w:color w:val="000000"/>
          <w:sz w:val="24"/>
          <w:szCs w:val="24"/>
        </w:rPr>
        <w:t>terial change. (Dewi, 2015: 272</w:t>
      </w:r>
      <w:r>
        <w:rPr>
          <w:rFonts w:ascii="Cambria" w:hAnsi="Cambria" w:cs="Cambria"/>
          <w:color w:val="000000"/>
          <w:sz w:val="24"/>
          <w:szCs w:val="24"/>
        </w:rPr>
        <w:t>).</w:t>
      </w:r>
    </w:p>
    <w:p w:rsidR="005B63E8" w:rsidRDefault="0063176A">
      <w:pPr>
        <w:autoSpaceDE w:val="0"/>
        <w:autoSpaceDN w:val="0"/>
        <w:adjustRightInd w:val="0"/>
        <w:spacing w:line="360" w:lineRule="auto"/>
        <w:jc w:val="both"/>
        <w:rPr>
          <w:rFonts w:ascii="Times New Roman" w:hAnsi="Times New Roman"/>
          <w:color w:val="000000"/>
          <w:sz w:val="24"/>
          <w:szCs w:val="24"/>
        </w:rPr>
      </w:pPr>
      <w:r>
        <w:rPr>
          <w:b/>
          <w:color w:val="000000"/>
        </w:rPr>
        <w:tab/>
      </w:r>
      <w:r>
        <w:rPr>
          <w:rFonts w:ascii="Times New Roman" w:hAnsi="Times New Roman"/>
          <w:color w:val="000000"/>
          <w:sz w:val="24"/>
          <w:szCs w:val="24"/>
        </w:rPr>
        <w:t>Te grave attribut</w:t>
      </w:r>
      <w:r w:rsidR="000E7987">
        <w:rPr>
          <w:rFonts w:ascii="Times New Roman" w:hAnsi="Times New Roman"/>
          <w:color w:val="000000"/>
          <w:sz w:val="24"/>
          <w:szCs w:val="24"/>
        </w:rPr>
        <w:t>e</w:t>
      </w:r>
      <w:r>
        <w:rPr>
          <w:rFonts w:ascii="Times New Roman" w:hAnsi="Times New Roman"/>
          <w:color w:val="000000"/>
          <w:sz w:val="24"/>
          <w:szCs w:val="24"/>
        </w:rPr>
        <w:t xml:space="preserve"> </w:t>
      </w:r>
      <w:r w:rsidR="000E7987">
        <w:rPr>
          <w:rFonts w:ascii="Times New Roman" w:hAnsi="Times New Roman"/>
          <w:color w:val="000000"/>
          <w:sz w:val="24"/>
          <w:szCs w:val="24"/>
        </w:rPr>
        <w:t>to</w:t>
      </w:r>
      <w:r>
        <w:rPr>
          <w:rFonts w:ascii="Times New Roman" w:hAnsi="Times New Roman"/>
          <w:color w:val="000000"/>
          <w:sz w:val="24"/>
          <w:szCs w:val="24"/>
        </w:rPr>
        <w:t xml:space="preserve"> Teungku Di Anjong</w:t>
      </w:r>
      <w:r w:rsidR="000E7987">
        <w:rPr>
          <w:rFonts w:ascii="Times New Roman" w:hAnsi="Times New Roman"/>
          <w:color w:val="000000"/>
          <w:sz w:val="24"/>
          <w:szCs w:val="24"/>
        </w:rPr>
        <w:t xml:space="preserve"> </w:t>
      </w:r>
      <w:r>
        <w:rPr>
          <w:rFonts w:ascii="Times New Roman" w:hAnsi="Times New Roman"/>
          <w:color w:val="000000"/>
          <w:sz w:val="24"/>
          <w:szCs w:val="24"/>
        </w:rPr>
        <w:t xml:space="preserve">is a tomb-stone. Like the other tomb-stones on the Achenese graves, they are usually decorated beautifully enough (in a literature discussing the Achenese tomb-stone, the product of Achenese tomb-stone is usually called </w:t>
      </w:r>
      <w:r w:rsidR="000E69B9" w:rsidRPr="000E69B9">
        <w:rPr>
          <w:rFonts w:ascii="Times New Roman" w:hAnsi="Times New Roman"/>
          <w:i/>
          <w:color w:val="000000"/>
          <w:sz w:val="24"/>
          <w:szCs w:val="24"/>
        </w:rPr>
        <w:t>batu Aceh</w:t>
      </w:r>
      <w:r w:rsidR="000E69B9">
        <w:rPr>
          <w:rFonts w:ascii="Times New Roman" w:hAnsi="Times New Roman"/>
          <w:color w:val="000000"/>
          <w:sz w:val="24"/>
          <w:szCs w:val="24"/>
        </w:rPr>
        <w:t xml:space="preserve"> (</w:t>
      </w:r>
      <w:r>
        <w:rPr>
          <w:rFonts w:ascii="Times New Roman" w:hAnsi="Times New Roman"/>
          <w:color w:val="000000"/>
          <w:sz w:val="24"/>
          <w:szCs w:val="24"/>
        </w:rPr>
        <w:t>Achenese stone</w:t>
      </w:r>
      <w:r w:rsidR="000E69B9">
        <w:rPr>
          <w:rFonts w:ascii="Times New Roman" w:hAnsi="Times New Roman"/>
          <w:color w:val="000000"/>
          <w:sz w:val="24"/>
          <w:szCs w:val="24"/>
        </w:rPr>
        <w:t>)</w:t>
      </w:r>
      <w:r>
        <w:rPr>
          <w:rFonts w:ascii="Times New Roman" w:hAnsi="Times New Roman"/>
          <w:color w:val="000000"/>
          <w:sz w:val="24"/>
          <w:szCs w:val="24"/>
        </w:rPr>
        <w:t xml:space="preserve"> that is not only popular</w:t>
      </w:r>
      <w:r w:rsidR="000E7987">
        <w:rPr>
          <w:rFonts w:ascii="Times New Roman" w:hAnsi="Times New Roman"/>
          <w:color w:val="000000"/>
          <w:sz w:val="24"/>
          <w:szCs w:val="24"/>
        </w:rPr>
        <w:t xml:space="preserve"> </w:t>
      </w:r>
      <w:r>
        <w:rPr>
          <w:rFonts w:ascii="Times New Roman" w:hAnsi="Times New Roman"/>
          <w:color w:val="000000"/>
          <w:sz w:val="24"/>
          <w:szCs w:val="24"/>
        </w:rPr>
        <w:t>in Indonesia but also in Peninsular Malaysia). The Achenese styled tomb-stone spread over North Sumatra, West Sumatra, Riau, Bengkulu, Lampung, Banten, Jakarta and some other places in Malaysia (Ambary,  1985,  Yatim,  1986, Herwandi 2002, 2003).</w:t>
      </w:r>
    </w:p>
    <w:p w:rsidR="005B63E8" w:rsidRDefault="0063176A">
      <w:pPr>
        <w:autoSpaceDE w:val="0"/>
        <w:autoSpaceDN w:val="0"/>
        <w:adjustRightInd w:val="0"/>
        <w:spacing w:after="0" w:line="360" w:lineRule="auto"/>
        <w:jc w:val="both"/>
        <w:rPr>
          <w:rFonts w:ascii="Times New Roman" w:hAnsi="Times New Roman"/>
          <w:color w:val="000000"/>
          <w:sz w:val="24"/>
          <w:szCs w:val="24"/>
        </w:rPr>
      </w:pPr>
      <w:r>
        <w:rPr>
          <w:color w:val="000000"/>
        </w:rPr>
        <w:tab/>
      </w:r>
      <w:r>
        <w:rPr>
          <w:rFonts w:ascii="Times New Roman" w:hAnsi="Times New Roman"/>
          <w:color w:val="000000"/>
          <w:sz w:val="24"/>
          <w:szCs w:val="24"/>
        </w:rPr>
        <w:t>The tomb stone of Di Anjong’s wife</w:t>
      </w:r>
      <w:r w:rsidR="000E7987">
        <w:rPr>
          <w:rFonts w:ascii="Times New Roman" w:hAnsi="Times New Roman"/>
          <w:color w:val="000000"/>
          <w:sz w:val="24"/>
          <w:szCs w:val="24"/>
        </w:rPr>
        <w:t xml:space="preserve"> </w:t>
      </w:r>
      <w:r>
        <w:rPr>
          <w:rFonts w:ascii="Times New Roman" w:hAnsi="Times New Roman"/>
          <w:color w:val="000000"/>
          <w:sz w:val="24"/>
          <w:szCs w:val="24"/>
        </w:rPr>
        <w:t>was made of</w:t>
      </w:r>
      <w:r w:rsidR="000E7987">
        <w:rPr>
          <w:rFonts w:ascii="Times New Roman" w:hAnsi="Times New Roman"/>
          <w:color w:val="000000"/>
          <w:sz w:val="24"/>
          <w:szCs w:val="24"/>
        </w:rPr>
        <w:t xml:space="preserve"> </w:t>
      </w:r>
      <w:r>
        <w:rPr>
          <w:rFonts w:ascii="Times New Roman" w:hAnsi="Times New Roman"/>
          <w:color w:val="000000"/>
          <w:sz w:val="24"/>
          <w:szCs w:val="24"/>
        </w:rPr>
        <w:t>mountain-stone. The size of   Tengku Di Anjong’s tomb-stone is</w:t>
      </w:r>
      <w:r w:rsidR="000E7987">
        <w:rPr>
          <w:rFonts w:ascii="Times New Roman" w:hAnsi="Times New Roman"/>
          <w:color w:val="000000"/>
          <w:sz w:val="24"/>
          <w:szCs w:val="24"/>
        </w:rPr>
        <w:t xml:space="preserve"> </w:t>
      </w:r>
      <w:r>
        <w:rPr>
          <w:rFonts w:ascii="Times New Roman" w:hAnsi="Times New Roman"/>
          <w:color w:val="000000"/>
          <w:sz w:val="24"/>
          <w:szCs w:val="24"/>
        </w:rPr>
        <w:t>length 321Cm, width 50Cm, and height 50 Cm., whereas his wife’s is length 324 Cm, with 45Cm, and height 18Cm. These both graves have decorated tomb-stones, the raya is decorated with twisted ties (</w:t>
      </w:r>
      <w:r>
        <w:rPr>
          <w:rFonts w:ascii="Times New Roman" w:hAnsi="Times New Roman"/>
          <w:i/>
          <w:iCs/>
          <w:color w:val="000000"/>
          <w:sz w:val="24"/>
          <w:szCs w:val="24"/>
        </w:rPr>
        <w:t>puta talou</w:t>
      </w:r>
      <w:r>
        <w:rPr>
          <w:rFonts w:ascii="Times New Roman" w:hAnsi="Times New Roman"/>
          <w:color w:val="000000"/>
          <w:sz w:val="24"/>
          <w:szCs w:val="24"/>
        </w:rPr>
        <w:t>), young bamboo sprout</w:t>
      </w:r>
      <w:r w:rsidR="000E7987">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i/>
          <w:iCs/>
          <w:color w:val="000000"/>
          <w:sz w:val="24"/>
          <w:szCs w:val="24"/>
        </w:rPr>
        <w:t>pucuk rebung</w:t>
      </w:r>
      <w:r>
        <w:rPr>
          <w:rFonts w:ascii="Times New Roman" w:hAnsi="Times New Roman"/>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column cloud (</w:t>
      </w:r>
      <w:r>
        <w:rPr>
          <w:rFonts w:ascii="Times New Roman" w:hAnsi="Times New Roman"/>
          <w:i/>
          <w:iCs/>
          <w:color w:val="000000"/>
          <w:sz w:val="24"/>
          <w:szCs w:val="24"/>
        </w:rPr>
        <w:t>awan meucanek</w:t>
      </w:r>
      <w:r>
        <w:rPr>
          <w:rFonts w:ascii="Times New Roman" w:hAnsi="Times New Roman"/>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a stalk of cloud (</w:t>
      </w:r>
      <w:r>
        <w:rPr>
          <w:rFonts w:ascii="Times New Roman" w:hAnsi="Times New Roman"/>
          <w:i/>
          <w:iCs/>
          <w:color w:val="000000"/>
          <w:sz w:val="24"/>
          <w:szCs w:val="24"/>
        </w:rPr>
        <w:t>awan  setangke</w:t>
      </w:r>
      <w:r>
        <w:rPr>
          <w:rFonts w:ascii="Times New Roman" w:hAnsi="Times New Roman"/>
          <w:color w:val="000000"/>
          <w:sz w:val="24"/>
          <w:szCs w:val="24"/>
        </w:rPr>
        <w:t>), a three layer ketab (</w:t>
      </w:r>
      <w:r>
        <w:rPr>
          <w:rFonts w:ascii="Times New Roman" w:hAnsi="Times New Roman"/>
          <w:i/>
          <w:iCs/>
          <w:color w:val="000000"/>
          <w:sz w:val="24"/>
          <w:szCs w:val="24"/>
        </w:rPr>
        <w:t>keutab lhee</w:t>
      </w:r>
      <w:r w:rsidR="000E7987">
        <w:rPr>
          <w:rFonts w:ascii="Times New Roman" w:hAnsi="Times New Roman"/>
          <w:i/>
          <w:iCs/>
          <w:color w:val="000000"/>
          <w:sz w:val="24"/>
          <w:szCs w:val="24"/>
        </w:rPr>
        <w:t xml:space="preserve"> </w:t>
      </w:r>
      <w:r>
        <w:rPr>
          <w:rFonts w:ascii="Times New Roman" w:hAnsi="Times New Roman"/>
          <w:i/>
          <w:iCs/>
          <w:color w:val="000000"/>
          <w:sz w:val="24"/>
          <w:szCs w:val="24"/>
        </w:rPr>
        <w:t>lapeh</w:t>
      </w:r>
      <w:r>
        <w:rPr>
          <w:rFonts w:ascii="Times New Roman" w:hAnsi="Times New Roman"/>
          <w:color w:val="000000"/>
          <w:sz w:val="24"/>
          <w:szCs w:val="24"/>
        </w:rPr>
        <w:t>) (Herwandi, Husaini Ibrahim, M Yusdi 2017). At the bottom of the tomb-stone, there is a decoration engraved in such a way in form of flowery pattern called beautiful flower(</w:t>
      </w:r>
      <w:r w:rsidR="000E69B9">
        <w:rPr>
          <w:rFonts w:ascii="Times New Roman" w:hAnsi="Times New Roman"/>
          <w:i/>
          <w:color w:val="000000"/>
          <w:sz w:val="24"/>
          <w:szCs w:val="24"/>
        </w:rPr>
        <w:t>bungong aju-aj</w:t>
      </w:r>
      <w:r>
        <w:rPr>
          <w:rFonts w:ascii="Times New Roman" w:hAnsi="Times New Roman"/>
          <w:i/>
          <w:color w:val="000000"/>
          <w:sz w:val="24"/>
          <w:szCs w:val="24"/>
        </w:rPr>
        <w:t>u</w:t>
      </w:r>
      <w:r>
        <w:rPr>
          <w:rFonts w:ascii="Times New Roman" w:hAnsi="Times New Roman"/>
          <w:iCs/>
          <w:color w:val="000000"/>
          <w:sz w:val="24"/>
          <w:szCs w:val="24"/>
        </w:rPr>
        <w:t>)</w:t>
      </w:r>
      <w:r w:rsidR="000E69B9">
        <w:rPr>
          <w:rFonts w:ascii="Times New Roman" w:hAnsi="Times New Roman"/>
          <w:iCs/>
          <w:color w:val="000000"/>
          <w:sz w:val="24"/>
          <w:szCs w:val="24"/>
        </w:rPr>
        <w:t xml:space="preserve"> </w:t>
      </w:r>
      <w:r>
        <w:rPr>
          <w:rFonts w:ascii="Times New Roman" w:hAnsi="Times New Roman"/>
          <w:color w:val="000000"/>
          <w:sz w:val="24"/>
          <w:szCs w:val="24"/>
        </w:rPr>
        <w:t xml:space="preserve">in form of a triangle whereas on the top side of the tomb-stone is given a flowery and leafy decorations. On top it has a rather different decoration although it is different it is still the form of leafy pattern, too. </w:t>
      </w:r>
    </w:p>
    <w:p w:rsidR="005B63E8" w:rsidRDefault="009673F6">
      <w:pPr>
        <w:pStyle w:val="Standard"/>
        <w:shd w:val="clear" w:color="auto" w:fill="FFFFFF"/>
        <w:tabs>
          <w:tab w:val="left" w:pos="990"/>
        </w:tabs>
        <w:autoSpaceDE w:val="0"/>
        <w:spacing w:line="360" w:lineRule="auto"/>
        <w:jc w:val="both"/>
        <w:rPr>
          <w:color w:val="000000"/>
        </w:rPr>
      </w:pPr>
      <w:r>
        <w:rPr>
          <w:noProof/>
          <w:color w:val="000000"/>
          <w:lang w:eastAsia="en-US"/>
        </w:rPr>
        <w:lastRenderedPageBreak/>
        <w:drawing>
          <wp:inline distT="0" distB="0" distL="0" distR="0">
            <wp:extent cx="5351780" cy="785495"/>
            <wp:effectExtent l="19050" t="0" r="1270" b="0"/>
            <wp:docPr id="1" name="Picture Fram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5"/>
                    <pic:cNvPicPr>
                      <a:picLocks noChangeAspect="1" noChangeArrowheads="1"/>
                    </pic:cNvPicPr>
                  </pic:nvPicPr>
                  <pic:blipFill>
                    <a:blip r:embed="rId11"/>
                    <a:srcRect/>
                    <a:stretch>
                      <a:fillRect/>
                    </a:stretch>
                  </pic:blipFill>
                  <pic:spPr bwMode="auto">
                    <a:xfrm>
                      <a:off x="0" y="0"/>
                      <a:ext cx="5351780" cy="785495"/>
                    </a:xfrm>
                    <a:prstGeom prst="rect">
                      <a:avLst/>
                    </a:prstGeom>
                    <a:noFill/>
                    <a:ln w="9525">
                      <a:noFill/>
                      <a:miter lim="800000"/>
                      <a:headEnd/>
                      <a:tailEnd/>
                    </a:ln>
                  </pic:spPr>
                </pic:pic>
              </a:graphicData>
            </a:graphic>
          </wp:inline>
        </w:drawing>
      </w:r>
    </w:p>
    <w:p w:rsidR="000E69B9" w:rsidRDefault="000E7987" w:rsidP="000E69B9">
      <w:pPr>
        <w:pStyle w:val="Standard"/>
        <w:shd w:val="clear" w:color="auto" w:fill="FFFFFF"/>
        <w:tabs>
          <w:tab w:val="left" w:pos="990"/>
        </w:tabs>
        <w:autoSpaceDE w:val="0"/>
        <w:spacing w:after="0" w:line="240" w:lineRule="auto"/>
        <w:ind w:left="1099" w:hangingChars="458" w:hanging="1099"/>
        <w:jc w:val="center"/>
        <w:rPr>
          <w:color w:val="000000"/>
        </w:rPr>
      </w:pPr>
      <w:r>
        <w:rPr>
          <w:color w:val="000000"/>
        </w:rPr>
        <w:t xml:space="preserve">Figure </w:t>
      </w:r>
      <w:r w:rsidR="0063176A">
        <w:rPr>
          <w:color w:val="000000"/>
        </w:rPr>
        <w:t xml:space="preserve">1. Decoration of </w:t>
      </w:r>
      <w:r w:rsidR="000E69B9">
        <w:rPr>
          <w:i/>
          <w:color w:val="000000"/>
        </w:rPr>
        <w:t>bungong aju-aj</w:t>
      </w:r>
      <w:r w:rsidR="0063176A">
        <w:rPr>
          <w:i/>
          <w:color w:val="000000"/>
        </w:rPr>
        <w:t xml:space="preserve">u </w:t>
      </w:r>
      <w:r w:rsidR="0063176A">
        <w:rPr>
          <w:color w:val="000000"/>
        </w:rPr>
        <w:t>(triangle cloud)</w:t>
      </w:r>
      <w:r w:rsidR="000E69B9">
        <w:rPr>
          <w:color w:val="000000"/>
        </w:rPr>
        <w:t xml:space="preserve"> </w:t>
      </w:r>
    </w:p>
    <w:p w:rsidR="005B63E8" w:rsidRDefault="000E69B9" w:rsidP="000E69B9">
      <w:pPr>
        <w:pStyle w:val="Standard"/>
        <w:shd w:val="clear" w:color="auto" w:fill="FFFFFF"/>
        <w:tabs>
          <w:tab w:val="left" w:pos="990"/>
        </w:tabs>
        <w:autoSpaceDE w:val="0"/>
        <w:spacing w:after="0" w:line="240" w:lineRule="auto"/>
        <w:ind w:left="1099" w:hangingChars="458" w:hanging="1099"/>
        <w:jc w:val="center"/>
        <w:rPr>
          <w:color w:val="000000"/>
        </w:rPr>
      </w:pPr>
      <w:r>
        <w:rPr>
          <w:color w:val="000000"/>
        </w:rPr>
        <w:t>at the bottom of tomb-stone</w:t>
      </w:r>
      <w:r w:rsidR="0063176A">
        <w:rPr>
          <w:color w:val="000000"/>
        </w:rPr>
        <w:t xml:space="preserve"> of Teungku Di Anjong’s grave</w:t>
      </w:r>
    </w:p>
    <w:p w:rsidR="000E69B9" w:rsidRDefault="000E69B9" w:rsidP="000E69B9">
      <w:pPr>
        <w:pStyle w:val="Standard"/>
        <w:shd w:val="clear" w:color="auto" w:fill="FFFFFF"/>
        <w:tabs>
          <w:tab w:val="left" w:pos="990"/>
        </w:tabs>
        <w:autoSpaceDE w:val="0"/>
        <w:spacing w:after="0" w:line="360" w:lineRule="auto"/>
        <w:ind w:left="1099" w:hangingChars="458" w:hanging="1099"/>
        <w:jc w:val="center"/>
        <w:rPr>
          <w:color w:val="000000"/>
        </w:rPr>
      </w:pPr>
    </w:p>
    <w:p w:rsidR="005B63E8" w:rsidRDefault="0063176A">
      <w:pPr>
        <w:pStyle w:val="Standard"/>
        <w:shd w:val="clear" w:color="auto" w:fill="FFFFFF"/>
        <w:tabs>
          <w:tab w:val="left" w:pos="990"/>
        </w:tabs>
        <w:autoSpaceDE w:val="0"/>
        <w:spacing w:after="0" w:line="360" w:lineRule="auto"/>
        <w:jc w:val="both"/>
        <w:rPr>
          <w:iCs/>
          <w:color w:val="000000"/>
        </w:rPr>
      </w:pPr>
      <w:r>
        <w:rPr>
          <w:color w:val="000000"/>
        </w:rPr>
        <w:t xml:space="preserve">On the top side of Tengku Di Anjong’s grave decorated with with flowery pattern </w:t>
      </w:r>
      <w:r>
        <w:rPr>
          <w:i/>
          <w:color w:val="000000"/>
        </w:rPr>
        <w:t>seulupo</w:t>
      </w:r>
      <w:r>
        <w:rPr>
          <w:color w:val="000000"/>
        </w:rPr>
        <w:t>, on his wife’s decorated with betel leaf pattern(</w:t>
      </w:r>
      <w:r>
        <w:rPr>
          <w:i/>
          <w:color w:val="000000"/>
        </w:rPr>
        <w:t>daun sireh</w:t>
      </w:r>
      <w:r>
        <w:rPr>
          <w:iCs/>
          <w:color w:val="000000"/>
        </w:rPr>
        <w:t>)</w:t>
      </w:r>
    </w:p>
    <w:p w:rsidR="005B63E8" w:rsidRDefault="009673F6">
      <w:pPr>
        <w:pStyle w:val="Standard"/>
        <w:shd w:val="clear" w:color="auto" w:fill="FFFFFF"/>
        <w:tabs>
          <w:tab w:val="left" w:pos="990"/>
        </w:tabs>
        <w:autoSpaceDE w:val="0"/>
        <w:spacing w:after="0" w:line="240" w:lineRule="auto"/>
        <w:jc w:val="center"/>
        <w:rPr>
          <w:color w:val="000000"/>
        </w:rPr>
      </w:pPr>
      <w:r>
        <w:rPr>
          <w:noProof/>
          <w:color w:val="000000"/>
          <w:lang w:eastAsia="en-US"/>
        </w:rPr>
        <w:drawing>
          <wp:inline distT="0" distB="0" distL="0" distR="0">
            <wp:extent cx="4871720" cy="1007110"/>
            <wp:effectExtent l="19050" t="0" r="5080" b="0"/>
            <wp:docPr id="2" name="Picture Fram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12"/>
                    <a:srcRect/>
                    <a:stretch>
                      <a:fillRect/>
                    </a:stretch>
                  </pic:blipFill>
                  <pic:spPr bwMode="auto">
                    <a:xfrm>
                      <a:off x="0" y="0"/>
                      <a:ext cx="4871720" cy="1007110"/>
                    </a:xfrm>
                    <a:prstGeom prst="rect">
                      <a:avLst/>
                    </a:prstGeom>
                    <a:noFill/>
                    <a:ln w="9525">
                      <a:noFill/>
                      <a:miter lim="800000"/>
                      <a:headEnd/>
                      <a:tailEnd/>
                    </a:ln>
                  </pic:spPr>
                </pic:pic>
              </a:graphicData>
            </a:graphic>
          </wp:inline>
        </w:drawing>
      </w:r>
    </w:p>
    <w:p w:rsidR="005B63E8" w:rsidRDefault="0063176A">
      <w:pPr>
        <w:pStyle w:val="Standard"/>
        <w:shd w:val="clear" w:color="auto" w:fill="FFFFFF"/>
        <w:tabs>
          <w:tab w:val="left" w:pos="990"/>
        </w:tabs>
        <w:autoSpaceDE w:val="0"/>
        <w:spacing w:after="0" w:line="240" w:lineRule="auto"/>
        <w:jc w:val="center"/>
        <w:rPr>
          <w:color w:val="000000"/>
        </w:rPr>
      </w:pPr>
      <w:r>
        <w:rPr>
          <w:color w:val="000000"/>
        </w:rPr>
        <w:t xml:space="preserve">Figure 2. Decoration of </w:t>
      </w:r>
      <w:r>
        <w:rPr>
          <w:i/>
          <w:color w:val="000000"/>
        </w:rPr>
        <w:t xml:space="preserve">daun Sireh </w:t>
      </w:r>
      <w:r>
        <w:rPr>
          <w:color w:val="000000"/>
        </w:rPr>
        <w:t>on the top sideis</w:t>
      </w:r>
    </w:p>
    <w:p w:rsidR="005B63E8" w:rsidRDefault="0063176A">
      <w:pPr>
        <w:pStyle w:val="Standard"/>
        <w:shd w:val="clear" w:color="auto" w:fill="FFFFFF"/>
        <w:tabs>
          <w:tab w:val="left" w:pos="990"/>
        </w:tabs>
        <w:autoSpaceDE w:val="0"/>
        <w:spacing w:line="360" w:lineRule="auto"/>
        <w:jc w:val="center"/>
        <w:rPr>
          <w:color w:val="000000"/>
        </w:rPr>
      </w:pPr>
      <w:r>
        <w:rPr>
          <w:color w:val="000000"/>
        </w:rPr>
        <w:t>Teungku Di Anjong’s wife’s grave</w:t>
      </w:r>
    </w:p>
    <w:p w:rsidR="005B63E8" w:rsidRDefault="0063176A">
      <w:pPr>
        <w:pStyle w:val="Standard"/>
        <w:shd w:val="clear" w:color="auto" w:fill="FFFFFF"/>
        <w:tabs>
          <w:tab w:val="left" w:pos="990"/>
        </w:tabs>
        <w:autoSpaceDE w:val="0"/>
        <w:spacing w:line="360" w:lineRule="auto"/>
        <w:jc w:val="both"/>
        <w:rPr>
          <w:color w:val="000000"/>
        </w:rPr>
      </w:pPr>
      <w:r>
        <w:rPr>
          <w:color w:val="000000"/>
        </w:rPr>
        <w:t xml:space="preserve">Whereas on the top surface of Teungku Di Anjong’s grave was decorated with various decorative pattern such as figurative decoration of Arab calligraphy in form of </w:t>
      </w:r>
      <w:r>
        <w:rPr>
          <w:i/>
          <w:color w:val="000000"/>
        </w:rPr>
        <w:t>kalimah shahadah La illaha Illa Allah, Muhammadal rasul Allah</w:t>
      </w:r>
      <w:r>
        <w:rPr>
          <w:iCs/>
          <w:color w:val="000000"/>
        </w:rPr>
        <w:t>‘No God but Allah and Muham</w:t>
      </w:r>
      <w:r>
        <w:rPr>
          <w:color w:val="000000"/>
        </w:rPr>
        <w:t>mad is the mess</w:t>
      </w:r>
      <w:r w:rsidR="000E7987">
        <w:rPr>
          <w:color w:val="000000"/>
        </w:rPr>
        <w:t>e</w:t>
      </w:r>
      <w:r>
        <w:rPr>
          <w:color w:val="000000"/>
        </w:rPr>
        <w:t>nger of Allah each of which as many as 32 items (16 of which are on the left side</w:t>
      </w:r>
      <w:r w:rsidR="000E7987">
        <w:rPr>
          <w:color w:val="000000"/>
        </w:rPr>
        <w:t xml:space="preserve"> </w:t>
      </w:r>
      <w:r>
        <w:rPr>
          <w:color w:val="000000"/>
        </w:rPr>
        <w:t>and the o</w:t>
      </w:r>
      <w:r w:rsidR="000E7987">
        <w:rPr>
          <w:color w:val="000000"/>
        </w:rPr>
        <w:t xml:space="preserve">ther 16 item on the right one) </w:t>
      </w:r>
      <w:r>
        <w:rPr>
          <w:color w:val="000000"/>
        </w:rPr>
        <w:t>on the top tomb-stone placed in the decorative pattern of</w:t>
      </w:r>
      <w:r w:rsidR="000E7987">
        <w:rPr>
          <w:color w:val="000000"/>
        </w:rPr>
        <w:t xml:space="preserve"> </w:t>
      </w:r>
      <w:r>
        <w:rPr>
          <w:color w:val="000000"/>
        </w:rPr>
        <w:t>two twisted ties (</w:t>
      </w:r>
      <w:r>
        <w:rPr>
          <w:i/>
          <w:color w:val="000000"/>
        </w:rPr>
        <w:t>putar tali dua</w:t>
      </w:r>
      <w:r>
        <w:rPr>
          <w:iCs/>
          <w:color w:val="000000"/>
        </w:rPr>
        <w:t>)</w:t>
      </w:r>
      <w:r>
        <w:rPr>
          <w:color w:val="000000"/>
        </w:rPr>
        <w:t>.  The decoration of the same pattern is also found on the top tomb-stone of Tengku Di Anjong’s wife, however, the figurati</w:t>
      </w:r>
      <w:r w:rsidR="000E7987">
        <w:rPr>
          <w:color w:val="000000"/>
        </w:rPr>
        <w:t>ve</w:t>
      </w:r>
      <w:r>
        <w:rPr>
          <w:color w:val="000000"/>
        </w:rPr>
        <w:t xml:space="preserve"> decoration Arab calligraphy in form of Bi-sentential testimony ‘shahadatayn is only found as many as  31 items those are 16  items eastward, and15 westward.</w:t>
      </w:r>
      <w:r w:rsidR="009673F6">
        <w:rPr>
          <w:noProof/>
          <w:color w:val="000000"/>
          <w:lang w:eastAsia="en-US"/>
        </w:rPr>
        <w:drawing>
          <wp:inline distT="0" distB="0" distL="0" distR="0">
            <wp:extent cx="5361024" cy="1345936"/>
            <wp:effectExtent l="19050" t="0" r="0" b="0"/>
            <wp:docPr id="3" name="Picture Fram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7"/>
                    <pic:cNvPicPr>
                      <a:picLocks noChangeAspect="1" noChangeArrowheads="1"/>
                    </pic:cNvPicPr>
                  </pic:nvPicPr>
                  <pic:blipFill>
                    <a:blip r:embed="rId13">
                      <a:lum bright="19000" contrast="-4000"/>
                    </a:blip>
                    <a:srcRect b="21004"/>
                    <a:stretch>
                      <a:fillRect/>
                    </a:stretch>
                  </pic:blipFill>
                  <pic:spPr bwMode="auto">
                    <a:xfrm>
                      <a:off x="0" y="0"/>
                      <a:ext cx="5361024" cy="1345936"/>
                    </a:xfrm>
                    <a:prstGeom prst="rect">
                      <a:avLst/>
                    </a:prstGeom>
                    <a:noFill/>
                    <a:ln w="9525">
                      <a:noFill/>
                      <a:miter lim="800000"/>
                      <a:headEnd/>
                      <a:tailEnd/>
                    </a:ln>
                  </pic:spPr>
                </pic:pic>
              </a:graphicData>
            </a:graphic>
          </wp:inline>
        </w:drawing>
      </w:r>
    </w:p>
    <w:p w:rsidR="005B63E8" w:rsidRDefault="0063176A">
      <w:pPr>
        <w:pStyle w:val="Standard"/>
        <w:shd w:val="clear" w:color="auto" w:fill="FFFFFF"/>
        <w:tabs>
          <w:tab w:val="left" w:pos="990"/>
        </w:tabs>
        <w:autoSpaceDE w:val="0"/>
        <w:spacing w:line="240" w:lineRule="auto"/>
        <w:jc w:val="center"/>
        <w:rPr>
          <w:color w:val="000000"/>
        </w:rPr>
      </w:pPr>
      <w:r>
        <w:rPr>
          <w:color w:val="000000"/>
        </w:rPr>
        <w:t>Figure 3. Bi-sentential testimony ‘shahadatayn on Tengku di Anjong’s</w:t>
      </w:r>
      <w:r w:rsidR="000E69B9">
        <w:rPr>
          <w:color w:val="000000"/>
        </w:rPr>
        <w:t xml:space="preserve"> </w:t>
      </w:r>
      <w:r>
        <w:rPr>
          <w:color w:val="000000"/>
        </w:rPr>
        <w:t>and his wife’s (Herwandi, Husaini Ibrahim, M Yusdi, 2017)</w:t>
      </w:r>
    </w:p>
    <w:p w:rsidR="005B63E8" w:rsidRDefault="0063176A">
      <w:pPr>
        <w:pStyle w:val="Standard"/>
        <w:shd w:val="clear" w:color="auto" w:fill="FFFFFF"/>
        <w:tabs>
          <w:tab w:val="left" w:pos="990"/>
        </w:tabs>
        <w:autoSpaceDE w:val="0"/>
        <w:spacing w:line="360" w:lineRule="auto"/>
        <w:jc w:val="both"/>
        <w:rPr>
          <w:color w:val="000000"/>
        </w:rPr>
      </w:pPr>
      <w:r>
        <w:rPr>
          <w:color w:val="000000"/>
        </w:rPr>
        <w:lastRenderedPageBreak/>
        <w:t xml:space="preserve">On the top tomb-stone, on both graves, the decoration in form of flowery pattern </w:t>
      </w:r>
      <w:r>
        <w:rPr>
          <w:i/>
          <w:color w:val="000000"/>
        </w:rPr>
        <w:t>awan mucanek,</w:t>
      </w:r>
      <w:r>
        <w:rPr>
          <w:color w:val="000000"/>
        </w:rPr>
        <w:t>and neck lace of</w:t>
      </w:r>
      <w:r w:rsidR="000E7987">
        <w:rPr>
          <w:color w:val="000000"/>
        </w:rPr>
        <w:t xml:space="preserve"> </w:t>
      </w:r>
      <w:r>
        <w:rPr>
          <w:rFonts w:cs="Times New Roman"/>
          <w:i/>
          <w:iCs/>
          <w:color w:val="000000"/>
        </w:rPr>
        <w:t>keutab</w:t>
      </w:r>
      <w:r>
        <w:rPr>
          <w:i/>
          <w:color w:val="000000"/>
        </w:rPr>
        <w:t xml:space="preserve"> lhe lapeh</w:t>
      </w:r>
      <w:r>
        <w:rPr>
          <w:color w:val="000000"/>
        </w:rPr>
        <w:t>.</w:t>
      </w:r>
    </w:p>
    <w:p w:rsidR="005B63E8" w:rsidRDefault="009673F6">
      <w:pPr>
        <w:pStyle w:val="Standard"/>
        <w:shd w:val="clear" w:color="auto" w:fill="FFFFFF"/>
        <w:tabs>
          <w:tab w:val="left" w:pos="990"/>
        </w:tabs>
        <w:autoSpaceDE w:val="0"/>
        <w:spacing w:line="360" w:lineRule="auto"/>
        <w:jc w:val="center"/>
        <w:rPr>
          <w:color w:val="000000"/>
        </w:rPr>
      </w:pPr>
      <w:r>
        <w:rPr>
          <w:noProof/>
          <w:color w:val="000000"/>
          <w:lang w:eastAsia="en-US"/>
        </w:rPr>
        <w:drawing>
          <wp:inline distT="0" distB="0" distL="0" distR="0">
            <wp:extent cx="3735070" cy="1957705"/>
            <wp:effectExtent l="19050" t="0" r="0" b="0"/>
            <wp:docPr id="4" name="Picture Fram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8"/>
                    <pic:cNvPicPr>
                      <a:picLocks noChangeAspect="1" noChangeArrowheads="1"/>
                    </pic:cNvPicPr>
                  </pic:nvPicPr>
                  <pic:blipFill>
                    <a:blip r:embed="rId14"/>
                    <a:srcRect/>
                    <a:stretch>
                      <a:fillRect/>
                    </a:stretch>
                  </pic:blipFill>
                  <pic:spPr bwMode="auto">
                    <a:xfrm>
                      <a:off x="0" y="0"/>
                      <a:ext cx="3735070" cy="1957705"/>
                    </a:xfrm>
                    <a:prstGeom prst="rect">
                      <a:avLst/>
                    </a:prstGeom>
                    <a:noFill/>
                    <a:ln w="9525">
                      <a:noFill/>
                      <a:miter lim="800000"/>
                      <a:headEnd/>
                      <a:tailEnd/>
                    </a:ln>
                  </pic:spPr>
                </pic:pic>
              </a:graphicData>
            </a:graphic>
          </wp:inline>
        </w:drawing>
      </w:r>
    </w:p>
    <w:p w:rsidR="005B63E8" w:rsidRDefault="0063176A">
      <w:pPr>
        <w:pStyle w:val="Standard"/>
        <w:shd w:val="clear" w:color="auto" w:fill="FFFFFF"/>
        <w:tabs>
          <w:tab w:val="left" w:pos="990"/>
        </w:tabs>
        <w:autoSpaceDE w:val="0"/>
        <w:spacing w:after="0" w:line="240" w:lineRule="auto"/>
        <w:jc w:val="center"/>
        <w:rPr>
          <w:color w:val="000000"/>
        </w:rPr>
      </w:pPr>
      <w:r>
        <w:rPr>
          <w:color w:val="000000"/>
        </w:rPr>
        <w:t xml:space="preserve">Figure 4. </w:t>
      </w:r>
      <w:r w:rsidR="000E7987">
        <w:rPr>
          <w:color w:val="000000"/>
        </w:rPr>
        <w:t>D</w:t>
      </w:r>
      <w:r>
        <w:rPr>
          <w:color w:val="000000"/>
        </w:rPr>
        <w:t>ecorative pattern motif</w:t>
      </w:r>
      <w:r w:rsidR="000E7987">
        <w:rPr>
          <w:color w:val="000000"/>
        </w:rPr>
        <w:t xml:space="preserve"> </w:t>
      </w:r>
      <w:r>
        <w:rPr>
          <w:color w:val="000000"/>
        </w:rPr>
        <w:t>of intermittent cloud (“</w:t>
      </w:r>
      <w:r>
        <w:rPr>
          <w:i/>
          <w:color w:val="000000"/>
        </w:rPr>
        <w:t>awan meucanek</w:t>
      </w:r>
      <w:r>
        <w:rPr>
          <w:color w:val="000000"/>
        </w:rPr>
        <w:t>”) on the grave of Tengku Di Anjong and his wife’s</w:t>
      </w:r>
    </w:p>
    <w:p w:rsidR="005B63E8" w:rsidRDefault="009673F6">
      <w:pPr>
        <w:pStyle w:val="Standard"/>
        <w:shd w:val="clear" w:color="auto" w:fill="FFFFFF"/>
        <w:tabs>
          <w:tab w:val="left" w:pos="990"/>
        </w:tabs>
        <w:autoSpaceDE w:val="0"/>
        <w:spacing w:line="360" w:lineRule="auto"/>
        <w:jc w:val="center"/>
        <w:rPr>
          <w:color w:val="000000"/>
        </w:rPr>
      </w:pPr>
      <w:r>
        <w:rPr>
          <w:noProof/>
          <w:color w:val="000000"/>
          <w:lang w:eastAsia="en-US"/>
        </w:rPr>
        <w:drawing>
          <wp:inline distT="0" distB="0" distL="0" distR="0">
            <wp:extent cx="1275715" cy="2077085"/>
            <wp:effectExtent l="19050" t="0" r="635" b="0"/>
            <wp:docPr id="5" name="Picture Fram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pic:cNvPicPr>
                      <a:picLocks noChangeAspect="1" noChangeArrowheads="1"/>
                    </pic:cNvPicPr>
                  </pic:nvPicPr>
                  <pic:blipFill>
                    <a:blip r:embed="rId15"/>
                    <a:srcRect/>
                    <a:stretch>
                      <a:fillRect/>
                    </a:stretch>
                  </pic:blipFill>
                  <pic:spPr bwMode="auto">
                    <a:xfrm>
                      <a:off x="0" y="0"/>
                      <a:ext cx="1275715" cy="2077085"/>
                    </a:xfrm>
                    <a:prstGeom prst="rect">
                      <a:avLst/>
                    </a:prstGeom>
                    <a:noFill/>
                    <a:ln w="9525">
                      <a:noFill/>
                      <a:miter lim="800000"/>
                      <a:headEnd/>
                      <a:tailEnd/>
                    </a:ln>
                  </pic:spPr>
                </pic:pic>
              </a:graphicData>
            </a:graphic>
          </wp:inline>
        </w:drawing>
      </w:r>
    </w:p>
    <w:p w:rsidR="005B63E8" w:rsidRDefault="0063176A">
      <w:pPr>
        <w:pStyle w:val="Standard"/>
        <w:shd w:val="clear" w:color="auto" w:fill="FFFFFF"/>
        <w:tabs>
          <w:tab w:val="left" w:pos="990"/>
        </w:tabs>
        <w:autoSpaceDE w:val="0"/>
        <w:spacing w:after="0" w:line="240" w:lineRule="auto"/>
        <w:jc w:val="center"/>
        <w:rPr>
          <w:color w:val="000000"/>
        </w:rPr>
      </w:pPr>
      <w:r>
        <w:rPr>
          <w:color w:val="000000"/>
        </w:rPr>
        <w:t>Figure 5. Decoration of necklace pattern of</w:t>
      </w:r>
      <w:r w:rsidR="000E7987">
        <w:rPr>
          <w:color w:val="000000"/>
        </w:rPr>
        <w:t xml:space="preserve"> </w:t>
      </w:r>
      <w:r>
        <w:rPr>
          <w:rFonts w:cs="Times New Roman"/>
          <w:i/>
          <w:iCs/>
          <w:color w:val="000000"/>
        </w:rPr>
        <w:t>keutab lhee</w:t>
      </w:r>
      <w:r w:rsidR="000E7987">
        <w:rPr>
          <w:rFonts w:cs="Times New Roman"/>
          <w:i/>
          <w:iCs/>
          <w:color w:val="000000"/>
        </w:rPr>
        <w:t xml:space="preserve"> </w:t>
      </w:r>
      <w:r>
        <w:rPr>
          <w:rFonts w:cs="Times New Roman"/>
          <w:i/>
          <w:iCs/>
          <w:color w:val="000000"/>
        </w:rPr>
        <w:t>lapeh</w:t>
      </w:r>
      <w:r>
        <w:rPr>
          <w:color w:val="000000"/>
        </w:rPr>
        <w:t xml:space="preserve">on the top side of </w:t>
      </w:r>
    </w:p>
    <w:p w:rsidR="005B63E8" w:rsidRDefault="0063176A">
      <w:pPr>
        <w:pStyle w:val="Standard"/>
        <w:shd w:val="clear" w:color="auto" w:fill="FFFFFF"/>
        <w:tabs>
          <w:tab w:val="left" w:pos="990"/>
        </w:tabs>
        <w:autoSpaceDE w:val="0"/>
        <w:spacing w:line="240" w:lineRule="auto"/>
        <w:jc w:val="center"/>
      </w:pPr>
      <w:r>
        <w:rPr>
          <w:color w:val="000000"/>
        </w:rPr>
        <w:t>Teungku Di Anjong’s grave</w:t>
      </w:r>
    </w:p>
    <w:p w:rsidR="005B63E8" w:rsidRDefault="000E7987">
      <w:pPr>
        <w:pStyle w:val="Standard"/>
        <w:shd w:val="clear" w:color="auto" w:fill="FFFFFF"/>
        <w:autoSpaceDE w:val="0"/>
        <w:spacing w:line="360" w:lineRule="auto"/>
        <w:ind w:firstLine="720"/>
        <w:jc w:val="both"/>
      </w:pPr>
      <w:r>
        <w:t>On the middle part of</w:t>
      </w:r>
      <w:r w:rsidR="0063176A">
        <w:t xml:space="preserve"> Teungku Di Anjong’s grave there was written in Arab character (tending to have the style of </w:t>
      </w:r>
      <w:r w:rsidR="0063176A">
        <w:rPr>
          <w:i/>
        </w:rPr>
        <w:t>khat naskhi</w:t>
      </w:r>
      <w:r w:rsidR="0063176A">
        <w:t>) engraved on the tomb-stone. A part of the character is readable,</w:t>
      </w:r>
      <w:r>
        <w:t xml:space="preserve"> </w:t>
      </w:r>
      <w:r w:rsidR="0063176A">
        <w:t>however, since it is written so closely and begins to gert worn out, major part of it is unreadable. The readable one is related to the name of a figure buried and the date of his death. The readable characters read as follows.</w:t>
      </w:r>
    </w:p>
    <w:p w:rsidR="005B63E8" w:rsidRDefault="0063176A">
      <w:pPr>
        <w:pStyle w:val="Standard"/>
        <w:shd w:val="clear" w:color="auto" w:fill="FFFFFF"/>
        <w:tabs>
          <w:tab w:val="left" w:pos="990"/>
        </w:tabs>
        <w:autoSpaceDE w:val="0"/>
        <w:spacing w:line="360" w:lineRule="auto"/>
        <w:ind w:left="720"/>
        <w:jc w:val="both"/>
      </w:pPr>
      <w:r>
        <w:rPr>
          <w:i/>
        </w:rPr>
        <w:t>Wa wafat fi tuwfi al-Habib Abu Bakar ibnu Al-Husein…..</w:t>
      </w:r>
      <w:r>
        <w:t>Ibnu……‘Asyar fi Ramadhan…..</w:t>
      </w:r>
    </w:p>
    <w:p w:rsidR="005B63E8" w:rsidRDefault="0063176A">
      <w:pPr>
        <w:pStyle w:val="Standard"/>
        <w:shd w:val="clear" w:color="auto" w:fill="FFFFFF"/>
        <w:tabs>
          <w:tab w:val="left" w:pos="990"/>
        </w:tabs>
        <w:autoSpaceDE w:val="0"/>
        <w:spacing w:line="360" w:lineRule="auto"/>
        <w:jc w:val="both"/>
      </w:pPr>
      <w:r>
        <w:t xml:space="preserve">The sentences above obviously explained the death of Habib Abu Bakar Bin Husein later on well known and called Teungku Di Anjong. This paper also has similarity to </w:t>
      </w:r>
      <w:r>
        <w:lastRenderedPageBreak/>
        <w:t>the one found on the tomb-stone top of Teungku Di Anjong’s grave foot also explaining the figure buried in it.</w:t>
      </w:r>
    </w:p>
    <w:p w:rsidR="005B63E8" w:rsidRDefault="009673F6">
      <w:pPr>
        <w:pStyle w:val="Standard"/>
        <w:shd w:val="clear" w:color="auto" w:fill="FFFFFF"/>
        <w:tabs>
          <w:tab w:val="left" w:pos="990"/>
        </w:tabs>
        <w:autoSpaceDE w:val="0"/>
        <w:spacing w:line="360" w:lineRule="auto"/>
        <w:jc w:val="center"/>
        <w:rPr>
          <w:color w:val="000000"/>
        </w:rPr>
      </w:pPr>
      <w:r>
        <w:rPr>
          <w:noProof/>
          <w:color w:val="000000"/>
          <w:lang w:eastAsia="en-US"/>
        </w:rPr>
        <w:drawing>
          <wp:inline distT="0" distB="0" distL="0" distR="0">
            <wp:extent cx="3657600" cy="1456690"/>
            <wp:effectExtent l="19050" t="0" r="0" b="0"/>
            <wp:docPr id="6" name="Picture Fram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noChangeAspect="1" noChangeArrowheads="1"/>
                    </pic:cNvPicPr>
                  </pic:nvPicPr>
                  <pic:blipFill>
                    <a:blip r:embed="rId16"/>
                    <a:srcRect t="20396" r="2553" b="17949"/>
                    <a:stretch>
                      <a:fillRect/>
                    </a:stretch>
                  </pic:blipFill>
                  <pic:spPr bwMode="auto">
                    <a:xfrm>
                      <a:off x="0" y="0"/>
                      <a:ext cx="3657600" cy="1456690"/>
                    </a:xfrm>
                    <a:prstGeom prst="rect">
                      <a:avLst/>
                    </a:prstGeom>
                    <a:noFill/>
                    <a:ln w="9525">
                      <a:noFill/>
                      <a:miter lim="800000"/>
                      <a:headEnd/>
                      <a:tailEnd/>
                    </a:ln>
                  </pic:spPr>
                </pic:pic>
              </a:graphicData>
            </a:graphic>
          </wp:inline>
        </w:drawing>
      </w:r>
    </w:p>
    <w:p w:rsidR="005B63E8" w:rsidRDefault="0063176A">
      <w:pPr>
        <w:pStyle w:val="Standard"/>
        <w:shd w:val="clear" w:color="auto" w:fill="FFFFFF"/>
        <w:tabs>
          <w:tab w:val="left" w:pos="990"/>
        </w:tabs>
        <w:autoSpaceDE w:val="0"/>
        <w:spacing w:line="360" w:lineRule="auto"/>
        <w:jc w:val="center"/>
      </w:pPr>
      <w:r>
        <w:t>Figure 6. Arab character on the middle</w:t>
      </w:r>
      <w:r w:rsidR="000E7987">
        <w:t xml:space="preserve"> </w:t>
      </w:r>
      <w:r>
        <w:t>part of Teungku Di Anjong’s grave</w:t>
      </w:r>
    </w:p>
    <w:p w:rsidR="005B63E8" w:rsidRDefault="0063176A">
      <w:pPr>
        <w:pStyle w:val="Standard"/>
        <w:shd w:val="clear" w:color="auto" w:fill="FFFFFF"/>
        <w:tabs>
          <w:tab w:val="left" w:pos="990"/>
        </w:tabs>
        <w:autoSpaceDE w:val="0"/>
        <w:spacing w:line="360" w:lineRule="auto"/>
        <w:jc w:val="both"/>
        <w:rPr>
          <w:color w:val="000000"/>
        </w:rPr>
      </w:pPr>
      <w:r>
        <w:rPr>
          <w:color w:val="000000"/>
        </w:rPr>
        <w:tab/>
        <w:t>Tomb-stone grave foot</w:t>
      </w:r>
      <w:r w:rsidR="000E7987">
        <w:rPr>
          <w:color w:val="000000"/>
        </w:rPr>
        <w:t xml:space="preserve"> </w:t>
      </w:r>
      <w:r>
        <w:rPr>
          <w:color w:val="000000"/>
        </w:rPr>
        <w:t>of Teungku Di Anjong is club round like sizing height 104 Cm. The tomb-stone base is square sizing 33</w:t>
      </w:r>
      <w:r w:rsidR="000E7987">
        <w:rPr>
          <w:color w:val="000000"/>
        </w:rPr>
        <w:t xml:space="preserve"> </w:t>
      </w:r>
      <w:r>
        <w:rPr>
          <w:color w:val="000000"/>
        </w:rPr>
        <w:t>x</w:t>
      </w:r>
      <w:r w:rsidR="000E7987">
        <w:rPr>
          <w:color w:val="000000"/>
        </w:rPr>
        <w:t xml:space="preserve"> </w:t>
      </w:r>
      <w:r>
        <w:rPr>
          <w:color w:val="000000"/>
        </w:rPr>
        <w:t>33 cm. The tomb-stone foot is decorated in flowery triangular decoration pattern whereas</w:t>
      </w:r>
      <w:r w:rsidR="000E7987">
        <w:rPr>
          <w:color w:val="000000"/>
        </w:rPr>
        <w:t xml:space="preserve"> </w:t>
      </w:r>
      <w:r>
        <w:rPr>
          <w:color w:val="000000"/>
        </w:rPr>
        <w:t>the tomb-stone body is formless, no decoration, however it was done</w:t>
      </w:r>
      <w:r w:rsidR="000E7987">
        <w:rPr>
          <w:color w:val="000000"/>
        </w:rPr>
        <w:t xml:space="preserve"> </w:t>
      </w:r>
      <w:r>
        <w:rPr>
          <w:color w:val="000000"/>
        </w:rPr>
        <w:t>finely.  Even though the tomb stone body is formless, on the top part of the tomb-stone there found Arab character written red paint Malay in Arab character whose letter style tended to be</w:t>
      </w:r>
      <w:r w:rsidR="000E7987">
        <w:rPr>
          <w:color w:val="000000"/>
        </w:rPr>
        <w:t xml:space="preserve"> </w:t>
      </w:r>
      <w:r>
        <w:rPr>
          <w:i/>
          <w:color w:val="000000"/>
        </w:rPr>
        <w:t>naskhi</w:t>
      </w:r>
      <w:r>
        <w:rPr>
          <w:color w:val="000000"/>
        </w:rPr>
        <w:t xml:space="preserve">. This writing contained information of time when the figure was buried in this grave died. The characters found </w:t>
      </w:r>
      <w:r w:rsidR="000E7987">
        <w:rPr>
          <w:color w:val="000000"/>
        </w:rPr>
        <w:t>were</w:t>
      </w:r>
      <w:r>
        <w:rPr>
          <w:color w:val="000000"/>
        </w:rPr>
        <w:t xml:space="preserve"> written circularly, starting from the middle, bit by bit to the edge.</w:t>
      </w:r>
    </w:p>
    <w:p w:rsidR="005B63E8" w:rsidRDefault="0063176A">
      <w:pPr>
        <w:pStyle w:val="Standard"/>
        <w:shd w:val="clear" w:color="auto" w:fill="FFFFFF"/>
        <w:tabs>
          <w:tab w:val="left" w:pos="990"/>
        </w:tabs>
        <w:autoSpaceDE w:val="0"/>
        <w:spacing w:after="0" w:line="360" w:lineRule="auto"/>
        <w:jc w:val="both"/>
        <w:rPr>
          <w:color w:val="000000"/>
        </w:rPr>
      </w:pPr>
      <w:r>
        <w:rPr>
          <w:color w:val="000000"/>
        </w:rPr>
        <w:tab/>
        <w:t xml:space="preserve">In general, the character on the tomb-stone of the </w:t>
      </w:r>
      <w:r w:rsidR="000E7987">
        <w:rPr>
          <w:color w:val="000000"/>
        </w:rPr>
        <w:t>grave foot of Teungku Di Anjong</w:t>
      </w:r>
      <w:r>
        <w:rPr>
          <w:color w:val="000000"/>
        </w:rPr>
        <w:t xml:space="preserve"> could be said is not intact any more, it is already damaged, on the certain part, the character is not readable. Perhaps this is due to being old, let alone it was ever stormed by tsunami on December 26.2004, so that it is appropriate that on the certain part of it is not readable. The readable character on the tomb-stone top</w:t>
      </w:r>
      <w:r w:rsidR="000E7987">
        <w:rPr>
          <w:color w:val="000000"/>
        </w:rPr>
        <w:t xml:space="preserve"> of the grave foot of</w:t>
      </w:r>
      <w:r>
        <w:rPr>
          <w:color w:val="000000"/>
        </w:rPr>
        <w:t xml:space="preserve"> Teungku Di Anjong, among others are as follows.</w:t>
      </w:r>
    </w:p>
    <w:p w:rsidR="005B63E8" w:rsidRDefault="0063176A">
      <w:pPr>
        <w:pStyle w:val="Standard"/>
        <w:shd w:val="clear" w:color="auto" w:fill="FFFFFF"/>
        <w:tabs>
          <w:tab w:val="left" w:pos="720"/>
          <w:tab w:val="left" w:pos="990"/>
        </w:tabs>
        <w:autoSpaceDE w:val="0"/>
        <w:spacing w:after="0" w:line="240" w:lineRule="auto"/>
        <w:ind w:left="720"/>
        <w:jc w:val="both"/>
        <w:rPr>
          <w:i/>
          <w:color w:val="000000"/>
        </w:rPr>
      </w:pPr>
      <w:r>
        <w:rPr>
          <w:i/>
          <w:color w:val="000000"/>
        </w:rPr>
        <w:t>Tahun hijratan nabi shallahu alaihi wasallam seribu  seratus sembilan puluh enam….empat belas hari bulan Ramadhan pada malam Jumat waktu Isya….pada tarik itulah ……</w:t>
      </w:r>
    </w:p>
    <w:p w:rsidR="005B63E8" w:rsidRDefault="005B63E8">
      <w:pPr>
        <w:pStyle w:val="Standard"/>
        <w:shd w:val="clear" w:color="auto" w:fill="FFFFFF"/>
        <w:tabs>
          <w:tab w:val="left" w:pos="720"/>
          <w:tab w:val="left" w:pos="990"/>
        </w:tabs>
        <w:autoSpaceDE w:val="0"/>
        <w:spacing w:after="0" w:line="240" w:lineRule="auto"/>
        <w:ind w:left="720"/>
        <w:jc w:val="both"/>
        <w:rPr>
          <w:i/>
          <w:color w:val="000000"/>
        </w:rPr>
      </w:pPr>
    </w:p>
    <w:p w:rsidR="005B63E8" w:rsidRDefault="0063176A">
      <w:pPr>
        <w:pStyle w:val="Standard"/>
        <w:shd w:val="clear" w:color="auto" w:fill="FFFFFF"/>
        <w:tabs>
          <w:tab w:val="left" w:pos="720"/>
          <w:tab w:val="left" w:pos="990"/>
        </w:tabs>
        <w:autoSpaceDE w:val="0"/>
        <w:spacing w:after="0" w:line="240" w:lineRule="auto"/>
        <w:ind w:left="720"/>
        <w:jc w:val="both"/>
        <w:rPr>
          <w:i/>
          <w:color w:val="000000"/>
        </w:rPr>
      </w:pPr>
      <w:r>
        <w:rPr>
          <w:i/>
          <w:color w:val="000000"/>
        </w:rPr>
        <w:t xml:space="preserve">‘The hegira year of prophet Muhammad PBOH one hundred and ninety six ... The fourteenth of Ramadhan on the Thursday night the time Iesha ... It was on that date ... </w:t>
      </w:r>
    </w:p>
    <w:p w:rsidR="005B63E8" w:rsidRDefault="005B63E8">
      <w:pPr>
        <w:pStyle w:val="Standard"/>
        <w:shd w:val="clear" w:color="auto" w:fill="FFFFFF"/>
        <w:tabs>
          <w:tab w:val="left" w:pos="720"/>
          <w:tab w:val="left" w:pos="990"/>
        </w:tabs>
        <w:autoSpaceDE w:val="0"/>
        <w:spacing w:after="0" w:line="240" w:lineRule="auto"/>
        <w:jc w:val="both"/>
        <w:rPr>
          <w:i/>
          <w:color w:val="000000"/>
        </w:rPr>
      </w:pPr>
    </w:p>
    <w:p w:rsidR="005B63E8" w:rsidRDefault="0063176A">
      <w:pPr>
        <w:pStyle w:val="Standard"/>
        <w:shd w:val="clear" w:color="auto" w:fill="FFFFFF"/>
        <w:tabs>
          <w:tab w:val="left" w:pos="720"/>
          <w:tab w:val="left" w:pos="990"/>
        </w:tabs>
        <w:autoSpaceDE w:val="0"/>
        <w:spacing w:after="0" w:line="360" w:lineRule="auto"/>
        <w:jc w:val="both"/>
        <w:rPr>
          <w:color w:val="000000"/>
        </w:rPr>
      </w:pPr>
      <w:r>
        <w:rPr>
          <w:color w:val="000000"/>
        </w:rPr>
        <w:lastRenderedPageBreak/>
        <w:tab/>
        <w:t xml:space="preserve">It seems that this sentence runs together with the one found on the tomb-stone as it also explained the figure buried in it and the date on which he died namely the date on which  Teungku Di Anjong passed away. </w:t>
      </w:r>
    </w:p>
    <w:p w:rsidR="005B63E8" w:rsidRDefault="009673F6">
      <w:pPr>
        <w:pStyle w:val="Standard"/>
        <w:shd w:val="clear" w:color="auto" w:fill="FFFFFF"/>
        <w:tabs>
          <w:tab w:val="left" w:pos="990"/>
        </w:tabs>
        <w:autoSpaceDE w:val="0"/>
        <w:spacing w:line="360" w:lineRule="auto"/>
        <w:jc w:val="center"/>
        <w:rPr>
          <w:b/>
          <w:color w:val="000000"/>
        </w:rPr>
      </w:pPr>
      <w:r>
        <w:rPr>
          <w:b/>
          <w:noProof/>
          <w:color w:val="000000"/>
          <w:lang w:eastAsia="en-US"/>
        </w:rPr>
        <w:drawing>
          <wp:inline distT="0" distB="0" distL="0" distR="0">
            <wp:extent cx="2324735" cy="2056130"/>
            <wp:effectExtent l="19050" t="0" r="0" b="0"/>
            <wp:docPr id="7" name="Picture Fram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1"/>
                    <pic:cNvPicPr>
                      <a:picLocks noChangeAspect="1" noChangeArrowheads="1"/>
                    </pic:cNvPicPr>
                  </pic:nvPicPr>
                  <pic:blipFill>
                    <a:blip r:embed="rId17"/>
                    <a:srcRect r="6427"/>
                    <a:stretch>
                      <a:fillRect/>
                    </a:stretch>
                  </pic:blipFill>
                  <pic:spPr bwMode="auto">
                    <a:xfrm>
                      <a:off x="0" y="0"/>
                      <a:ext cx="2324735" cy="2056130"/>
                    </a:xfrm>
                    <a:prstGeom prst="rect">
                      <a:avLst/>
                    </a:prstGeom>
                    <a:noFill/>
                    <a:ln w="9525">
                      <a:noFill/>
                      <a:miter lim="800000"/>
                      <a:headEnd/>
                      <a:tailEnd/>
                    </a:ln>
                  </pic:spPr>
                </pic:pic>
              </a:graphicData>
            </a:graphic>
          </wp:inline>
        </w:drawing>
      </w:r>
    </w:p>
    <w:p w:rsidR="005B63E8" w:rsidRDefault="0063176A">
      <w:pPr>
        <w:pStyle w:val="Standard"/>
        <w:shd w:val="clear" w:color="auto" w:fill="FFFFFF"/>
        <w:tabs>
          <w:tab w:val="left" w:pos="990"/>
        </w:tabs>
        <w:autoSpaceDE w:val="0"/>
        <w:spacing w:line="360" w:lineRule="auto"/>
        <w:jc w:val="center"/>
        <w:rPr>
          <w:color w:val="000000"/>
        </w:rPr>
      </w:pPr>
      <w:r>
        <w:rPr>
          <w:color w:val="000000"/>
        </w:rPr>
        <w:t>Figure7. Upper part of Tomb-stone the grave foot of Teungku Di Anjong</w:t>
      </w:r>
    </w:p>
    <w:p w:rsidR="005B63E8" w:rsidRDefault="0063176A">
      <w:pPr>
        <w:pStyle w:val="Standard"/>
        <w:shd w:val="clear" w:color="auto" w:fill="FFFFFF"/>
        <w:tabs>
          <w:tab w:val="left" w:pos="990"/>
        </w:tabs>
        <w:autoSpaceDE w:val="0"/>
        <w:spacing w:line="360" w:lineRule="auto"/>
        <w:jc w:val="center"/>
      </w:pPr>
      <w:r>
        <w:rPr>
          <w:color w:val="000000"/>
        </w:rPr>
        <w:tab/>
      </w:r>
      <w:r w:rsidR="009673F6">
        <w:rPr>
          <w:noProof/>
          <w:lang w:eastAsia="en-US"/>
        </w:rPr>
        <w:drawing>
          <wp:inline distT="0" distB="0" distL="0" distR="0">
            <wp:extent cx="1988820" cy="2743200"/>
            <wp:effectExtent l="19050" t="0" r="0" b="0"/>
            <wp:docPr id="8" name="Picture Fram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2"/>
                    <pic:cNvPicPr>
                      <a:picLocks noChangeAspect="1" noChangeArrowheads="1"/>
                    </pic:cNvPicPr>
                  </pic:nvPicPr>
                  <pic:blipFill>
                    <a:blip r:embed="rId18" cstate="print"/>
                    <a:srcRect/>
                    <a:stretch>
                      <a:fillRect/>
                    </a:stretch>
                  </pic:blipFill>
                  <pic:spPr bwMode="auto">
                    <a:xfrm>
                      <a:off x="0" y="0"/>
                      <a:ext cx="1988820" cy="2743200"/>
                    </a:xfrm>
                    <a:prstGeom prst="rect">
                      <a:avLst/>
                    </a:prstGeom>
                    <a:noFill/>
                    <a:ln w="9525">
                      <a:noFill/>
                      <a:miter lim="800000"/>
                      <a:headEnd/>
                      <a:tailEnd/>
                    </a:ln>
                  </pic:spPr>
                </pic:pic>
              </a:graphicData>
            </a:graphic>
          </wp:inline>
        </w:drawing>
      </w:r>
    </w:p>
    <w:p w:rsidR="005B63E8" w:rsidRDefault="0063176A">
      <w:pPr>
        <w:pStyle w:val="Standard"/>
        <w:shd w:val="clear" w:color="auto" w:fill="FFFFFF"/>
        <w:tabs>
          <w:tab w:val="left" w:pos="990"/>
        </w:tabs>
        <w:autoSpaceDE w:val="0"/>
        <w:spacing w:line="360" w:lineRule="auto"/>
        <w:jc w:val="center"/>
      </w:pPr>
      <w:r>
        <w:t>Fi</w:t>
      </w:r>
      <w:r w:rsidR="000E7987">
        <w:t>gure</w:t>
      </w:r>
      <w:r w:rsidR="000E69B9">
        <w:t xml:space="preserve"> </w:t>
      </w:r>
      <w:r w:rsidR="000E7987">
        <w:t>8. Grave Head Tomb-stone of</w:t>
      </w:r>
      <w:r>
        <w:t xml:space="preserve"> Teungku Di Anjong</w:t>
      </w:r>
    </w:p>
    <w:p w:rsidR="005B63E8" w:rsidRDefault="0063176A">
      <w:pPr>
        <w:pStyle w:val="Standard"/>
        <w:shd w:val="clear" w:color="auto" w:fill="FFFFFF"/>
        <w:tabs>
          <w:tab w:val="left" w:pos="990"/>
        </w:tabs>
        <w:autoSpaceDE w:val="0"/>
        <w:spacing w:line="360" w:lineRule="auto"/>
        <w:jc w:val="both"/>
        <w:rPr>
          <w:color w:val="000000"/>
        </w:rPr>
      </w:pPr>
      <w:r>
        <w:rPr>
          <w:color w:val="000000"/>
        </w:rPr>
        <w:tab/>
        <w:t xml:space="preserve">The head tomb-stone also takes the form club-round, sizing height 104 Cm. The tomb-stone base is </w:t>
      </w:r>
      <w:r w:rsidR="000E7987">
        <w:rPr>
          <w:color w:val="000000"/>
        </w:rPr>
        <w:t>square sizing 33x33 c</w:t>
      </w:r>
      <w:r>
        <w:rPr>
          <w:color w:val="000000"/>
        </w:rPr>
        <w:t>m. This tomb-stone also has decorated base in form of flowery triangle. On the top of head tomb-stone there is found an engraved calligraphy in the form of round ordered figurative pattern of sunflower (</w:t>
      </w:r>
      <w:r>
        <w:rPr>
          <w:i/>
          <w:color w:val="000000"/>
        </w:rPr>
        <w:t>bunga mata hari</w:t>
      </w:r>
      <w:r>
        <w:rPr>
          <w:iCs/>
          <w:color w:val="000000"/>
        </w:rPr>
        <w:t>)</w:t>
      </w:r>
      <w:r>
        <w:rPr>
          <w:i/>
          <w:color w:val="000000"/>
        </w:rPr>
        <w:t xml:space="preserve">. </w:t>
      </w:r>
      <w:r>
        <w:rPr>
          <w:iCs/>
          <w:color w:val="000000"/>
        </w:rPr>
        <w:t xml:space="preserve">In that solar pattern </w:t>
      </w:r>
      <w:r>
        <w:rPr>
          <w:color w:val="000000"/>
        </w:rPr>
        <w:t xml:space="preserve">there is found a calligraphy written in Arab that is the </w:t>
      </w:r>
      <w:r>
        <w:rPr>
          <w:i/>
          <w:color w:val="000000"/>
        </w:rPr>
        <w:t>bi sentential testimony, “L</w:t>
      </w:r>
      <w:r>
        <w:rPr>
          <w:rFonts w:cs="Times New Roman"/>
          <w:i/>
          <w:color w:val="000000"/>
        </w:rPr>
        <w:t>ã</w:t>
      </w:r>
      <w:r>
        <w:rPr>
          <w:i/>
          <w:color w:val="000000"/>
        </w:rPr>
        <w:t xml:space="preserve"> illaha ill</w:t>
      </w:r>
      <w:r>
        <w:rPr>
          <w:rFonts w:cs="Times New Roman"/>
          <w:i/>
          <w:color w:val="000000"/>
        </w:rPr>
        <w:t>ã</w:t>
      </w:r>
      <w:r>
        <w:rPr>
          <w:i/>
          <w:color w:val="000000"/>
        </w:rPr>
        <w:t xml:space="preserve"> Allah, Muhammad ar-Rasul Allah</w:t>
      </w:r>
      <w:r>
        <w:rPr>
          <w:color w:val="000000"/>
        </w:rPr>
        <w:t xml:space="preserve">”, </w:t>
      </w:r>
      <w:r>
        <w:rPr>
          <w:color w:val="000000"/>
        </w:rPr>
        <w:lastRenderedPageBreak/>
        <w:t>followed by the one“</w:t>
      </w:r>
      <w:r>
        <w:rPr>
          <w:i/>
          <w:color w:val="000000"/>
        </w:rPr>
        <w:t>Ya Huw</w:t>
      </w:r>
      <w:r>
        <w:rPr>
          <w:color w:val="000000"/>
        </w:rPr>
        <w:t>”, so that the sentence is more complete that is “</w:t>
      </w:r>
      <w:r>
        <w:rPr>
          <w:i/>
          <w:color w:val="000000"/>
        </w:rPr>
        <w:t>L</w:t>
      </w:r>
      <w:r>
        <w:rPr>
          <w:rFonts w:cs="Times New Roman"/>
          <w:i/>
          <w:color w:val="000000"/>
        </w:rPr>
        <w:t>ã</w:t>
      </w:r>
      <w:r>
        <w:rPr>
          <w:i/>
          <w:color w:val="000000"/>
        </w:rPr>
        <w:t xml:space="preserve"> illaha ill</w:t>
      </w:r>
      <w:r>
        <w:rPr>
          <w:rFonts w:cs="Times New Roman"/>
          <w:i/>
          <w:color w:val="000000"/>
        </w:rPr>
        <w:t>ã</w:t>
      </w:r>
      <w:r>
        <w:rPr>
          <w:i/>
          <w:color w:val="000000"/>
        </w:rPr>
        <w:t xml:space="preserve"> Allah, Muhammad ar-Rasul Allah, Ya Huw</w:t>
      </w:r>
      <w:r>
        <w:rPr>
          <w:color w:val="000000"/>
        </w:rPr>
        <w:t>”. Such a sentence is found as many as  16 items circularly ordered forming the sunflower motif.</w:t>
      </w:r>
    </w:p>
    <w:p w:rsidR="000E7987" w:rsidRDefault="000E7987">
      <w:pPr>
        <w:pStyle w:val="Standard"/>
        <w:shd w:val="clear" w:color="auto" w:fill="FFFFFF"/>
        <w:tabs>
          <w:tab w:val="left" w:pos="990"/>
        </w:tabs>
        <w:autoSpaceDE w:val="0"/>
        <w:spacing w:line="360" w:lineRule="auto"/>
        <w:jc w:val="both"/>
        <w:rPr>
          <w:color w:val="000000"/>
        </w:rPr>
      </w:pPr>
    </w:p>
    <w:p w:rsidR="005B63E8" w:rsidRDefault="009673F6">
      <w:pPr>
        <w:pStyle w:val="Standard"/>
        <w:shd w:val="clear" w:color="auto" w:fill="FFFFFF"/>
        <w:tabs>
          <w:tab w:val="left" w:pos="990"/>
        </w:tabs>
        <w:autoSpaceDE w:val="0"/>
        <w:spacing w:line="360" w:lineRule="auto"/>
        <w:jc w:val="center"/>
        <w:rPr>
          <w:color w:val="000000"/>
        </w:rPr>
      </w:pPr>
      <w:r>
        <w:rPr>
          <w:noProof/>
          <w:color w:val="000000"/>
          <w:lang w:eastAsia="en-US"/>
        </w:rPr>
        <w:drawing>
          <wp:inline distT="0" distB="0" distL="0" distR="0">
            <wp:extent cx="2707005" cy="2221230"/>
            <wp:effectExtent l="19050" t="0" r="0" b="0"/>
            <wp:docPr id="9" name="Picture Fram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3"/>
                    <pic:cNvPicPr>
                      <a:picLocks noChangeAspect="1" noChangeArrowheads="1"/>
                    </pic:cNvPicPr>
                  </pic:nvPicPr>
                  <pic:blipFill>
                    <a:blip r:embed="rId19"/>
                    <a:srcRect l="525" r="525" b="1276"/>
                    <a:stretch>
                      <a:fillRect/>
                    </a:stretch>
                  </pic:blipFill>
                  <pic:spPr bwMode="auto">
                    <a:xfrm>
                      <a:off x="0" y="0"/>
                      <a:ext cx="2707005" cy="2221230"/>
                    </a:xfrm>
                    <a:prstGeom prst="rect">
                      <a:avLst/>
                    </a:prstGeom>
                    <a:noFill/>
                    <a:ln w="9525">
                      <a:noFill/>
                      <a:miter lim="800000"/>
                      <a:headEnd/>
                      <a:tailEnd/>
                    </a:ln>
                  </pic:spPr>
                </pic:pic>
              </a:graphicData>
            </a:graphic>
          </wp:inline>
        </w:drawing>
      </w:r>
    </w:p>
    <w:p w:rsidR="000E69B9" w:rsidRDefault="0063176A">
      <w:pPr>
        <w:pStyle w:val="Standard"/>
        <w:shd w:val="clear" w:color="auto" w:fill="FFFFFF"/>
        <w:tabs>
          <w:tab w:val="left" w:pos="990"/>
        </w:tabs>
        <w:autoSpaceDE w:val="0"/>
        <w:spacing w:after="0" w:line="240" w:lineRule="auto"/>
        <w:jc w:val="center"/>
        <w:rPr>
          <w:color w:val="000000"/>
        </w:rPr>
      </w:pPr>
      <w:r>
        <w:rPr>
          <w:color w:val="000000"/>
        </w:rPr>
        <w:t xml:space="preserve">Figure 9. The Grave Head Tomb-stone of Teungku Di Anjong </w:t>
      </w:r>
    </w:p>
    <w:p w:rsidR="000E69B9" w:rsidRDefault="0063176A">
      <w:pPr>
        <w:pStyle w:val="Standard"/>
        <w:shd w:val="clear" w:color="auto" w:fill="FFFFFF"/>
        <w:tabs>
          <w:tab w:val="left" w:pos="990"/>
        </w:tabs>
        <w:autoSpaceDE w:val="0"/>
        <w:spacing w:after="0" w:line="240" w:lineRule="auto"/>
        <w:jc w:val="center"/>
        <w:rPr>
          <w:i/>
          <w:color w:val="000000"/>
        </w:rPr>
      </w:pPr>
      <w:r>
        <w:rPr>
          <w:color w:val="000000"/>
        </w:rPr>
        <w:t>(there found a sentence:</w:t>
      </w:r>
      <w:r>
        <w:rPr>
          <w:i/>
          <w:color w:val="000000"/>
        </w:rPr>
        <w:t xml:space="preserve"> “L</w:t>
      </w:r>
      <w:r>
        <w:rPr>
          <w:rFonts w:cs="Times New Roman"/>
          <w:i/>
          <w:color w:val="000000"/>
        </w:rPr>
        <w:t>ã</w:t>
      </w:r>
      <w:r>
        <w:rPr>
          <w:i/>
          <w:color w:val="000000"/>
        </w:rPr>
        <w:t xml:space="preserve"> illaha ill</w:t>
      </w:r>
      <w:r>
        <w:rPr>
          <w:rFonts w:cs="Times New Roman"/>
          <w:i/>
          <w:color w:val="000000"/>
        </w:rPr>
        <w:t>ã</w:t>
      </w:r>
      <w:r>
        <w:rPr>
          <w:i/>
          <w:color w:val="000000"/>
        </w:rPr>
        <w:t xml:space="preserve"> Allah, Muhammad ar-Rasul Allah, ya huw”</w:t>
      </w:r>
    </w:p>
    <w:p w:rsidR="005B63E8" w:rsidRDefault="0063176A">
      <w:pPr>
        <w:pStyle w:val="Standard"/>
        <w:shd w:val="clear" w:color="auto" w:fill="FFFFFF"/>
        <w:tabs>
          <w:tab w:val="left" w:pos="990"/>
        </w:tabs>
        <w:autoSpaceDE w:val="0"/>
        <w:spacing w:after="0" w:line="240" w:lineRule="auto"/>
        <w:jc w:val="center"/>
        <w:rPr>
          <w:color w:val="000000"/>
        </w:rPr>
      </w:pPr>
      <w:r>
        <w:rPr>
          <w:i/>
          <w:color w:val="000000"/>
        </w:rPr>
        <w:t xml:space="preserve"> </w:t>
      </w:r>
      <w:r>
        <w:rPr>
          <w:color w:val="000000"/>
        </w:rPr>
        <w:t>as many as</w:t>
      </w:r>
      <w:r w:rsidR="000E69B9">
        <w:rPr>
          <w:color w:val="000000"/>
        </w:rPr>
        <w:t xml:space="preserve"> </w:t>
      </w:r>
      <w:r>
        <w:rPr>
          <w:color w:val="000000"/>
        </w:rPr>
        <w:t>16 items)</w:t>
      </w:r>
    </w:p>
    <w:p w:rsidR="005B63E8" w:rsidRDefault="005B63E8">
      <w:pPr>
        <w:pStyle w:val="Standard"/>
        <w:shd w:val="clear" w:color="auto" w:fill="FFFFFF"/>
        <w:tabs>
          <w:tab w:val="left" w:pos="990"/>
        </w:tabs>
        <w:autoSpaceDE w:val="0"/>
        <w:spacing w:after="0" w:line="240" w:lineRule="auto"/>
        <w:jc w:val="center"/>
        <w:rPr>
          <w:color w:val="000000"/>
        </w:rPr>
      </w:pPr>
    </w:p>
    <w:p w:rsidR="005B63E8" w:rsidRDefault="0063176A">
      <w:pPr>
        <w:pStyle w:val="Standard"/>
        <w:shd w:val="clear" w:color="auto" w:fill="FFFFFF"/>
        <w:tabs>
          <w:tab w:val="left" w:pos="990"/>
        </w:tabs>
        <w:autoSpaceDE w:val="0"/>
        <w:spacing w:after="0" w:line="360" w:lineRule="auto"/>
        <w:jc w:val="both"/>
        <w:rPr>
          <w:rFonts w:cs="Times New Roman"/>
          <w:color w:val="000000"/>
        </w:rPr>
      </w:pPr>
      <w:r>
        <w:rPr>
          <w:color w:val="000000"/>
        </w:rPr>
        <w:tab/>
        <w:t xml:space="preserve">Meanwhile, the grave of Fatimah Binti Aidid, the wife of Tengku Di Anjong </w:t>
      </w:r>
      <w:r w:rsidR="000E7987">
        <w:rPr>
          <w:color w:val="000000"/>
        </w:rPr>
        <w:t>h</w:t>
      </w:r>
      <w:r>
        <w:rPr>
          <w:color w:val="000000"/>
        </w:rPr>
        <w:t>as two tomb-stones flat-winged form.  The tomb-stone foot, the base sizing 21x21 Cm. Tomb-stone height, 100 Cm.  The base of head tomb-ston</w:t>
      </w:r>
      <w:r w:rsidR="000E7987">
        <w:rPr>
          <w:color w:val="000000"/>
        </w:rPr>
        <w:t>e sizing 26x26 cm</w:t>
      </w:r>
      <w:r>
        <w:rPr>
          <w:color w:val="000000"/>
        </w:rPr>
        <w:t xml:space="preserve"> and  the height is 110 </w:t>
      </w:r>
      <w:r w:rsidR="000E7987">
        <w:rPr>
          <w:color w:val="000000"/>
        </w:rPr>
        <w:t>c</w:t>
      </w:r>
      <w:r>
        <w:rPr>
          <w:color w:val="000000"/>
        </w:rPr>
        <w:t xml:space="preserve">m.  These tomb-stones are full of decoration such as </w:t>
      </w:r>
      <w:r>
        <w:rPr>
          <w:i/>
          <w:color w:val="000000"/>
        </w:rPr>
        <w:t>bungong awan setangke</w:t>
      </w:r>
      <w:r>
        <w:rPr>
          <w:color w:val="000000"/>
        </w:rPr>
        <w:t xml:space="preserve">, kalung </w:t>
      </w:r>
      <w:r>
        <w:rPr>
          <w:rFonts w:cs="Times New Roman"/>
          <w:i/>
          <w:iCs/>
          <w:color w:val="000000"/>
        </w:rPr>
        <w:t>keutab lhee</w:t>
      </w:r>
      <w:r w:rsidR="000E69B9">
        <w:rPr>
          <w:rFonts w:cs="Times New Roman"/>
          <w:i/>
          <w:iCs/>
          <w:color w:val="000000"/>
        </w:rPr>
        <w:t xml:space="preserve"> </w:t>
      </w:r>
      <w:r>
        <w:rPr>
          <w:rFonts w:cs="Times New Roman"/>
          <w:i/>
          <w:iCs/>
          <w:color w:val="000000"/>
        </w:rPr>
        <w:t xml:space="preserve">lapeh, bunga matahari, bunga melu, </w:t>
      </w:r>
      <w:r>
        <w:rPr>
          <w:rFonts w:cs="Times New Roman"/>
          <w:iCs/>
          <w:color w:val="000000"/>
        </w:rPr>
        <w:t>etc</w:t>
      </w:r>
      <w:r>
        <w:rPr>
          <w:rFonts w:cs="Times New Roman"/>
          <w:i/>
          <w:iCs/>
          <w:color w:val="000000"/>
        </w:rPr>
        <w:t xml:space="preserve">. </w:t>
      </w:r>
    </w:p>
    <w:p w:rsidR="005B63E8" w:rsidRDefault="005B63E8">
      <w:pPr>
        <w:pStyle w:val="Standard"/>
        <w:shd w:val="clear" w:color="auto" w:fill="FFFFFF"/>
        <w:tabs>
          <w:tab w:val="left" w:pos="990"/>
        </w:tabs>
        <w:autoSpaceDE w:val="0"/>
        <w:spacing w:line="240" w:lineRule="auto"/>
        <w:jc w:val="both"/>
        <w:rPr>
          <w:color w:val="000000"/>
          <w:sz w:val="20"/>
          <w:szCs w:val="20"/>
        </w:rPr>
      </w:pPr>
    </w:p>
    <w:p w:rsidR="005B63E8" w:rsidRDefault="0063176A">
      <w:pPr>
        <w:pStyle w:val="Standard"/>
        <w:shd w:val="clear" w:color="auto" w:fill="FFFFFF"/>
        <w:tabs>
          <w:tab w:val="left" w:pos="990"/>
        </w:tabs>
        <w:autoSpaceDE w:val="0"/>
        <w:spacing w:line="240" w:lineRule="auto"/>
        <w:ind w:left="360" w:hanging="360"/>
        <w:jc w:val="both"/>
        <w:rPr>
          <w:b/>
          <w:color w:val="000000"/>
        </w:rPr>
      </w:pPr>
      <w:r>
        <w:rPr>
          <w:b/>
          <w:color w:val="000000"/>
        </w:rPr>
        <w:t>D. The Revitalization of Grave Decoration</w:t>
      </w:r>
      <w:r w:rsidR="000954EE">
        <w:rPr>
          <w:b/>
          <w:color w:val="000000"/>
        </w:rPr>
        <w:t xml:space="preserve"> </w:t>
      </w:r>
      <w:r>
        <w:rPr>
          <w:b/>
          <w:color w:val="000000"/>
        </w:rPr>
        <w:t xml:space="preserve">for Development of Achenese Creative Batik Motif </w:t>
      </w:r>
    </w:p>
    <w:p w:rsidR="005B63E8" w:rsidRDefault="0063176A">
      <w:pPr>
        <w:pStyle w:val="Standard"/>
        <w:shd w:val="clear" w:color="auto" w:fill="FFFFFF"/>
        <w:tabs>
          <w:tab w:val="left" w:pos="990"/>
        </w:tabs>
        <w:autoSpaceDE w:val="0"/>
        <w:spacing w:line="360" w:lineRule="auto"/>
        <w:jc w:val="both"/>
        <w:rPr>
          <w:color w:val="000000"/>
        </w:rPr>
      </w:pPr>
      <w:r>
        <w:rPr>
          <w:color w:val="000000"/>
        </w:rPr>
        <w:tab/>
        <w:t>The grave of Teungku Di Anjong and his wife’s</w:t>
      </w:r>
      <w:r w:rsidR="000954EE">
        <w:rPr>
          <w:color w:val="000000"/>
        </w:rPr>
        <w:t xml:space="preserve"> </w:t>
      </w:r>
      <w:r>
        <w:rPr>
          <w:color w:val="000000"/>
        </w:rPr>
        <w:t>have a very potential decoration to be revitalized, developed as the Achenese batik motif. Some attempts have been done such as to design the batik motifs produced by the revitalization of  Tengku di Anjong grave decorat</w:t>
      </w:r>
      <w:r w:rsidR="000954EE">
        <w:rPr>
          <w:color w:val="000000"/>
        </w:rPr>
        <w:t xml:space="preserve">ion. Say for example, the motif </w:t>
      </w:r>
      <w:r>
        <w:rPr>
          <w:color w:val="000000"/>
        </w:rPr>
        <w:t>”kalimah awan berarak”, particularly designed using</w:t>
      </w:r>
      <w:r w:rsidR="000954EE">
        <w:rPr>
          <w:color w:val="000000"/>
        </w:rPr>
        <w:t xml:space="preserve"> </w:t>
      </w:r>
      <w:r>
        <w:rPr>
          <w:color w:val="000000"/>
        </w:rPr>
        <w:t>intermittent clouds found on the grave of Teungku di Anjong. The batik Motif “Kalimah Awan Berarak” has been “patented” as the property rights preserved</w:t>
      </w:r>
      <w:r w:rsidR="000954EE">
        <w:rPr>
          <w:color w:val="000000"/>
        </w:rPr>
        <w:t xml:space="preserve"> </w:t>
      </w:r>
      <w:r>
        <w:rPr>
          <w:color w:val="000000"/>
        </w:rPr>
        <w:t xml:space="preserve">to the Ministry of Justice and Human Rights Republic of  </w:t>
      </w:r>
      <w:r>
        <w:rPr>
          <w:color w:val="000000"/>
        </w:rPr>
        <w:lastRenderedPageBreak/>
        <w:t>Indonesia in 2017, and fortified</w:t>
      </w:r>
      <w:r w:rsidR="000954EE">
        <w:rPr>
          <w:color w:val="000000"/>
        </w:rPr>
        <w:t xml:space="preserve"> </w:t>
      </w:r>
      <w:r>
        <w:rPr>
          <w:color w:val="244061"/>
        </w:rPr>
        <w:t xml:space="preserve">under </w:t>
      </w:r>
      <w:r>
        <w:rPr>
          <w:color w:val="000000"/>
        </w:rPr>
        <w:t>(No. Registration of</w:t>
      </w:r>
      <w:r w:rsidR="000954EE">
        <w:rPr>
          <w:color w:val="000000"/>
        </w:rPr>
        <w:t xml:space="preserve"> </w:t>
      </w:r>
      <w:r>
        <w:rPr>
          <w:color w:val="000000"/>
        </w:rPr>
        <w:t>Property Rights: EC00201704596, October 18.2017).</w:t>
      </w:r>
      <w:r>
        <w:rPr>
          <w:color w:val="000000"/>
        </w:rPr>
        <w:tab/>
      </w:r>
    </w:p>
    <w:p w:rsidR="005B63E8" w:rsidRDefault="009673F6">
      <w:pPr>
        <w:pStyle w:val="ListParagraph2"/>
        <w:ind w:left="1080"/>
        <w:jc w:val="center"/>
        <w:rPr>
          <w:rFonts w:ascii="Times New Roman" w:hAnsi="Times New Roman"/>
          <w:color w:val="244061"/>
          <w:sz w:val="24"/>
          <w:szCs w:val="24"/>
        </w:rPr>
      </w:pPr>
      <w:r>
        <w:rPr>
          <w:rFonts w:ascii="Times New Roman" w:hAnsi="Times New Roman"/>
          <w:noProof/>
          <w:color w:val="244061"/>
          <w:sz w:val="24"/>
          <w:szCs w:val="24"/>
        </w:rPr>
        <w:drawing>
          <wp:inline distT="0" distB="0" distL="0" distR="0">
            <wp:extent cx="4204970" cy="2443480"/>
            <wp:effectExtent l="19050" t="0" r="5080" b="0"/>
            <wp:docPr id="10" name="Picture Fram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4"/>
                    <pic:cNvPicPr>
                      <a:picLocks noChangeAspect="1" noChangeArrowheads="1"/>
                    </pic:cNvPicPr>
                  </pic:nvPicPr>
                  <pic:blipFill>
                    <a:blip r:embed="rId20"/>
                    <a:srcRect/>
                    <a:stretch>
                      <a:fillRect/>
                    </a:stretch>
                  </pic:blipFill>
                  <pic:spPr bwMode="auto">
                    <a:xfrm>
                      <a:off x="0" y="0"/>
                      <a:ext cx="4204970" cy="2443480"/>
                    </a:xfrm>
                    <a:prstGeom prst="rect">
                      <a:avLst/>
                    </a:prstGeom>
                    <a:noFill/>
                    <a:ln w="9525">
                      <a:noFill/>
                      <a:miter lim="800000"/>
                      <a:headEnd/>
                      <a:tailEnd/>
                    </a:ln>
                  </pic:spPr>
                </pic:pic>
              </a:graphicData>
            </a:graphic>
          </wp:inline>
        </w:drawing>
      </w:r>
    </w:p>
    <w:p w:rsidR="005B63E8" w:rsidRDefault="0063176A">
      <w:pPr>
        <w:pStyle w:val="ListParagraph2"/>
        <w:ind w:left="1080"/>
        <w:jc w:val="center"/>
        <w:rPr>
          <w:rFonts w:ascii="Times New Roman" w:hAnsi="Times New Roman"/>
          <w:color w:val="244061"/>
          <w:sz w:val="24"/>
          <w:szCs w:val="24"/>
        </w:rPr>
      </w:pPr>
      <w:r>
        <w:rPr>
          <w:rFonts w:ascii="Times New Roman" w:hAnsi="Times New Roman"/>
          <w:color w:val="244061"/>
          <w:sz w:val="24"/>
          <w:szCs w:val="24"/>
        </w:rPr>
        <w:t xml:space="preserve">Figure  4. Batik Motif </w:t>
      </w:r>
      <w:r>
        <w:rPr>
          <w:rFonts w:ascii="Times New Roman" w:hAnsi="Times New Roman"/>
          <w:i/>
          <w:color w:val="244061"/>
          <w:sz w:val="24"/>
          <w:szCs w:val="24"/>
        </w:rPr>
        <w:t>Kalimah Awan Berarak</w:t>
      </w:r>
    </w:p>
    <w:p w:rsidR="005B63E8" w:rsidRDefault="0063176A">
      <w:pPr>
        <w:pStyle w:val="ListParagraph2"/>
        <w:ind w:left="1080"/>
        <w:jc w:val="center"/>
        <w:rPr>
          <w:rFonts w:ascii="Times New Roman" w:hAnsi="Times New Roman"/>
          <w:color w:val="244061"/>
          <w:sz w:val="24"/>
          <w:szCs w:val="24"/>
        </w:rPr>
      </w:pPr>
      <w:r>
        <w:rPr>
          <w:rFonts w:ascii="Times New Roman" w:hAnsi="Times New Roman"/>
          <w:color w:val="244061"/>
          <w:sz w:val="24"/>
          <w:szCs w:val="24"/>
        </w:rPr>
        <w:t>(Herwandi Design , 2017)</w:t>
      </w:r>
    </w:p>
    <w:p w:rsidR="005B63E8" w:rsidRDefault="0063176A">
      <w:pPr>
        <w:pStyle w:val="Judul"/>
        <w:spacing w:line="360" w:lineRule="auto"/>
        <w:ind w:firstLine="720"/>
        <w:jc w:val="both"/>
        <w:rPr>
          <w:b w:val="0"/>
        </w:rPr>
      </w:pPr>
      <w:r>
        <w:rPr>
          <w:b w:val="0"/>
        </w:rPr>
        <w:t>The batik motif Sentence of Intermittent Clouds (Kalimah Awan Berarak) is to represent a very deep philosophy and is very religious.  Literally, the naming of  this motif is the combination of the words</w:t>
      </w:r>
      <w:r w:rsidR="000954EE">
        <w:rPr>
          <w:b w:val="0"/>
        </w:rPr>
        <w:t xml:space="preserve"> </w:t>
      </w:r>
      <w:r>
        <w:rPr>
          <w:b w:val="0"/>
          <w:i/>
        </w:rPr>
        <w:t>kalimah‘word’</w:t>
      </w:r>
      <w:r>
        <w:rPr>
          <w:b w:val="0"/>
        </w:rPr>
        <w:t xml:space="preserve"> awan ‘clouds’ and the one berarak‘intermittent’. Thus, the word</w:t>
      </w:r>
      <w:r w:rsidR="000954EE">
        <w:rPr>
          <w:b w:val="0"/>
        </w:rPr>
        <w:t xml:space="preserve"> </w:t>
      </w:r>
      <w:r>
        <w:rPr>
          <w:b w:val="0"/>
          <w:i/>
        </w:rPr>
        <w:t>kalimah</w:t>
      </w:r>
      <w:r w:rsidR="000954EE">
        <w:rPr>
          <w:b w:val="0"/>
          <w:i/>
        </w:rPr>
        <w:t xml:space="preserve"> </w:t>
      </w:r>
      <w:r>
        <w:rPr>
          <w:b w:val="0"/>
        </w:rPr>
        <w:t>connotes</w:t>
      </w:r>
      <w:r w:rsidR="000954EE">
        <w:rPr>
          <w:b w:val="0"/>
        </w:rPr>
        <w:t xml:space="preserve"> </w:t>
      </w:r>
      <w:r>
        <w:rPr>
          <w:b w:val="0"/>
        </w:rPr>
        <w:t xml:space="preserve">to </w:t>
      </w:r>
      <w:r>
        <w:rPr>
          <w:b w:val="0"/>
          <w:i/>
        </w:rPr>
        <w:t>bi-sentential testimony</w:t>
      </w:r>
      <w:r>
        <w:rPr>
          <w:b w:val="0"/>
        </w:rPr>
        <w:t xml:space="preserve"> (</w:t>
      </w:r>
      <w:r>
        <w:rPr>
          <w:b w:val="0"/>
          <w:i/>
        </w:rPr>
        <w:t>La illaha illa Allah, Muhammadarrasullullah</w:t>
      </w:r>
      <w:r>
        <w:rPr>
          <w:b w:val="0"/>
        </w:rPr>
        <w:t>) (</w:t>
      </w:r>
      <w:r>
        <w:rPr>
          <w:b w:val="0"/>
          <w:i/>
        </w:rPr>
        <w:t>la illaha illa Allah;</w:t>
      </w:r>
      <w:r>
        <w:rPr>
          <w:b w:val="0"/>
        </w:rPr>
        <w:t xml:space="preserve">or </w:t>
      </w:r>
      <w:r>
        <w:rPr>
          <w:b w:val="0"/>
          <w:i/>
        </w:rPr>
        <w:t xml:space="preserve">Allah-Allah, </w:t>
      </w:r>
      <w:r>
        <w:rPr>
          <w:b w:val="0"/>
        </w:rPr>
        <w:t xml:space="preserve">or </w:t>
      </w:r>
      <w:r>
        <w:rPr>
          <w:b w:val="0"/>
          <w:i/>
        </w:rPr>
        <w:t>Huw Allah</w:t>
      </w:r>
      <w:r>
        <w:rPr>
          <w:b w:val="0"/>
          <w:iCs/>
        </w:rPr>
        <w:t>‘He is the God’</w:t>
      </w:r>
      <w:r>
        <w:rPr>
          <w:b w:val="0"/>
        </w:rPr>
        <w:t xml:space="preserve">). The word awan berarak‘intermittent clouds’, connote to constantly moving clouds decorating the sky, and freely this motif may be meant that the moving </w:t>
      </w:r>
      <w:r w:rsidR="000954EE">
        <w:rPr>
          <w:b w:val="0"/>
        </w:rPr>
        <w:t>clouds is in the remembering of</w:t>
      </w:r>
      <w:r>
        <w:rPr>
          <w:b w:val="0"/>
        </w:rPr>
        <w:t xml:space="preserve"> Allah “</w:t>
      </w:r>
      <w:r>
        <w:rPr>
          <w:b w:val="0"/>
          <w:i/>
          <w:iCs/>
        </w:rPr>
        <w:t>awan berarak yang berzikir</w:t>
      </w:r>
      <w:r>
        <w:rPr>
          <w:b w:val="0"/>
        </w:rPr>
        <w:t xml:space="preserve">”. </w:t>
      </w:r>
    </w:p>
    <w:p w:rsidR="005B63E8" w:rsidRDefault="0063176A" w:rsidP="00D75E57">
      <w:pPr>
        <w:pStyle w:val="Judul"/>
        <w:spacing w:line="360" w:lineRule="auto"/>
        <w:ind w:firstLine="720"/>
        <w:jc w:val="both"/>
        <w:rPr>
          <w:b w:val="0"/>
        </w:rPr>
      </w:pPr>
      <w:r>
        <w:rPr>
          <w:b w:val="0"/>
        </w:rPr>
        <w:t>The motif of clouds is not something strange in the Achenese traditional decorative pattern. In the repertoire of the Achenese traditional decorative pattern, t</w:t>
      </w:r>
      <w:r w:rsidR="00CD35CC">
        <w:rPr>
          <w:b w:val="0"/>
        </w:rPr>
        <w:t xml:space="preserve">his motive is sometimes called </w:t>
      </w:r>
      <w:r>
        <w:rPr>
          <w:b w:val="0"/>
        </w:rPr>
        <w:t>clouds</w:t>
      </w:r>
      <w:r w:rsidR="00CD35CC">
        <w:rPr>
          <w:b w:val="0"/>
        </w:rPr>
        <w:t xml:space="preserve"> </w:t>
      </w:r>
      <w:r>
        <w:rPr>
          <w:b w:val="0"/>
        </w:rPr>
        <w:t>‘awan-awan’. According to Dahlia (2014), the cloud motif is the continuity of Hinduism Java construction and is not separated from one another in its implementation with the mountaining as the completion to the nature of gods. Previously, perhaps the cloud motif was inspired by the real mount condition</w:t>
      </w:r>
      <w:r w:rsidR="00CD35CC">
        <w:rPr>
          <w:b w:val="0"/>
        </w:rPr>
        <w:t xml:space="preserve"> </w:t>
      </w:r>
      <w:r>
        <w:rPr>
          <w:b w:val="0"/>
        </w:rPr>
        <w:t>whose upper part is always covered with the clouds. Then, Dahlia also stated that the cloud is closely associated with water symbolizing fertility (Dahlia; 2014: 63-64).</w:t>
      </w:r>
    </w:p>
    <w:p w:rsidR="005B63E8" w:rsidRDefault="0063176A">
      <w:pPr>
        <w:pStyle w:val="Judul"/>
        <w:spacing w:after="200" w:line="360" w:lineRule="auto"/>
        <w:ind w:firstLine="720"/>
        <w:jc w:val="both"/>
        <w:rPr>
          <w:b w:val="0"/>
        </w:rPr>
      </w:pPr>
      <w:r>
        <w:rPr>
          <w:b w:val="0"/>
        </w:rPr>
        <w:t xml:space="preserve">The basic form of the intermittent clouds is dominated by bending lines forming construction pattern designed in such a way that conform a well ordered flowers close </w:t>
      </w:r>
      <w:r>
        <w:rPr>
          <w:b w:val="0"/>
        </w:rPr>
        <w:lastRenderedPageBreak/>
        <w:t>to one another like the intermittent clouds. This motif has a very deep philosophy. In the Achenese cultural repertoire</w:t>
      </w:r>
      <w:r w:rsidR="00593464">
        <w:rPr>
          <w:b w:val="0"/>
        </w:rPr>
        <w:t>,</w:t>
      </w:r>
      <w:r>
        <w:rPr>
          <w:b w:val="0"/>
        </w:rPr>
        <w:t xml:space="preserve"> </w:t>
      </w:r>
      <w:r w:rsidR="00593464">
        <w:rPr>
          <w:b w:val="0"/>
        </w:rPr>
        <w:t xml:space="preserve">it is </w:t>
      </w:r>
      <w:r>
        <w:rPr>
          <w:b w:val="0"/>
        </w:rPr>
        <w:t xml:space="preserve">closely related to the Islamic teachings placing the clouds as something having sacred value. </w:t>
      </w:r>
      <w:r w:rsidR="00593464">
        <w:rPr>
          <w:b w:val="0"/>
        </w:rPr>
        <w:t>The motif</w:t>
      </w:r>
      <w:r>
        <w:rPr>
          <w:b w:val="0"/>
        </w:rPr>
        <w:t xml:space="preserve"> </w:t>
      </w:r>
      <w:r w:rsidR="00593464">
        <w:rPr>
          <w:b w:val="0"/>
        </w:rPr>
        <w:t>of intermittent clouds is likened to the sky atmosphere that is in the view of Sufism it is signified that the power of Allah exceed the width the sky</w:t>
      </w:r>
      <w:r>
        <w:rPr>
          <w:b w:val="0"/>
        </w:rPr>
        <w:t xml:space="preserve"> </w:t>
      </w:r>
      <w:r w:rsidR="00593464">
        <w:rPr>
          <w:b w:val="0"/>
        </w:rPr>
        <w:t>and the mankind is only</w:t>
      </w:r>
      <w:r>
        <w:rPr>
          <w:b w:val="0"/>
        </w:rPr>
        <w:t xml:space="preserve"> </w:t>
      </w:r>
      <w:r w:rsidR="00593464">
        <w:rPr>
          <w:b w:val="0"/>
        </w:rPr>
        <w:t>as the clouds that will disappear</w:t>
      </w:r>
      <w:r>
        <w:rPr>
          <w:b w:val="0"/>
        </w:rPr>
        <w:t xml:space="preserve"> </w:t>
      </w:r>
      <w:r w:rsidR="00593464">
        <w:rPr>
          <w:b w:val="0"/>
        </w:rPr>
        <w:t>and the human knowledge will not equalize the</w:t>
      </w:r>
      <w:r>
        <w:rPr>
          <w:b w:val="0"/>
        </w:rPr>
        <w:t xml:space="preserve"> </w:t>
      </w:r>
      <w:r w:rsidR="00593464">
        <w:rPr>
          <w:b w:val="0"/>
        </w:rPr>
        <w:t>power of</w:t>
      </w:r>
      <w:r>
        <w:rPr>
          <w:b w:val="0"/>
        </w:rPr>
        <w:t xml:space="preserve"> Allah (Dalia, 2014: 65). </w:t>
      </w:r>
    </w:p>
    <w:p w:rsidR="005B63E8" w:rsidRDefault="00593464">
      <w:pPr>
        <w:spacing w:line="360" w:lineRule="auto"/>
        <w:ind w:firstLine="720"/>
        <w:jc w:val="both"/>
        <w:rPr>
          <w:rFonts w:ascii="Times New Roman" w:hAnsi="Times New Roman"/>
          <w:sz w:val="24"/>
          <w:szCs w:val="24"/>
        </w:rPr>
      </w:pPr>
      <w:r>
        <w:rPr>
          <w:rFonts w:ascii="Times New Roman" w:hAnsi="Times New Roman"/>
          <w:sz w:val="24"/>
          <w:szCs w:val="24"/>
        </w:rPr>
        <w:t>Other than the</w:t>
      </w:r>
      <w:r w:rsidR="0063176A">
        <w:rPr>
          <w:rFonts w:ascii="Times New Roman" w:hAnsi="Times New Roman"/>
          <w:sz w:val="24"/>
          <w:szCs w:val="24"/>
        </w:rPr>
        <w:t xml:space="preserve"> motif </w:t>
      </w:r>
      <w:r>
        <w:rPr>
          <w:rFonts w:ascii="Times New Roman" w:hAnsi="Times New Roman"/>
          <w:sz w:val="24"/>
          <w:szCs w:val="24"/>
        </w:rPr>
        <w:t xml:space="preserve">of </w:t>
      </w:r>
      <w:r w:rsidR="0063176A">
        <w:rPr>
          <w:rFonts w:ascii="Times New Roman" w:hAnsi="Times New Roman"/>
          <w:i/>
          <w:sz w:val="24"/>
          <w:szCs w:val="24"/>
        </w:rPr>
        <w:t>Kalimah Awan Berarak</w:t>
      </w:r>
      <w:r w:rsidR="0063176A">
        <w:rPr>
          <w:rFonts w:ascii="Times New Roman" w:hAnsi="Times New Roman"/>
          <w:sz w:val="24"/>
          <w:szCs w:val="24"/>
        </w:rPr>
        <w:t xml:space="preserve">, </w:t>
      </w:r>
      <w:r>
        <w:rPr>
          <w:rFonts w:ascii="Times New Roman" w:hAnsi="Times New Roman"/>
          <w:sz w:val="24"/>
          <w:szCs w:val="24"/>
        </w:rPr>
        <w:t>nowadays, the other batik motifs are also already designed</w:t>
      </w:r>
      <w:r w:rsidR="0063176A">
        <w:rPr>
          <w:rFonts w:ascii="Times New Roman" w:hAnsi="Times New Roman"/>
          <w:sz w:val="24"/>
          <w:szCs w:val="24"/>
        </w:rPr>
        <w:t xml:space="preserve"> </w:t>
      </w:r>
      <w:r>
        <w:rPr>
          <w:rFonts w:ascii="Times New Roman" w:hAnsi="Times New Roman"/>
          <w:sz w:val="24"/>
          <w:szCs w:val="24"/>
        </w:rPr>
        <w:t>namely</w:t>
      </w:r>
      <w:r w:rsidR="0063176A">
        <w:rPr>
          <w:rFonts w:ascii="Times New Roman" w:hAnsi="Times New Roman"/>
          <w:sz w:val="24"/>
          <w:szCs w:val="24"/>
        </w:rPr>
        <w:t xml:space="preserve">: 1) </w:t>
      </w:r>
      <w:r w:rsidR="0063176A">
        <w:rPr>
          <w:rFonts w:ascii="Times New Roman" w:hAnsi="Times New Roman"/>
          <w:i/>
          <w:sz w:val="24"/>
          <w:szCs w:val="24"/>
        </w:rPr>
        <w:t>Batik Tengku di Anjong</w:t>
      </w:r>
      <w:r w:rsidR="0063176A">
        <w:rPr>
          <w:rFonts w:ascii="Times New Roman" w:hAnsi="Times New Roman"/>
          <w:sz w:val="24"/>
          <w:szCs w:val="24"/>
        </w:rPr>
        <w:t xml:space="preserve">, 2) </w:t>
      </w:r>
      <w:r w:rsidR="0063176A">
        <w:rPr>
          <w:rFonts w:ascii="Times New Roman" w:hAnsi="Times New Roman"/>
          <w:i/>
          <w:sz w:val="24"/>
          <w:szCs w:val="24"/>
        </w:rPr>
        <w:t xml:space="preserve">Batik Lhe Laphe </w:t>
      </w:r>
      <w:r w:rsidR="002C437F">
        <w:rPr>
          <w:rFonts w:ascii="Times New Roman" w:hAnsi="Times New Roman"/>
          <w:sz w:val="24"/>
          <w:szCs w:val="24"/>
        </w:rPr>
        <w:t>all of which</w:t>
      </w:r>
      <w:r w:rsidR="0063176A">
        <w:rPr>
          <w:rFonts w:ascii="Times New Roman" w:hAnsi="Times New Roman"/>
          <w:sz w:val="24"/>
          <w:szCs w:val="24"/>
        </w:rPr>
        <w:t xml:space="preserve"> </w:t>
      </w:r>
      <w:r w:rsidR="002C437F">
        <w:rPr>
          <w:rFonts w:ascii="Times New Roman" w:hAnsi="Times New Roman"/>
          <w:sz w:val="24"/>
          <w:szCs w:val="24"/>
        </w:rPr>
        <w:t>are developed from the decorations</w:t>
      </w:r>
      <w:r w:rsidR="0063176A">
        <w:rPr>
          <w:rFonts w:ascii="Times New Roman" w:hAnsi="Times New Roman"/>
          <w:sz w:val="24"/>
          <w:szCs w:val="24"/>
        </w:rPr>
        <w:t xml:space="preserve"> </w:t>
      </w:r>
      <w:r w:rsidR="002C437F">
        <w:rPr>
          <w:rFonts w:ascii="Times New Roman" w:hAnsi="Times New Roman"/>
          <w:sz w:val="24"/>
          <w:szCs w:val="24"/>
        </w:rPr>
        <w:t>found on the grave</w:t>
      </w:r>
      <w:r w:rsidR="0063176A">
        <w:rPr>
          <w:rFonts w:ascii="Times New Roman" w:hAnsi="Times New Roman"/>
          <w:sz w:val="24"/>
          <w:szCs w:val="24"/>
        </w:rPr>
        <w:t xml:space="preserve"> </w:t>
      </w:r>
      <w:r w:rsidR="002C437F">
        <w:rPr>
          <w:rFonts w:ascii="Times New Roman" w:hAnsi="Times New Roman"/>
          <w:sz w:val="24"/>
          <w:szCs w:val="24"/>
        </w:rPr>
        <w:t>of</w:t>
      </w:r>
      <w:r w:rsidR="0063176A">
        <w:rPr>
          <w:rFonts w:ascii="Times New Roman" w:hAnsi="Times New Roman"/>
          <w:sz w:val="24"/>
          <w:szCs w:val="24"/>
        </w:rPr>
        <w:t xml:space="preserve"> Tengku Di Anjong an</w:t>
      </w:r>
      <w:r w:rsidR="002C437F">
        <w:rPr>
          <w:rFonts w:ascii="Times New Roman" w:hAnsi="Times New Roman"/>
          <w:sz w:val="24"/>
          <w:szCs w:val="24"/>
        </w:rPr>
        <w:t>d</w:t>
      </w:r>
      <w:r w:rsidR="0063176A">
        <w:rPr>
          <w:rFonts w:ascii="Times New Roman" w:hAnsi="Times New Roman"/>
          <w:sz w:val="24"/>
          <w:szCs w:val="24"/>
        </w:rPr>
        <w:t xml:space="preserve"> </w:t>
      </w:r>
      <w:r w:rsidR="002C437F">
        <w:rPr>
          <w:rFonts w:ascii="Times New Roman" w:hAnsi="Times New Roman"/>
          <w:sz w:val="24"/>
          <w:szCs w:val="24"/>
        </w:rPr>
        <w:t>his wife’s and the registration of the intellectual property rights is now  in the process of issuance</w:t>
      </w:r>
      <w:r w:rsidR="0063176A">
        <w:rPr>
          <w:rFonts w:ascii="Times New Roman" w:hAnsi="Times New Roman"/>
          <w:sz w:val="24"/>
          <w:szCs w:val="24"/>
        </w:rPr>
        <w:t xml:space="preserve">. </w:t>
      </w:r>
    </w:p>
    <w:p w:rsidR="005B63E8" w:rsidRDefault="0063176A">
      <w:pPr>
        <w:spacing w:line="360" w:lineRule="auto"/>
        <w:jc w:val="both"/>
        <w:rPr>
          <w:rFonts w:ascii="Times New Roman" w:hAnsi="Times New Roman"/>
          <w:sz w:val="24"/>
          <w:szCs w:val="24"/>
        </w:rPr>
      </w:pPr>
      <w:r>
        <w:rPr>
          <w:rFonts w:ascii="Times New Roman" w:hAnsi="Times New Roman"/>
          <w:sz w:val="24"/>
          <w:szCs w:val="24"/>
        </w:rPr>
        <w:tab/>
      </w:r>
      <w:r w:rsidR="002C437F">
        <w:rPr>
          <w:rFonts w:ascii="Times New Roman" w:hAnsi="Times New Roman"/>
          <w:sz w:val="24"/>
          <w:szCs w:val="24"/>
        </w:rPr>
        <w:t>Under the same spirit</w:t>
      </w:r>
      <w:r>
        <w:rPr>
          <w:rFonts w:ascii="Times New Roman" w:hAnsi="Times New Roman"/>
          <w:sz w:val="24"/>
          <w:szCs w:val="24"/>
        </w:rPr>
        <w:t xml:space="preserve">, </w:t>
      </w:r>
      <w:r w:rsidR="002C437F">
        <w:rPr>
          <w:rFonts w:ascii="Times New Roman" w:hAnsi="Times New Roman"/>
          <w:sz w:val="24"/>
          <w:szCs w:val="24"/>
        </w:rPr>
        <w:t>by revitalizing the</w:t>
      </w:r>
      <w:r>
        <w:rPr>
          <w:rFonts w:ascii="Times New Roman" w:hAnsi="Times New Roman"/>
          <w:sz w:val="24"/>
          <w:szCs w:val="24"/>
        </w:rPr>
        <w:t xml:space="preserve"> </w:t>
      </w:r>
      <w:r w:rsidR="002C437F">
        <w:rPr>
          <w:rFonts w:ascii="Times New Roman" w:hAnsi="Times New Roman"/>
          <w:sz w:val="24"/>
          <w:szCs w:val="24"/>
        </w:rPr>
        <w:t>Achenese grave decoration</w:t>
      </w:r>
      <w:r>
        <w:rPr>
          <w:rFonts w:ascii="Times New Roman" w:hAnsi="Times New Roman"/>
          <w:sz w:val="24"/>
          <w:szCs w:val="24"/>
        </w:rPr>
        <w:t xml:space="preserve">,  </w:t>
      </w:r>
      <w:r w:rsidR="002C437F">
        <w:rPr>
          <w:rFonts w:ascii="Times New Roman" w:hAnsi="Times New Roman"/>
          <w:sz w:val="24"/>
          <w:szCs w:val="24"/>
        </w:rPr>
        <w:t>a number of new batik motifs are also already designed and registered as well to The Ministry of Justice and Human Rights o</w:t>
      </w:r>
      <w:r>
        <w:rPr>
          <w:rFonts w:ascii="Times New Roman" w:hAnsi="Times New Roman"/>
          <w:sz w:val="24"/>
          <w:szCs w:val="24"/>
        </w:rPr>
        <w:t>f Republi</w:t>
      </w:r>
      <w:r w:rsidR="002C437F">
        <w:rPr>
          <w:rFonts w:ascii="Times New Roman" w:hAnsi="Times New Roman"/>
          <w:sz w:val="24"/>
          <w:szCs w:val="24"/>
        </w:rPr>
        <w:t xml:space="preserve">c of </w:t>
      </w:r>
      <w:r>
        <w:rPr>
          <w:rFonts w:ascii="Times New Roman" w:hAnsi="Times New Roman"/>
          <w:sz w:val="24"/>
          <w:szCs w:val="24"/>
        </w:rPr>
        <w:t>Indonesia.</w:t>
      </w:r>
      <w:r w:rsidR="002C437F">
        <w:rPr>
          <w:rFonts w:ascii="Times New Roman" w:hAnsi="Times New Roman"/>
          <w:sz w:val="24"/>
          <w:szCs w:val="24"/>
        </w:rPr>
        <w:t xml:space="preserve"> The m</w:t>
      </w:r>
      <w:r>
        <w:rPr>
          <w:rFonts w:ascii="Times New Roman" w:hAnsi="Times New Roman"/>
          <w:sz w:val="24"/>
          <w:szCs w:val="24"/>
        </w:rPr>
        <w:t>otif</w:t>
      </w:r>
      <w:r w:rsidR="002C437F">
        <w:rPr>
          <w:rFonts w:ascii="Times New Roman" w:hAnsi="Times New Roman"/>
          <w:sz w:val="24"/>
          <w:szCs w:val="24"/>
        </w:rPr>
        <w:t>s are</w:t>
      </w:r>
      <w:r>
        <w:rPr>
          <w:rFonts w:ascii="Times New Roman" w:hAnsi="Times New Roman"/>
          <w:sz w:val="24"/>
          <w:szCs w:val="24"/>
        </w:rPr>
        <w:t xml:space="preserve"> </w:t>
      </w:r>
      <w:r w:rsidR="002C437F">
        <w:rPr>
          <w:rFonts w:ascii="Times New Roman" w:hAnsi="Times New Roman"/>
          <w:sz w:val="24"/>
          <w:szCs w:val="24"/>
        </w:rPr>
        <w:t>among others</w:t>
      </w:r>
      <w:r>
        <w:rPr>
          <w:rFonts w:ascii="Times New Roman" w:hAnsi="Times New Roman"/>
          <w:sz w:val="24"/>
          <w:szCs w:val="24"/>
        </w:rPr>
        <w:t xml:space="preserve">: </w:t>
      </w:r>
    </w:p>
    <w:p w:rsidR="005B63E8" w:rsidRDefault="00CD35CC">
      <w:pPr>
        <w:pStyle w:val="ListParagraph2"/>
        <w:numPr>
          <w:ilvl w:val="0"/>
          <w:numId w:val="5"/>
        </w:numPr>
        <w:rPr>
          <w:rFonts w:ascii="Times New Roman" w:hAnsi="Times New Roman"/>
          <w:color w:val="000000"/>
          <w:sz w:val="24"/>
          <w:szCs w:val="24"/>
        </w:rPr>
      </w:pPr>
      <w:r>
        <w:rPr>
          <w:rFonts w:ascii="Times New Roman" w:hAnsi="Times New Roman"/>
          <w:color w:val="000000"/>
          <w:sz w:val="24"/>
          <w:szCs w:val="24"/>
        </w:rPr>
        <w:t>Glass Framed Sentence (</w:t>
      </w:r>
      <w:r w:rsidR="0063176A">
        <w:rPr>
          <w:rFonts w:ascii="Times New Roman" w:hAnsi="Times New Roman"/>
          <w:i/>
          <w:color w:val="000000"/>
          <w:sz w:val="24"/>
          <w:szCs w:val="24"/>
        </w:rPr>
        <w:t>Kalimah Bingkai Kaca</w:t>
      </w:r>
      <w:r>
        <w:rPr>
          <w:rFonts w:ascii="Times New Roman" w:hAnsi="Times New Roman"/>
          <w:color w:val="000000"/>
          <w:sz w:val="24"/>
          <w:szCs w:val="24"/>
        </w:rPr>
        <w:t xml:space="preserve">) </w:t>
      </w:r>
      <w:r w:rsidR="002C437F">
        <w:rPr>
          <w:rFonts w:ascii="Times New Roman" w:hAnsi="Times New Roman"/>
          <w:color w:val="000000"/>
          <w:sz w:val="24"/>
          <w:szCs w:val="24"/>
        </w:rPr>
        <w:t>Motif</w:t>
      </w:r>
    </w:p>
    <w:p w:rsidR="005B63E8" w:rsidRDefault="005B63E8">
      <w:pPr>
        <w:pStyle w:val="ListParagraph2"/>
        <w:ind w:left="1080"/>
        <w:rPr>
          <w:rFonts w:ascii="Times New Roman" w:hAnsi="Times New Roman"/>
          <w:color w:val="000000"/>
          <w:sz w:val="24"/>
          <w:szCs w:val="24"/>
        </w:rPr>
      </w:pPr>
    </w:p>
    <w:p w:rsidR="005B63E8" w:rsidRDefault="00CD35CC" w:rsidP="002C437F">
      <w:pPr>
        <w:pStyle w:val="ListParagraph2"/>
        <w:spacing w:line="360" w:lineRule="auto"/>
        <w:ind w:left="1080"/>
        <w:jc w:val="both"/>
        <w:rPr>
          <w:rFonts w:ascii="Times New Roman" w:hAnsi="Times New Roman"/>
          <w:color w:val="000000"/>
          <w:sz w:val="24"/>
          <w:szCs w:val="24"/>
        </w:rPr>
      </w:pPr>
      <w:r>
        <w:rPr>
          <w:rFonts w:ascii="Times New Roman" w:hAnsi="Times New Roman"/>
          <w:color w:val="000000"/>
          <w:sz w:val="24"/>
          <w:szCs w:val="24"/>
        </w:rPr>
        <w:t>This m</w:t>
      </w:r>
      <w:r w:rsidR="0063176A">
        <w:rPr>
          <w:rFonts w:ascii="Times New Roman" w:hAnsi="Times New Roman"/>
          <w:color w:val="000000"/>
          <w:sz w:val="24"/>
          <w:szCs w:val="24"/>
        </w:rPr>
        <w:t xml:space="preserve">otif </w:t>
      </w:r>
      <w:r>
        <w:rPr>
          <w:rFonts w:ascii="Times New Roman" w:hAnsi="Times New Roman"/>
          <w:color w:val="000000"/>
          <w:sz w:val="24"/>
          <w:szCs w:val="24"/>
        </w:rPr>
        <w:t>is the combination of</w:t>
      </w:r>
      <w:r w:rsidR="0063176A">
        <w:rPr>
          <w:rFonts w:ascii="Times New Roman" w:hAnsi="Times New Roman"/>
          <w:color w:val="000000"/>
          <w:sz w:val="24"/>
          <w:szCs w:val="24"/>
        </w:rPr>
        <w:t xml:space="preserve"> </w:t>
      </w:r>
      <w:r>
        <w:rPr>
          <w:rFonts w:ascii="Times New Roman" w:hAnsi="Times New Roman"/>
          <w:color w:val="000000"/>
          <w:sz w:val="24"/>
          <w:szCs w:val="24"/>
        </w:rPr>
        <w:t>the Achenese flower</w:t>
      </w:r>
      <w:r w:rsidR="0063176A">
        <w:rPr>
          <w:rFonts w:ascii="Times New Roman" w:hAnsi="Times New Roman"/>
          <w:color w:val="000000"/>
          <w:sz w:val="24"/>
          <w:szCs w:val="24"/>
        </w:rPr>
        <w:t xml:space="preserve"> </w:t>
      </w:r>
      <w:r>
        <w:rPr>
          <w:rFonts w:ascii="Times New Roman" w:hAnsi="Times New Roman"/>
          <w:color w:val="000000"/>
          <w:sz w:val="24"/>
          <w:szCs w:val="24"/>
        </w:rPr>
        <w:t>and framed up</w:t>
      </w:r>
      <w:r w:rsidR="0063176A">
        <w:rPr>
          <w:rFonts w:ascii="Times New Roman" w:hAnsi="Times New Roman"/>
          <w:color w:val="000000"/>
          <w:sz w:val="24"/>
          <w:szCs w:val="24"/>
        </w:rPr>
        <w:t xml:space="preserve"> </w:t>
      </w:r>
      <w:r>
        <w:rPr>
          <w:rFonts w:ascii="Times New Roman" w:hAnsi="Times New Roman"/>
          <w:color w:val="000000"/>
          <w:sz w:val="24"/>
          <w:szCs w:val="24"/>
        </w:rPr>
        <w:t>with</w:t>
      </w:r>
      <w:r w:rsidR="0063176A">
        <w:rPr>
          <w:rFonts w:ascii="Times New Roman" w:hAnsi="Times New Roman"/>
          <w:color w:val="000000"/>
          <w:sz w:val="24"/>
          <w:szCs w:val="24"/>
        </w:rPr>
        <w:t xml:space="preserve"> </w:t>
      </w:r>
      <w:r>
        <w:rPr>
          <w:rFonts w:ascii="Times New Roman" w:hAnsi="Times New Roman"/>
          <w:color w:val="000000"/>
          <w:sz w:val="24"/>
          <w:szCs w:val="24"/>
        </w:rPr>
        <w:t>the glass frame</w:t>
      </w:r>
      <w:r w:rsidR="0063176A">
        <w:rPr>
          <w:rFonts w:ascii="Times New Roman" w:hAnsi="Times New Roman"/>
          <w:color w:val="000000"/>
          <w:sz w:val="24"/>
          <w:szCs w:val="24"/>
        </w:rPr>
        <w:t xml:space="preserve"> an</w:t>
      </w:r>
      <w:r>
        <w:rPr>
          <w:rFonts w:ascii="Times New Roman" w:hAnsi="Times New Roman"/>
          <w:color w:val="000000"/>
          <w:sz w:val="24"/>
          <w:szCs w:val="24"/>
        </w:rPr>
        <w:t>d</w:t>
      </w:r>
      <w:r w:rsidR="0063176A">
        <w:rPr>
          <w:rFonts w:ascii="Times New Roman" w:hAnsi="Times New Roman"/>
          <w:color w:val="000000"/>
          <w:sz w:val="24"/>
          <w:szCs w:val="24"/>
        </w:rPr>
        <w:t xml:space="preserve"> </w:t>
      </w:r>
      <w:r>
        <w:rPr>
          <w:rFonts w:ascii="Times New Roman" w:hAnsi="Times New Roman"/>
          <w:color w:val="000000"/>
          <w:sz w:val="24"/>
          <w:szCs w:val="24"/>
        </w:rPr>
        <w:t>sentence</w:t>
      </w:r>
      <w:r w:rsidR="0063176A">
        <w:rPr>
          <w:rFonts w:ascii="Times New Roman" w:hAnsi="Times New Roman"/>
          <w:color w:val="000000"/>
          <w:sz w:val="24"/>
          <w:szCs w:val="24"/>
        </w:rPr>
        <w:t xml:space="preserve"> </w:t>
      </w:r>
      <w:r>
        <w:rPr>
          <w:rFonts w:ascii="Times New Roman" w:hAnsi="Times New Roman"/>
          <w:color w:val="000000"/>
          <w:sz w:val="24"/>
          <w:szCs w:val="24"/>
        </w:rPr>
        <w:t xml:space="preserve">saying </w:t>
      </w:r>
      <w:r w:rsidR="0063176A">
        <w:rPr>
          <w:rFonts w:ascii="Times New Roman" w:hAnsi="Times New Roman"/>
          <w:i/>
          <w:color w:val="000000"/>
          <w:sz w:val="24"/>
          <w:szCs w:val="24"/>
        </w:rPr>
        <w:t xml:space="preserve">laillaha illa Allah, </w:t>
      </w:r>
      <w:r>
        <w:rPr>
          <w:rFonts w:ascii="Times New Roman" w:hAnsi="Times New Roman"/>
          <w:color w:val="000000"/>
          <w:sz w:val="24"/>
          <w:szCs w:val="24"/>
        </w:rPr>
        <w:t>as the following figure</w:t>
      </w:r>
      <w:r w:rsidR="0063176A">
        <w:rPr>
          <w:rFonts w:ascii="Times New Roman" w:hAnsi="Times New Roman"/>
          <w:color w:val="000000"/>
          <w:sz w:val="24"/>
          <w:szCs w:val="24"/>
        </w:rPr>
        <w:t xml:space="preserve"> </w:t>
      </w:r>
      <w:r>
        <w:rPr>
          <w:rFonts w:ascii="Times New Roman" w:hAnsi="Times New Roman"/>
          <w:color w:val="000000"/>
          <w:sz w:val="24"/>
          <w:szCs w:val="24"/>
        </w:rPr>
        <w:t>below</w:t>
      </w:r>
      <w:r w:rsidR="0063176A">
        <w:rPr>
          <w:rFonts w:ascii="Times New Roman" w:hAnsi="Times New Roman"/>
          <w:color w:val="000000"/>
          <w:sz w:val="24"/>
          <w:szCs w:val="24"/>
        </w:rPr>
        <w:t>.</w:t>
      </w:r>
    </w:p>
    <w:p w:rsidR="005B63E8" w:rsidRDefault="005B63E8">
      <w:pPr>
        <w:pStyle w:val="ListParagraph2"/>
        <w:ind w:left="1080"/>
        <w:rPr>
          <w:rFonts w:ascii="Times New Roman" w:hAnsi="Times New Roman"/>
          <w:color w:val="000000"/>
          <w:sz w:val="24"/>
          <w:szCs w:val="24"/>
        </w:rPr>
      </w:pPr>
    </w:p>
    <w:p w:rsidR="005B63E8" w:rsidRDefault="009673F6">
      <w:pPr>
        <w:pStyle w:val="ListParagraph2"/>
        <w:ind w:left="108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919555" cy="2466754"/>
            <wp:effectExtent l="19050" t="0" r="4745" b="0"/>
            <wp:docPr id="11" name="Picture Fram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5"/>
                    <pic:cNvPicPr>
                      <a:picLocks noChangeAspect="1" noChangeArrowheads="1"/>
                    </pic:cNvPicPr>
                  </pic:nvPicPr>
                  <pic:blipFill>
                    <a:blip r:embed="rId21"/>
                    <a:srcRect/>
                    <a:stretch>
                      <a:fillRect/>
                    </a:stretch>
                  </pic:blipFill>
                  <pic:spPr bwMode="auto">
                    <a:xfrm>
                      <a:off x="0" y="0"/>
                      <a:ext cx="3923842" cy="2469452"/>
                    </a:xfrm>
                    <a:prstGeom prst="rect">
                      <a:avLst/>
                    </a:prstGeom>
                    <a:noFill/>
                    <a:ln w="9525">
                      <a:noFill/>
                      <a:miter lim="800000"/>
                      <a:headEnd/>
                      <a:tailEnd/>
                    </a:ln>
                  </pic:spPr>
                </pic:pic>
              </a:graphicData>
            </a:graphic>
          </wp:inline>
        </w:drawing>
      </w:r>
    </w:p>
    <w:p w:rsidR="005B63E8" w:rsidRDefault="00593464">
      <w:pPr>
        <w:pStyle w:val="ListParagraph2"/>
        <w:ind w:left="1080"/>
        <w:jc w:val="center"/>
        <w:rPr>
          <w:rFonts w:ascii="Times New Roman" w:hAnsi="Times New Roman"/>
          <w:color w:val="000000"/>
          <w:sz w:val="24"/>
          <w:szCs w:val="24"/>
        </w:rPr>
      </w:pPr>
      <w:r>
        <w:rPr>
          <w:rFonts w:ascii="Times New Roman" w:hAnsi="Times New Roman"/>
          <w:color w:val="000000"/>
          <w:sz w:val="24"/>
          <w:szCs w:val="24"/>
        </w:rPr>
        <w:t>Figure</w:t>
      </w:r>
      <w:r w:rsidR="0063176A">
        <w:rPr>
          <w:rFonts w:ascii="Times New Roman" w:hAnsi="Times New Roman"/>
          <w:color w:val="000000"/>
          <w:sz w:val="24"/>
          <w:szCs w:val="24"/>
        </w:rPr>
        <w:t xml:space="preserve">1. </w:t>
      </w:r>
      <w:r w:rsidR="00CD35CC">
        <w:rPr>
          <w:rFonts w:ascii="Times New Roman" w:hAnsi="Times New Roman"/>
          <w:color w:val="000000"/>
          <w:sz w:val="24"/>
          <w:szCs w:val="24"/>
        </w:rPr>
        <w:t xml:space="preserve">Batik </w:t>
      </w:r>
      <w:r w:rsidR="0063176A">
        <w:rPr>
          <w:rFonts w:ascii="Times New Roman" w:hAnsi="Times New Roman"/>
          <w:color w:val="000000"/>
          <w:sz w:val="24"/>
          <w:szCs w:val="24"/>
        </w:rPr>
        <w:t xml:space="preserve">Motif </w:t>
      </w:r>
      <w:r w:rsidR="00CD35CC">
        <w:rPr>
          <w:rFonts w:ascii="Times New Roman" w:hAnsi="Times New Roman"/>
          <w:color w:val="000000"/>
          <w:sz w:val="24"/>
          <w:szCs w:val="24"/>
        </w:rPr>
        <w:t>of Glass Frame</w:t>
      </w:r>
      <w:r w:rsidR="00CD35CC" w:rsidRPr="00CD35CC">
        <w:rPr>
          <w:rFonts w:ascii="Times New Roman" w:hAnsi="Times New Roman"/>
          <w:color w:val="000000"/>
          <w:sz w:val="24"/>
          <w:szCs w:val="24"/>
        </w:rPr>
        <w:t xml:space="preserve"> </w:t>
      </w:r>
      <w:r w:rsidR="00CD35CC">
        <w:rPr>
          <w:rFonts w:ascii="Times New Roman" w:hAnsi="Times New Roman"/>
          <w:color w:val="000000"/>
          <w:sz w:val="24"/>
          <w:szCs w:val="24"/>
        </w:rPr>
        <w:t>Kalimah</w:t>
      </w:r>
    </w:p>
    <w:p w:rsidR="005B63E8" w:rsidRDefault="0063176A">
      <w:pPr>
        <w:pStyle w:val="ListParagraph2"/>
        <w:ind w:left="1080"/>
        <w:jc w:val="center"/>
        <w:rPr>
          <w:rFonts w:ascii="Times New Roman" w:hAnsi="Times New Roman"/>
          <w:color w:val="000000"/>
          <w:sz w:val="24"/>
          <w:szCs w:val="24"/>
        </w:rPr>
      </w:pPr>
      <w:r>
        <w:rPr>
          <w:rFonts w:ascii="Times New Roman" w:hAnsi="Times New Roman"/>
          <w:color w:val="000000"/>
          <w:sz w:val="24"/>
          <w:szCs w:val="24"/>
        </w:rPr>
        <w:t xml:space="preserve"> (Herwandi</w:t>
      </w:r>
      <w:r w:rsidR="00CD35CC">
        <w:rPr>
          <w:rFonts w:ascii="Times New Roman" w:hAnsi="Times New Roman"/>
          <w:color w:val="000000"/>
          <w:sz w:val="24"/>
          <w:szCs w:val="24"/>
        </w:rPr>
        <w:t>’s</w:t>
      </w:r>
      <w:r w:rsidR="00CD35CC" w:rsidRPr="00CD35CC">
        <w:rPr>
          <w:rFonts w:ascii="Times New Roman" w:hAnsi="Times New Roman"/>
          <w:color w:val="000000"/>
          <w:sz w:val="24"/>
          <w:szCs w:val="24"/>
        </w:rPr>
        <w:t xml:space="preserve"> </w:t>
      </w:r>
      <w:r w:rsidR="00CD35CC">
        <w:rPr>
          <w:rFonts w:ascii="Times New Roman" w:hAnsi="Times New Roman"/>
          <w:color w:val="000000"/>
          <w:sz w:val="24"/>
          <w:szCs w:val="24"/>
        </w:rPr>
        <w:t>Design</w:t>
      </w:r>
      <w:r>
        <w:rPr>
          <w:rFonts w:ascii="Times New Roman" w:hAnsi="Times New Roman"/>
          <w:color w:val="000000"/>
          <w:sz w:val="24"/>
          <w:szCs w:val="24"/>
        </w:rPr>
        <w:t xml:space="preserve">, 2017) </w:t>
      </w:r>
    </w:p>
    <w:p w:rsidR="005B63E8" w:rsidRDefault="0063176A">
      <w:pPr>
        <w:pStyle w:val="ListParagraph2"/>
        <w:numPr>
          <w:ilvl w:val="0"/>
          <w:numId w:val="5"/>
        </w:numPr>
        <w:jc w:val="both"/>
        <w:rPr>
          <w:rFonts w:ascii="Times New Roman" w:hAnsi="Times New Roman"/>
          <w:color w:val="000000"/>
          <w:sz w:val="24"/>
          <w:szCs w:val="24"/>
        </w:rPr>
      </w:pPr>
      <w:r>
        <w:rPr>
          <w:rFonts w:ascii="Times New Roman" w:hAnsi="Times New Roman"/>
          <w:color w:val="000000"/>
          <w:sz w:val="24"/>
          <w:szCs w:val="24"/>
        </w:rPr>
        <w:lastRenderedPageBreak/>
        <w:t xml:space="preserve">Motif </w:t>
      </w:r>
      <w:r w:rsidR="00CD35CC">
        <w:rPr>
          <w:rFonts w:ascii="Times New Roman" w:hAnsi="Times New Roman"/>
          <w:color w:val="000000"/>
          <w:sz w:val="24"/>
          <w:szCs w:val="24"/>
        </w:rPr>
        <w:t xml:space="preserve">of </w:t>
      </w:r>
      <w:r w:rsidR="00CD35CC">
        <w:rPr>
          <w:rFonts w:ascii="Times New Roman" w:hAnsi="Times New Roman"/>
          <w:i/>
          <w:color w:val="000000"/>
          <w:sz w:val="24"/>
          <w:szCs w:val="24"/>
        </w:rPr>
        <w:t>Bungong Sh</w:t>
      </w:r>
      <w:r>
        <w:rPr>
          <w:rFonts w:ascii="Times New Roman" w:hAnsi="Times New Roman"/>
          <w:i/>
          <w:color w:val="000000"/>
          <w:sz w:val="24"/>
          <w:szCs w:val="24"/>
        </w:rPr>
        <w:t>ahadah</w:t>
      </w:r>
      <w:r w:rsidR="00CD35CC">
        <w:rPr>
          <w:rFonts w:ascii="Times New Roman" w:hAnsi="Times New Roman"/>
          <w:color w:val="000000"/>
          <w:sz w:val="24"/>
          <w:szCs w:val="24"/>
        </w:rPr>
        <w:t xml:space="preserve"> Flower</w:t>
      </w:r>
    </w:p>
    <w:p w:rsidR="00CD35CC" w:rsidRDefault="00CD35CC" w:rsidP="00CD35CC">
      <w:pPr>
        <w:pStyle w:val="ListParagraph2"/>
        <w:ind w:left="1080"/>
        <w:jc w:val="both"/>
        <w:rPr>
          <w:rFonts w:ascii="Times New Roman" w:hAnsi="Times New Roman"/>
          <w:color w:val="000000"/>
          <w:sz w:val="24"/>
          <w:szCs w:val="24"/>
        </w:rPr>
      </w:pPr>
    </w:p>
    <w:p w:rsidR="005B63E8" w:rsidRDefault="00CD35CC" w:rsidP="00D75E57">
      <w:pPr>
        <w:pStyle w:val="ListParagraph2"/>
        <w:ind w:left="1080"/>
        <w:jc w:val="both"/>
        <w:rPr>
          <w:rFonts w:ascii="Times New Roman" w:hAnsi="Times New Roman"/>
          <w:color w:val="000000"/>
          <w:sz w:val="24"/>
          <w:szCs w:val="24"/>
        </w:rPr>
      </w:pPr>
      <w:r>
        <w:rPr>
          <w:rFonts w:ascii="Times New Roman" w:hAnsi="Times New Roman"/>
          <w:color w:val="000000"/>
          <w:sz w:val="24"/>
          <w:szCs w:val="24"/>
        </w:rPr>
        <w:t>The batik m</w:t>
      </w:r>
      <w:r w:rsidR="0063176A">
        <w:rPr>
          <w:rFonts w:ascii="Times New Roman" w:hAnsi="Times New Roman"/>
          <w:color w:val="000000"/>
          <w:sz w:val="24"/>
          <w:szCs w:val="24"/>
        </w:rPr>
        <w:t xml:space="preserve">otif </w:t>
      </w:r>
      <w:r>
        <w:rPr>
          <w:rFonts w:ascii="Times New Roman" w:hAnsi="Times New Roman"/>
          <w:color w:val="000000"/>
          <w:sz w:val="24"/>
          <w:szCs w:val="24"/>
        </w:rPr>
        <w:t>of sh</w:t>
      </w:r>
      <w:r w:rsidR="0063176A">
        <w:rPr>
          <w:rFonts w:ascii="Times New Roman" w:hAnsi="Times New Roman"/>
          <w:color w:val="000000"/>
          <w:sz w:val="24"/>
          <w:szCs w:val="24"/>
        </w:rPr>
        <w:t xml:space="preserve">ahadah </w:t>
      </w:r>
      <w:r>
        <w:rPr>
          <w:rFonts w:ascii="Times New Roman" w:hAnsi="Times New Roman"/>
          <w:color w:val="000000"/>
          <w:sz w:val="24"/>
          <w:szCs w:val="24"/>
        </w:rPr>
        <w:t>flower is also</w:t>
      </w:r>
      <w:r w:rsidR="0063176A">
        <w:rPr>
          <w:rFonts w:ascii="Times New Roman" w:hAnsi="Times New Roman"/>
          <w:color w:val="000000"/>
          <w:sz w:val="24"/>
          <w:szCs w:val="24"/>
        </w:rPr>
        <w:t xml:space="preserve"> </w:t>
      </w:r>
      <w:r>
        <w:rPr>
          <w:rFonts w:ascii="Times New Roman" w:hAnsi="Times New Roman"/>
          <w:color w:val="000000"/>
          <w:sz w:val="24"/>
          <w:szCs w:val="24"/>
        </w:rPr>
        <w:t>the combination of</w:t>
      </w:r>
      <w:r w:rsidR="0063176A">
        <w:rPr>
          <w:rFonts w:ascii="Times New Roman" w:hAnsi="Times New Roman"/>
          <w:color w:val="000000"/>
          <w:sz w:val="24"/>
          <w:szCs w:val="24"/>
        </w:rPr>
        <w:t xml:space="preserve"> </w:t>
      </w:r>
      <w:r>
        <w:rPr>
          <w:rFonts w:ascii="Times New Roman" w:hAnsi="Times New Roman"/>
          <w:color w:val="000000"/>
          <w:sz w:val="24"/>
          <w:szCs w:val="24"/>
        </w:rPr>
        <w:t xml:space="preserve">decorative </w:t>
      </w:r>
      <w:r w:rsidR="0063176A">
        <w:rPr>
          <w:rFonts w:ascii="Times New Roman" w:hAnsi="Times New Roman"/>
          <w:color w:val="000000"/>
          <w:sz w:val="24"/>
          <w:szCs w:val="24"/>
        </w:rPr>
        <w:t>motif</w:t>
      </w:r>
      <w:r>
        <w:rPr>
          <w:rFonts w:ascii="Times New Roman" w:hAnsi="Times New Roman"/>
          <w:color w:val="000000"/>
          <w:sz w:val="24"/>
          <w:szCs w:val="24"/>
        </w:rPr>
        <w:t>s on the</w:t>
      </w:r>
      <w:r w:rsidR="0063176A">
        <w:rPr>
          <w:rFonts w:ascii="Times New Roman" w:hAnsi="Times New Roman"/>
          <w:color w:val="000000"/>
          <w:sz w:val="24"/>
          <w:szCs w:val="24"/>
        </w:rPr>
        <w:t xml:space="preserve"> </w:t>
      </w:r>
      <w:r>
        <w:rPr>
          <w:rFonts w:ascii="Times New Roman" w:hAnsi="Times New Roman"/>
          <w:color w:val="000000"/>
          <w:sz w:val="24"/>
          <w:szCs w:val="24"/>
        </w:rPr>
        <w:t xml:space="preserve">Achenese </w:t>
      </w:r>
      <w:r w:rsidR="00D64B23">
        <w:rPr>
          <w:rFonts w:ascii="Times New Roman" w:hAnsi="Times New Roman"/>
          <w:color w:val="000000"/>
          <w:sz w:val="24"/>
          <w:szCs w:val="24"/>
        </w:rPr>
        <w:t>ancient grave</w:t>
      </w:r>
      <w:r w:rsidR="0063176A">
        <w:rPr>
          <w:rFonts w:ascii="Times New Roman" w:hAnsi="Times New Roman"/>
          <w:color w:val="000000"/>
          <w:sz w:val="24"/>
          <w:szCs w:val="24"/>
        </w:rPr>
        <w:t xml:space="preserve"> </w:t>
      </w:r>
      <w:r w:rsidR="00D64B23">
        <w:rPr>
          <w:rFonts w:ascii="Times New Roman" w:hAnsi="Times New Roman"/>
          <w:color w:val="000000"/>
          <w:sz w:val="24"/>
          <w:szCs w:val="24"/>
        </w:rPr>
        <w:t xml:space="preserve">that is the combination </w:t>
      </w:r>
      <w:r w:rsidR="0063176A">
        <w:rPr>
          <w:rFonts w:ascii="Times New Roman" w:hAnsi="Times New Roman"/>
          <w:i/>
          <w:color w:val="000000"/>
          <w:sz w:val="24"/>
          <w:szCs w:val="24"/>
        </w:rPr>
        <w:t xml:space="preserve">bungong awan setangke </w:t>
      </w:r>
      <w:r w:rsidR="00D64B23">
        <w:rPr>
          <w:rFonts w:ascii="Times New Roman" w:hAnsi="Times New Roman"/>
          <w:color w:val="000000"/>
          <w:sz w:val="24"/>
          <w:szCs w:val="24"/>
        </w:rPr>
        <w:t>pattern and young bamboo sprout (</w:t>
      </w:r>
      <w:r w:rsidR="0063176A">
        <w:rPr>
          <w:rFonts w:ascii="Times New Roman" w:hAnsi="Times New Roman"/>
          <w:i/>
          <w:color w:val="000000"/>
          <w:sz w:val="24"/>
          <w:szCs w:val="24"/>
        </w:rPr>
        <w:t>pucok rebung</w:t>
      </w:r>
      <w:r w:rsidR="00D64B23">
        <w:rPr>
          <w:rFonts w:ascii="Times New Roman" w:hAnsi="Times New Roman"/>
          <w:color w:val="000000"/>
          <w:sz w:val="24"/>
          <w:szCs w:val="24"/>
        </w:rPr>
        <w:t>)</w:t>
      </w:r>
      <w:r w:rsidR="0063176A">
        <w:rPr>
          <w:rFonts w:ascii="Times New Roman" w:hAnsi="Times New Roman"/>
          <w:i/>
          <w:color w:val="000000"/>
          <w:sz w:val="24"/>
          <w:szCs w:val="24"/>
        </w:rPr>
        <w:t xml:space="preserve"> </w:t>
      </w:r>
      <w:r w:rsidR="000954EE">
        <w:rPr>
          <w:rFonts w:ascii="Times New Roman" w:hAnsi="Times New Roman"/>
          <w:color w:val="000000"/>
          <w:sz w:val="24"/>
          <w:szCs w:val="24"/>
        </w:rPr>
        <w:t>and</w:t>
      </w:r>
      <w:r w:rsidR="0063176A">
        <w:rPr>
          <w:rFonts w:ascii="Times New Roman" w:hAnsi="Times New Roman"/>
          <w:color w:val="000000"/>
          <w:sz w:val="24"/>
          <w:szCs w:val="24"/>
        </w:rPr>
        <w:t xml:space="preserve"> </w:t>
      </w:r>
      <w:r w:rsidR="00D64B23">
        <w:rPr>
          <w:rFonts w:ascii="Times New Roman" w:hAnsi="Times New Roman"/>
          <w:color w:val="000000"/>
          <w:sz w:val="24"/>
          <w:szCs w:val="24"/>
        </w:rPr>
        <w:t>bi-sentential testimony</w:t>
      </w:r>
      <w:r w:rsidR="0063176A">
        <w:rPr>
          <w:rFonts w:ascii="Times New Roman" w:hAnsi="Times New Roman"/>
          <w:color w:val="000000"/>
          <w:sz w:val="24"/>
          <w:szCs w:val="24"/>
        </w:rPr>
        <w:t xml:space="preserve"> (</w:t>
      </w:r>
      <w:r w:rsidR="0063176A">
        <w:rPr>
          <w:rFonts w:ascii="Times New Roman" w:hAnsi="Times New Roman"/>
          <w:i/>
          <w:color w:val="000000"/>
          <w:sz w:val="24"/>
          <w:szCs w:val="24"/>
        </w:rPr>
        <w:t>La illaha Illa Allah, Muhammad ar-Rasul Allah</w:t>
      </w:r>
      <w:r w:rsidR="0063176A">
        <w:rPr>
          <w:rFonts w:ascii="Times New Roman" w:hAnsi="Times New Roman"/>
          <w:color w:val="000000"/>
          <w:sz w:val="24"/>
          <w:szCs w:val="24"/>
        </w:rPr>
        <w:t xml:space="preserve">), </w:t>
      </w:r>
      <w:r w:rsidR="00D64B23">
        <w:rPr>
          <w:rFonts w:ascii="Times New Roman" w:hAnsi="Times New Roman"/>
          <w:color w:val="000000"/>
          <w:sz w:val="24"/>
          <w:szCs w:val="24"/>
        </w:rPr>
        <w:t>as the figure below</w:t>
      </w:r>
      <w:r w:rsidR="0063176A">
        <w:rPr>
          <w:rFonts w:ascii="Times New Roman" w:hAnsi="Times New Roman"/>
          <w:i/>
          <w:color w:val="000000"/>
          <w:sz w:val="24"/>
          <w:szCs w:val="24"/>
        </w:rPr>
        <w:t>.</w:t>
      </w:r>
    </w:p>
    <w:p w:rsidR="005B63E8" w:rsidRDefault="009673F6">
      <w:pPr>
        <w:pStyle w:val="ListParagraph2"/>
        <w:ind w:left="108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910258" cy="2549027"/>
            <wp:effectExtent l="19050" t="0" r="0" b="0"/>
            <wp:docPr id="12" name="Picture Fram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6"/>
                    <pic:cNvPicPr>
                      <a:picLocks noChangeAspect="1" noChangeArrowheads="1"/>
                    </pic:cNvPicPr>
                  </pic:nvPicPr>
                  <pic:blipFill>
                    <a:blip r:embed="rId22"/>
                    <a:srcRect/>
                    <a:stretch>
                      <a:fillRect/>
                    </a:stretch>
                  </pic:blipFill>
                  <pic:spPr bwMode="auto">
                    <a:xfrm>
                      <a:off x="0" y="0"/>
                      <a:ext cx="3914664" cy="2551899"/>
                    </a:xfrm>
                    <a:prstGeom prst="rect">
                      <a:avLst/>
                    </a:prstGeom>
                    <a:noFill/>
                    <a:ln w="9525">
                      <a:noFill/>
                      <a:miter lim="800000"/>
                      <a:headEnd/>
                      <a:tailEnd/>
                    </a:ln>
                  </pic:spPr>
                </pic:pic>
              </a:graphicData>
            </a:graphic>
          </wp:inline>
        </w:drawing>
      </w:r>
    </w:p>
    <w:p w:rsidR="005B63E8" w:rsidRDefault="0063176A">
      <w:pPr>
        <w:pStyle w:val="ListParagraph2"/>
        <w:ind w:left="1080"/>
        <w:jc w:val="center"/>
        <w:rPr>
          <w:rFonts w:ascii="Times New Roman" w:hAnsi="Times New Roman"/>
          <w:color w:val="000000"/>
          <w:sz w:val="24"/>
          <w:szCs w:val="24"/>
        </w:rPr>
      </w:pPr>
      <w:r>
        <w:rPr>
          <w:rFonts w:ascii="Times New Roman" w:hAnsi="Times New Roman"/>
          <w:color w:val="000000"/>
          <w:sz w:val="24"/>
          <w:szCs w:val="24"/>
        </w:rPr>
        <w:t xml:space="preserve">Figure 2. </w:t>
      </w:r>
      <w:r w:rsidR="00D64B23">
        <w:rPr>
          <w:rFonts w:ascii="Times New Roman" w:hAnsi="Times New Roman"/>
          <w:color w:val="000000"/>
          <w:sz w:val="24"/>
          <w:szCs w:val="24"/>
        </w:rPr>
        <w:t xml:space="preserve">Batik </w:t>
      </w:r>
      <w:r>
        <w:rPr>
          <w:rFonts w:ascii="Times New Roman" w:hAnsi="Times New Roman"/>
          <w:color w:val="000000"/>
          <w:sz w:val="24"/>
          <w:szCs w:val="24"/>
        </w:rPr>
        <w:t xml:space="preserve">Motif </w:t>
      </w:r>
      <w:r w:rsidR="00D64B23">
        <w:rPr>
          <w:rFonts w:ascii="Times New Roman" w:hAnsi="Times New Roman"/>
          <w:color w:val="000000"/>
          <w:sz w:val="24"/>
          <w:szCs w:val="24"/>
        </w:rPr>
        <w:t>Flower of</w:t>
      </w:r>
      <w:r>
        <w:rPr>
          <w:rFonts w:ascii="Times New Roman" w:hAnsi="Times New Roman"/>
          <w:color w:val="000000"/>
          <w:sz w:val="24"/>
          <w:szCs w:val="24"/>
        </w:rPr>
        <w:t xml:space="preserve"> Syahadah  </w:t>
      </w:r>
    </w:p>
    <w:p w:rsidR="005B63E8" w:rsidRDefault="0063176A">
      <w:pPr>
        <w:pStyle w:val="ListParagraph2"/>
        <w:ind w:left="1080"/>
        <w:jc w:val="center"/>
        <w:rPr>
          <w:rFonts w:ascii="Times New Roman" w:hAnsi="Times New Roman"/>
          <w:color w:val="000000"/>
          <w:sz w:val="24"/>
          <w:szCs w:val="24"/>
        </w:rPr>
      </w:pPr>
      <w:r>
        <w:rPr>
          <w:rFonts w:ascii="Times New Roman" w:hAnsi="Times New Roman"/>
          <w:color w:val="000000"/>
          <w:sz w:val="24"/>
          <w:szCs w:val="24"/>
        </w:rPr>
        <w:t>(</w:t>
      </w:r>
      <w:r w:rsidR="00D64B23">
        <w:rPr>
          <w:rFonts w:ascii="Times New Roman" w:hAnsi="Times New Roman"/>
          <w:color w:val="000000"/>
          <w:sz w:val="24"/>
          <w:szCs w:val="24"/>
        </w:rPr>
        <w:t>Herwandi’s Design</w:t>
      </w:r>
      <w:r>
        <w:rPr>
          <w:rFonts w:ascii="Times New Roman" w:hAnsi="Times New Roman"/>
          <w:color w:val="000000"/>
          <w:sz w:val="24"/>
          <w:szCs w:val="24"/>
        </w:rPr>
        <w:t>, 2017)</w:t>
      </w:r>
    </w:p>
    <w:p w:rsidR="005B63E8" w:rsidRDefault="005B63E8">
      <w:pPr>
        <w:pStyle w:val="ListParagraph2"/>
        <w:ind w:left="1080"/>
        <w:jc w:val="both"/>
        <w:rPr>
          <w:rFonts w:ascii="Times New Roman" w:hAnsi="Times New Roman"/>
          <w:color w:val="000000"/>
          <w:sz w:val="24"/>
          <w:szCs w:val="24"/>
        </w:rPr>
      </w:pPr>
    </w:p>
    <w:p w:rsidR="005B63E8" w:rsidRDefault="00D64B23">
      <w:pPr>
        <w:pStyle w:val="ListParagraph2"/>
        <w:numPr>
          <w:ilvl w:val="0"/>
          <w:numId w:val="5"/>
        </w:numPr>
        <w:jc w:val="both"/>
        <w:rPr>
          <w:rFonts w:ascii="Times New Roman" w:hAnsi="Times New Roman"/>
          <w:color w:val="000000"/>
          <w:sz w:val="24"/>
          <w:szCs w:val="24"/>
        </w:rPr>
      </w:pPr>
      <w:r>
        <w:rPr>
          <w:rFonts w:ascii="Times New Roman" w:hAnsi="Times New Roman"/>
          <w:color w:val="000000"/>
          <w:sz w:val="24"/>
          <w:szCs w:val="24"/>
        </w:rPr>
        <w:t xml:space="preserve">The </w:t>
      </w:r>
      <w:r w:rsidR="0063176A">
        <w:rPr>
          <w:rFonts w:ascii="Times New Roman" w:hAnsi="Times New Roman"/>
          <w:color w:val="000000"/>
          <w:sz w:val="24"/>
          <w:szCs w:val="24"/>
        </w:rPr>
        <w:t xml:space="preserve">Motif </w:t>
      </w:r>
      <w:r>
        <w:rPr>
          <w:rFonts w:ascii="Times New Roman" w:hAnsi="Times New Roman"/>
          <w:color w:val="000000"/>
          <w:sz w:val="24"/>
          <w:szCs w:val="24"/>
        </w:rPr>
        <w:t>of The Sentence of Achehnese Flower (</w:t>
      </w:r>
      <w:r w:rsidR="0063176A">
        <w:rPr>
          <w:rFonts w:ascii="Times New Roman" w:hAnsi="Times New Roman"/>
          <w:i/>
          <w:color w:val="000000"/>
          <w:sz w:val="24"/>
          <w:szCs w:val="24"/>
        </w:rPr>
        <w:t>Kalimah Bungong Aceh</w:t>
      </w:r>
      <w:r>
        <w:rPr>
          <w:rFonts w:ascii="Times New Roman" w:hAnsi="Times New Roman"/>
          <w:color w:val="000000"/>
          <w:sz w:val="24"/>
          <w:szCs w:val="24"/>
        </w:rPr>
        <w:t>)</w:t>
      </w:r>
    </w:p>
    <w:p w:rsidR="005B63E8" w:rsidRDefault="005B63E8">
      <w:pPr>
        <w:pStyle w:val="ListParagraph2"/>
        <w:ind w:left="1080"/>
        <w:jc w:val="both"/>
        <w:rPr>
          <w:rFonts w:ascii="Times New Roman" w:hAnsi="Times New Roman"/>
          <w:color w:val="000000"/>
          <w:sz w:val="24"/>
          <w:szCs w:val="24"/>
        </w:rPr>
      </w:pPr>
    </w:p>
    <w:p w:rsidR="005B63E8" w:rsidRDefault="00D64B23" w:rsidP="00D75E57">
      <w:pPr>
        <w:pStyle w:val="ListParagraph2"/>
        <w:ind w:left="1080"/>
        <w:jc w:val="both"/>
        <w:rPr>
          <w:rFonts w:ascii="Times New Roman" w:hAnsi="Times New Roman"/>
          <w:color w:val="000000"/>
          <w:sz w:val="24"/>
          <w:szCs w:val="24"/>
        </w:rPr>
      </w:pPr>
      <w:r>
        <w:rPr>
          <w:rFonts w:ascii="Times New Roman" w:hAnsi="Times New Roman"/>
          <w:color w:val="000000"/>
          <w:sz w:val="24"/>
          <w:szCs w:val="24"/>
        </w:rPr>
        <w:t>This m</w:t>
      </w:r>
      <w:r w:rsidR="0063176A">
        <w:rPr>
          <w:rFonts w:ascii="Times New Roman" w:hAnsi="Times New Roman"/>
          <w:color w:val="000000"/>
          <w:sz w:val="24"/>
          <w:szCs w:val="24"/>
        </w:rPr>
        <w:t xml:space="preserve">otif </w:t>
      </w:r>
      <w:r>
        <w:rPr>
          <w:rFonts w:ascii="Times New Roman" w:hAnsi="Times New Roman"/>
          <w:color w:val="000000"/>
          <w:sz w:val="24"/>
          <w:szCs w:val="24"/>
        </w:rPr>
        <w:t>is the combination of the Achenese flowers and the sentence</w:t>
      </w:r>
      <w:r w:rsidR="0063176A">
        <w:rPr>
          <w:rFonts w:ascii="Times New Roman" w:hAnsi="Times New Roman"/>
          <w:color w:val="000000"/>
          <w:sz w:val="24"/>
          <w:szCs w:val="24"/>
        </w:rPr>
        <w:t xml:space="preserve"> </w:t>
      </w:r>
      <w:r>
        <w:rPr>
          <w:rFonts w:ascii="Times New Roman" w:hAnsi="Times New Roman"/>
          <w:color w:val="000000"/>
          <w:sz w:val="24"/>
          <w:szCs w:val="24"/>
        </w:rPr>
        <w:t>of</w:t>
      </w:r>
      <w:r w:rsidR="0063176A">
        <w:rPr>
          <w:rFonts w:ascii="Times New Roman" w:hAnsi="Times New Roman"/>
          <w:color w:val="000000"/>
          <w:sz w:val="24"/>
          <w:szCs w:val="24"/>
        </w:rPr>
        <w:t xml:space="preserve"> </w:t>
      </w:r>
      <w:r w:rsidR="0063176A">
        <w:rPr>
          <w:rFonts w:ascii="Times New Roman" w:hAnsi="Times New Roman"/>
          <w:i/>
          <w:color w:val="000000"/>
          <w:sz w:val="24"/>
          <w:szCs w:val="24"/>
        </w:rPr>
        <w:t xml:space="preserve">laillaha illa Allah, </w:t>
      </w:r>
      <w:r>
        <w:rPr>
          <w:rFonts w:ascii="Times New Roman" w:hAnsi="Times New Roman"/>
          <w:color w:val="000000"/>
          <w:sz w:val="24"/>
          <w:szCs w:val="24"/>
        </w:rPr>
        <w:t>as the figure below</w:t>
      </w:r>
      <w:r w:rsidR="0063176A">
        <w:rPr>
          <w:rFonts w:ascii="Times New Roman" w:hAnsi="Times New Roman"/>
          <w:color w:val="000000"/>
          <w:sz w:val="24"/>
          <w:szCs w:val="24"/>
        </w:rPr>
        <w:t>.</w:t>
      </w:r>
    </w:p>
    <w:p w:rsidR="005B63E8" w:rsidRDefault="009673F6">
      <w:pPr>
        <w:pStyle w:val="ListParagraph2"/>
        <w:ind w:left="108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3894555" cy="2641840"/>
            <wp:effectExtent l="19050" t="0" r="0" b="0"/>
            <wp:docPr id="13" name="Picture Fram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7"/>
                    <pic:cNvPicPr>
                      <a:picLocks noChangeAspect="1" noChangeArrowheads="1"/>
                    </pic:cNvPicPr>
                  </pic:nvPicPr>
                  <pic:blipFill>
                    <a:blip r:embed="rId23"/>
                    <a:srcRect/>
                    <a:stretch>
                      <a:fillRect/>
                    </a:stretch>
                  </pic:blipFill>
                  <pic:spPr bwMode="auto">
                    <a:xfrm>
                      <a:off x="0" y="0"/>
                      <a:ext cx="3896830" cy="2643383"/>
                    </a:xfrm>
                    <a:prstGeom prst="rect">
                      <a:avLst/>
                    </a:prstGeom>
                    <a:noFill/>
                    <a:ln w="9525">
                      <a:noFill/>
                      <a:miter lim="800000"/>
                      <a:headEnd/>
                      <a:tailEnd/>
                    </a:ln>
                  </pic:spPr>
                </pic:pic>
              </a:graphicData>
            </a:graphic>
          </wp:inline>
        </w:drawing>
      </w:r>
    </w:p>
    <w:p w:rsidR="005B63E8" w:rsidRDefault="00D64B23">
      <w:pPr>
        <w:pStyle w:val="ListParagraph2"/>
        <w:ind w:left="1080"/>
        <w:jc w:val="center"/>
        <w:rPr>
          <w:rFonts w:ascii="Times New Roman" w:hAnsi="Times New Roman"/>
          <w:color w:val="000000"/>
          <w:sz w:val="24"/>
          <w:szCs w:val="24"/>
        </w:rPr>
      </w:pPr>
      <w:r>
        <w:rPr>
          <w:rFonts w:ascii="Times New Roman" w:hAnsi="Times New Roman"/>
          <w:color w:val="000000"/>
          <w:sz w:val="24"/>
          <w:szCs w:val="24"/>
        </w:rPr>
        <w:t>Figure 3</w:t>
      </w:r>
      <w:r w:rsidR="0063176A">
        <w:rPr>
          <w:rFonts w:ascii="Times New Roman" w:hAnsi="Times New Roman"/>
          <w:color w:val="000000"/>
          <w:sz w:val="24"/>
          <w:szCs w:val="24"/>
        </w:rPr>
        <w:t xml:space="preserve"> </w:t>
      </w:r>
      <w:r>
        <w:rPr>
          <w:rFonts w:ascii="Times New Roman" w:hAnsi="Times New Roman"/>
          <w:color w:val="000000"/>
          <w:sz w:val="24"/>
          <w:szCs w:val="24"/>
        </w:rPr>
        <w:t xml:space="preserve">Batik </w:t>
      </w:r>
      <w:r w:rsidR="0063176A">
        <w:rPr>
          <w:rFonts w:ascii="Times New Roman" w:hAnsi="Times New Roman"/>
          <w:color w:val="000000"/>
          <w:sz w:val="24"/>
          <w:szCs w:val="24"/>
        </w:rPr>
        <w:t xml:space="preserve">Motif </w:t>
      </w:r>
      <w:r>
        <w:rPr>
          <w:rFonts w:ascii="Times New Roman" w:hAnsi="Times New Roman"/>
          <w:color w:val="000000"/>
          <w:sz w:val="24"/>
          <w:szCs w:val="24"/>
        </w:rPr>
        <w:t xml:space="preserve">of </w:t>
      </w:r>
      <w:r w:rsidR="0063176A">
        <w:rPr>
          <w:rFonts w:ascii="Times New Roman" w:hAnsi="Times New Roman"/>
          <w:color w:val="000000"/>
          <w:sz w:val="24"/>
          <w:szCs w:val="24"/>
        </w:rPr>
        <w:t>Kalimah Bungong Aceh</w:t>
      </w:r>
    </w:p>
    <w:p w:rsidR="005B63E8" w:rsidRDefault="0063176A">
      <w:pPr>
        <w:pStyle w:val="ListParagraph2"/>
        <w:ind w:left="1080"/>
        <w:jc w:val="center"/>
        <w:rPr>
          <w:rFonts w:ascii="Times New Roman" w:hAnsi="Times New Roman"/>
          <w:color w:val="000000"/>
          <w:sz w:val="24"/>
          <w:szCs w:val="24"/>
        </w:rPr>
      </w:pPr>
      <w:r>
        <w:rPr>
          <w:rFonts w:ascii="Times New Roman" w:hAnsi="Times New Roman"/>
          <w:color w:val="000000"/>
          <w:sz w:val="24"/>
          <w:szCs w:val="24"/>
        </w:rPr>
        <w:t>(Herwandi</w:t>
      </w:r>
      <w:r w:rsidR="00D64B23">
        <w:rPr>
          <w:rFonts w:ascii="Times New Roman" w:hAnsi="Times New Roman"/>
          <w:color w:val="000000"/>
          <w:sz w:val="24"/>
          <w:szCs w:val="24"/>
        </w:rPr>
        <w:t>’s</w:t>
      </w:r>
      <w:r w:rsidR="00D64B23" w:rsidRPr="00D64B23">
        <w:rPr>
          <w:rFonts w:ascii="Times New Roman" w:hAnsi="Times New Roman"/>
          <w:color w:val="000000"/>
          <w:sz w:val="24"/>
          <w:szCs w:val="24"/>
        </w:rPr>
        <w:t xml:space="preserve"> </w:t>
      </w:r>
      <w:r w:rsidR="00D64B23">
        <w:rPr>
          <w:rFonts w:ascii="Times New Roman" w:hAnsi="Times New Roman"/>
          <w:color w:val="000000"/>
          <w:sz w:val="24"/>
          <w:szCs w:val="24"/>
        </w:rPr>
        <w:t>Design</w:t>
      </w:r>
      <w:r>
        <w:rPr>
          <w:rFonts w:ascii="Times New Roman" w:hAnsi="Times New Roman"/>
          <w:color w:val="000000"/>
          <w:sz w:val="24"/>
          <w:szCs w:val="24"/>
        </w:rPr>
        <w:t>, 2017)</w:t>
      </w:r>
    </w:p>
    <w:p w:rsidR="005B63E8" w:rsidRDefault="00D64B23">
      <w:pPr>
        <w:jc w:val="both"/>
        <w:rPr>
          <w:rFonts w:ascii="Times New Roman" w:hAnsi="Times New Roman"/>
          <w:color w:val="000000"/>
          <w:sz w:val="24"/>
          <w:szCs w:val="24"/>
        </w:rPr>
      </w:pPr>
      <w:r>
        <w:rPr>
          <w:rFonts w:ascii="Times New Roman" w:hAnsi="Times New Roman"/>
          <w:color w:val="000000"/>
          <w:sz w:val="24"/>
          <w:szCs w:val="24"/>
        </w:rPr>
        <w:lastRenderedPageBreak/>
        <w:t>Such batik motifs</w:t>
      </w:r>
      <w:r w:rsidR="0063176A">
        <w:rPr>
          <w:rFonts w:ascii="Times New Roman" w:hAnsi="Times New Roman"/>
          <w:color w:val="000000"/>
          <w:sz w:val="24"/>
          <w:szCs w:val="24"/>
        </w:rPr>
        <w:t xml:space="preserve"> </w:t>
      </w:r>
      <w:r>
        <w:rPr>
          <w:rFonts w:ascii="Times New Roman" w:hAnsi="Times New Roman"/>
          <w:color w:val="000000"/>
          <w:sz w:val="24"/>
          <w:szCs w:val="24"/>
        </w:rPr>
        <w:t>are also</w:t>
      </w:r>
      <w:r w:rsidR="0063176A">
        <w:rPr>
          <w:rFonts w:ascii="Times New Roman" w:hAnsi="Times New Roman"/>
          <w:color w:val="000000"/>
          <w:sz w:val="24"/>
          <w:szCs w:val="24"/>
        </w:rPr>
        <w:t xml:space="preserve"> </w:t>
      </w:r>
      <w:r>
        <w:rPr>
          <w:rFonts w:ascii="Times New Roman" w:hAnsi="Times New Roman"/>
          <w:color w:val="000000"/>
          <w:sz w:val="24"/>
          <w:szCs w:val="24"/>
        </w:rPr>
        <w:t xml:space="preserve">already registered to the </w:t>
      </w:r>
      <w:r w:rsidR="005C0C66">
        <w:rPr>
          <w:rFonts w:ascii="Times New Roman" w:hAnsi="Times New Roman"/>
          <w:color w:val="000000"/>
          <w:sz w:val="24"/>
          <w:szCs w:val="24"/>
        </w:rPr>
        <w:t>Property Rights</w:t>
      </w:r>
      <w:r w:rsidR="0063176A">
        <w:rPr>
          <w:rFonts w:ascii="Times New Roman" w:hAnsi="Times New Roman"/>
          <w:color w:val="000000"/>
          <w:sz w:val="24"/>
          <w:szCs w:val="24"/>
        </w:rPr>
        <w:t xml:space="preserve"> </w:t>
      </w:r>
      <w:r w:rsidR="005C0C66">
        <w:rPr>
          <w:rFonts w:ascii="Times New Roman" w:hAnsi="Times New Roman"/>
          <w:color w:val="000000"/>
          <w:sz w:val="24"/>
          <w:szCs w:val="24"/>
        </w:rPr>
        <w:t>(</w:t>
      </w:r>
      <w:r w:rsidR="0063176A">
        <w:rPr>
          <w:rFonts w:ascii="Times New Roman" w:hAnsi="Times New Roman"/>
          <w:color w:val="000000"/>
          <w:sz w:val="24"/>
          <w:szCs w:val="24"/>
        </w:rPr>
        <w:t>Hak Cipta-HaKI</w:t>
      </w:r>
      <w:r w:rsidR="005C0C66">
        <w:rPr>
          <w:rFonts w:ascii="Times New Roman" w:hAnsi="Times New Roman"/>
          <w:color w:val="000000"/>
          <w:sz w:val="24"/>
          <w:szCs w:val="24"/>
        </w:rPr>
        <w:t>)</w:t>
      </w:r>
      <w:r w:rsidR="0063176A">
        <w:rPr>
          <w:rFonts w:ascii="Times New Roman" w:hAnsi="Times New Roman"/>
          <w:color w:val="000000"/>
          <w:sz w:val="24"/>
          <w:szCs w:val="24"/>
        </w:rPr>
        <w:t xml:space="preserve"> </w:t>
      </w:r>
      <w:r w:rsidR="005C0C66">
        <w:rPr>
          <w:rFonts w:ascii="Times New Roman" w:hAnsi="Times New Roman"/>
          <w:color w:val="000000"/>
          <w:sz w:val="24"/>
          <w:szCs w:val="24"/>
        </w:rPr>
        <w:t>The Minister of Justice</w:t>
      </w:r>
      <w:r w:rsidR="0063176A">
        <w:rPr>
          <w:rFonts w:ascii="Times New Roman" w:hAnsi="Times New Roman"/>
          <w:color w:val="000000"/>
          <w:sz w:val="24"/>
          <w:szCs w:val="24"/>
        </w:rPr>
        <w:t xml:space="preserve"> an</w:t>
      </w:r>
      <w:r w:rsidR="005C0C66">
        <w:rPr>
          <w:rFonts w:ascii="Times New Roman" w:hAnsi="Times New Roman"/>
          <w:color w:val="000000"/>
          <w:sz w:val="24"/>
          <w:szCs w:val="24"/>
        </w:rPr>
        <w:t>d</w:t>
      </w:r>
      <w:r w:rsidR="0063176A">
        <w:rPr>
          <w:rFonts w:ascii="Times New Roman" w:hAnsi="Times New Roman"/>
          <w:color w:val="000000"/>
          <w:sz w:val="24"/>
          <w:szCs w:val="24"/>
        </w:rPr>
        <w:t xml:space="preserve"> H</w:t>
      </w:r>
      <w:r w:rsidR="005C0C66">
        <w:rPr>
          <w:rFonts w:ascii="Times New Roman" w:hAnsi="Times New Roman"/>
          <w:color w:val="000000"/>
          <w:sz w:val="24"/>
          <w:szCs w:val="24"/>
        </w:rPr>
        <w:t>uman Rights of Republic of Indonesia</w:t>
      </w:r>
      <w:r w:rsidR="0063176A">
        <w:rPr>
          <w:rFonts w:ascii="Times New Roman" w:hAnsi="Times New Roman"/>
          <w:color w:val="000000"/>
          <w:sz w:val="24"/>
          <w:szCs w:val="24"/>
        </w:rPr>
        <w:t>, an</w:t>
      </w:r>
      <w:r w:rsidR="005C0C66">
        <w:rPr>
          <w:rFonts w:ascii="Times New Roman" w:hAnsi="Times New Roman"/>
          <w:color w:val="000000"/>
          <w:sz w:val="24"/>
          <w:szCs w:val="24"/>
        </w:rPr>
        <w:t>d</w:t>
      </w:r>
      <w:r w:rsidR="0063176A">
        <w:rPr>
          <w:rFonts w:ascii="Times New Roman" w:hAnsi="Times New Roman"/>
          <w:color w:val="000000"/>
          <w:sz w:val="24"/>
          <w:szCs w:val="24"/>
        </w:rPr>
        <w:t xml:space="preserve"> </w:t>
      </w:r>
      <w:r w:rsidR="005C0C66">
        <w:rPr>
          <w:rFonts w:ascii="Times New Roman" w:hAnsi="Times New Roman"/>
          <w:color w:val="000000"/>
          <w:sz w:val="24"/>
          <w:szCs w:val="24"/>
        </w:rPr>
        <w:t>has already acquired the Letter of Property Rights Registration</w:t>
      </w:r>
      <w:r w:rsidR="0063176A">
        <w:rPr>
          <w:rFonts w:ascii="Times New Roman" w:hAnsi="Times New Roman"/>
          <w:color w:val="000000"/>
          <w:sz w:val="24"/>
          <w:szCs w:val="24"/>
        </w:rPr>
        <w:t xml:space="preserve"> </w:t>
      </w:r>
      <w:r w:rsidR="005C0C66">
        <w:rPr>
          <w:rFonts w:ascii="Times New Roman" w:hAnsi="Times New Roman"/>
          <w:color w:val="000000"/>
          <w:sz w:val="24"/>
          <w:szCs w:val="24"/>
        </w:rPr>
        <w:t>from the</w:t>
      </w:r>
      <w:r w:rsidR="0063176A">
        <w:rPr>
          <w:rFonts w:ascii="Times New Roman" w:hAnsi="Times New Roman"/>
          <w:color w:val="000000"/>
          <w:sz w:val="24"/>
          <w:szCs w:val="24"/>
        </w:rPr>
        <w:t xml:space="preserve"> </w:t>
      </w:r>
      <w:r w:rsidR="005C0C66">
        <w:rPr>
          <w:rFonts w:ascii="Times New Roman" w:hAnsi="Times New Roman"/>
          <w:color w:val="000000"/>
          <w:sz w:val="24"/>
          <w:szCs w:val="24"/>
        </w:rPr>
        <w:t>Minister of Justice</w:t>
      </w:r>
      <w:r w:rsidR="0063176A">
        <w:rPr>
          <w:rFonts w:ascii="Times New Roman" w:hAnsi="Times New Roman"/>
          <w:color w:val="000000"/>
          <w:sz w:val="24"/>
          <w:szCs w:val="24"/>
        </w:rPr>
        <w:t xml:space="preserve"> </w:t>
      </w:r>
      <w:r w:rsidR="005C0C66">
        <w:rPr>
          <w:rFonts w:ascii="Times New Roman" w:hAnsi="Times New Roman"/>
          <w:color w:val="000000"/>
          <w:sz w:val="24"/>
          <w:szCs w:val="24"/>
        </w:rPr>
        <w:t>and</w:t>
      </w:r>
      <w:r w:rsidR="0063176A">
        <w:rPr>
          <w:rFonts w:ascii="Times New Roman" w:hAnsi="Times New Roman"/>
          <w:color w:val="000000"/>
          <w:sz w:val="24"/>
          <w:szCs w:val="24"/>
        </w:rPr>
        <w:t xml:space="preserve"> H</w:t>
      </w:r>
      <w:r w:rsidR="005C0C66">
        <w:rPr>
          <w:rFonts w:ascii="Times New Roman" w:hAnsi="Times New Roman"/>
          <w:color w:val="000000"/>
          <w:sz w:val="24"/>
          <w:szCs w:val="24"/>
        </w:rPr>
        <w:t>uman Right of the</w:t>
      </w:r>
      <w:r w:rsidR="0063176A">
        <w:rPr>
          <w:rFonts w:ascii="Times New Roman" w:hAnsi="Times New Roman"/>
          <w:color w:val="000000"/>
          <w:sz w:val="24"/>
          <w:szCs w:val="24"/>
        </w:rPr>
        <w:t xml:space="preserve"> RI. </w:t>
      </w:r>
      <w:r w:rsidR="005C0C66">
        <w:rPr>
          <w:rFonts w:ascii="Times New Roman" w:hAnsi="Times New Roman"/>
          <w:color w:val="000000"/>
          <w:sz w:val="24"/>
          <w:szCs w:val="24"/>
        </w:rPr>
        <w:t>Each of the Letter of Property Rights Registration can be seen below</w:t>
      </w:r>
      <w:r w:rsidR="0063176A">
        <w:rPr>
          <w:rFonts w:ascii="Times New Roman" w:hAnsi="Times New Roman"/>
          <w:color w:val="000000"/>
          <w:sz w:val="24"/>
          <w:szCs w:val="24"/>
        </w:rPr>
        <w:t>.</w:t>
      </w:r>
    </w:p>
    <w:p w:rsidR="005B63E8" w:rsidRDefault="005C0C66" w:rsidP="005C0C66">
      <w:pPr>
        <w:pStyle w:val="ListParagraph2"/>
        <w:numPr>
          <w:ilvl w:val="0"/>
          <w:numId w:val="6"/>
        </w:numPr>
        <w:rPr>
          <w:rFonts w:ascii="Times New Roman" w:hAnsi="Times New Roman"/>
          <w:color w:val="000000"/>
          <w:sz w:val="24"/>
          <w:szCs w:val="24"/>
        </w:rPr>
      </w:pPr>
      <w:r>
        <w:rPr>
          <w:rFonts w:ascii="Times New Roman" w:hAnsi="Times New Roman"/>
          <w:color w:val="000000"/>
          <w:sz w:val="24"/>
          <w:szCs w:val="24"/>
        </w:rPr>
        <w:t>Registration Letter</w:t>
      </w:r>
      <w:r w:rsidR="0063176A">
        <w:rPr>
          <w:rFonts w:ascii="Times New Roman" w:hAnsi="Times New Roman"/>
          <w:color w:val="000000"/>
          <w:sz w:val="24"/>
          <w:szCs w:val="24"/>
        </w:rPr>
        <w:t xml:space="preserve"> </w:t>
      </w:r>
      <w:r>
        <w:rPr>
          <w:rFonts w:ascii="Times New Roman" w:hAnsi="Times New Roman"/>
          <w:color w:val="000000"/>
          <w:sz w:val="24"/>
          <w:szCs w:val="24"/>
        </w:rPr>
        <w:t>of Property Rights</w:t>
      </w:r>
      <w:r w:rsidR="0063176A">
        <w:rPr>
          <w:rFonts w:ascii="Times New Roman" w:hAnsi="Times New Roman"/>
          <w:color w:val="000000"/>
          <w:sz w:val="24"/>
          <w:szCs w:val="24"/>
        </w:rPr>
        <w:t xml:space="preserve"> </w:t>
      </w:r>
      <w:r>
        <w:rPr>
          <w:rFonts w:ascii="Times New Roman" w:hAnsi="Times New Roman"/>
          <w:color w:val="000000"/>
          <w:sz w:val="24"/>
          <w:szCs w:val="24"/>
        </w:rPr>
        <w:t>Art of</w:t>
      </w:r>
      <w:r w:rsidR="0063176A">
        <w:rPr>
          <w:rFonts w:ascii="Times New Roman" w:hAnsi="Times New Roman"/>
          <w:color w:val="000000"/>
          <w:sz w:val="24"/>
          <w:szCs w:val="24"/>
        </w:rPr>
        <w:t xml:space="preserve"> </w:t>
      </w:r>
      <w:r w:rsidR="00046907">
        <w:rPr>
          <w:rFonts w:ascii="Times New Roman" w:hAnsi="Times New Roman"/>
          <w:color w:val="000000"/>
          <w:sz w:val="24"/>
          <w:szCs w:val="24"/>
        </w:rPr>
        <w:t xml:space="preserve">Batik </w:t>
      </w:r>
      <w:r>
        <w:rPr>
          <w:rFonts w:ascii="Times New Roman" w:hAnsi="Times New Roman"/>
          <w:color w:val="000000"/>
          <w:sz w:val="24"/>
          <w:szCs w:val="24"/>
        </w:rPr>
        <w:t>Motif</w:t>
      </w:r>
      <w:r w:rsidR="00046907">
        <w:rPr>
          <w:rFonts w:ascii="Times New Roman" w:hAnsi="Times New Roman"/>
          <w:color w:val="000000"/>
          <w:sz w:val="24"/>
          <w:szCs w:val="24"/>
        </w:rPr>
        <w:t xml:space="preserve"> </w:t>
      </w:r>
      <w:r w:rsidR="000954EE">
        <w:rPr>
          <w:rFonts w:ascii="Times New Roman" w:hAnsi="Times New Roman"/>
          <w:color w:val="000000"/>
          <w:sz w:val="24"/>
          <w:szCs w:val="24"/>
        </w:rPr>
        <w:t xml:space="preserve"> </w:t>
      </w:r>
      <w:r w:rsidR="0063176A">
        <w:rPr>
          <w:rFonts w:ascii="Times New Roman" w:hAnsi="Times New Roman"/>
          <w:color w:val="000000"/>
          <w:sz w:val="24"/>
          <w:szCs w:val="24"/>
        </w:rPr>
        <w:t>”Kalimah Bingkai Kaca (</w:t>
      </w:r>
      <w:r>
        <w:rPr>
          <w:rFonts w:ascii="Times New Roman" w:hAnsi="Times New Roman"/>
          <w:color w:val="000000"/>
          <w:sz w:val="24"/>
          <w:szCs w:val="24"/>
        </w:rPr>
        <w:t>Registration No.</w:t>
      </w:r>
      <w:r w:rsidR="0063176A">
        <w:rPr>
          <w:rFonts w:ascii="Times New Roman" w:hAnsi="Times New Roman"/>
          <w:color w:val="000000"/>
          <w:sz w:val="24"/>
          <w:szCs w:val="24"/>
        </w:rPr>
        <w:t xml:space="preserve"> </w:t>
      </w:r>
      <w:r>
        <w:rPr>
          <w:rFonts w:ascii="Times New Roman" w:hAnsi="Times New Roman"/>
          <w:color w:val="000000"/>
          <w:sz w:val="24"/>
          <w:szCs w:val="24"/>
        </w:rPr>
        <w:t>Property Rights</w:t>
      </w:r>
      <w:r w:rsidR="00046907">
        <w:rPr>
          <w:rFonts w:ascii="Times New Roman" w:hAnsi="Times New Roman"/>
          <w:color w:val="000000"/>
          <w:sz w:val="24"/>
          <w:szCs w:val="24"/>
        </w:rPr>
        <w:t>, EC00201704603, 18 Oc</w:t>
      </w:r>
      <w:r w:rsidR="0063176A">
        <w:rPr>
          <w:rFonts w:ascii="Times New Roman" w:hAnsi="Times New Roman"/>
          <w:color w:val="000000"/>
          <w:sz w:val="24"/>
          <w:szCs w:val="24"/>
        </w:rPr>
        <w:t>tober 2017);</w:t>
      </w:r>
    </w:p>
    <w:p w:rsidR="005B63E8" w:rsidRDefault="005C0C66">
      <w:pPr>
        <w:pStyle w:val="ListParagraph2"/>
        <w:numPr>
          <w:ilvl w:val="0"/>
          <w:numId w:val="6"/>
        </w:numPr>
        <w:jc w:val="both"/>
        <w:rPr>
          <w:rFonts w:ascii="Times New Roman" w:hAnsi="Times New Roman"/>
          <w:color w:val="000000"/>
          <w:sz w:val="24"/>
          <w:szCs w:val="24"/>
        </w:rPr>
      </w:pPr>
      <w:r>
        <w:rPr>
          <w:rFonts w:ascii="Times New Roman" w:hAnsi="Times New Roman"/>
          <w:color w:val="000000"/>
          <w:sz w:val="24"/>
          <w:szCs w:val="24"/>
        </w:rPr>
        <w:t xml:space="preserve">Registration Letter of Property Rights Art of </w:t>
      </w:r>
      <w:r w:rsidR="00046907">
        <w:rPr>
          <w:rFonts w:ascii="Times New Roman" w:hAnsi="Times New Roman"/>
          <w:color w:val="000000"/>
          <w:sz w:val="24"/>
          <w:szCs w:val="24"/>
        </w:rPr>
        <w:t xml:space="preserve">Batik </w:t>
      </w:r>
      <w:r>
        <w:rPr>
          <w:rFonts w:ascii="Times New Roman" w:hAnsi="Times New Roman"/>
          <w:color w:val="000000"/>
          <w:sz w:val="24"/>
          <w:szCs w:val="24"/>
        </w:rPr>
        <w:t>Motif</w:t>
      </w:r>
      <w:r w:rsidR="00046907">
        <w:rPr>
          <w:rFonts w:ascii="Times New Roman" w:hAnsi="Times New Roman"/>
          <w:color w:val="000000"/>
          <w:sz w:val="24"/>
          <w:szCs w:val="24"/>
        </w:rPr>
        <w:t xml:space="preserve"> </w:t>
      </w:r>
      <w:r w:rsidR="0063176A">
        <w:rPr>
          <w:rFonts w:ascii="Times New Roman" w:hAnsi="Times New Roman"/>
          <w:color w:val="000000"/>
          <w:sz w:val="24"/>
          <w:szCs w:val="24"/>
        </w:rPr>
        <w:t>”Bungong Syahadah” (</w:t>
      </w:r>
      <w:r w:rsidR="00046907">
        <w:rPr>
          <w:rFonts w:ascii="Times New Roman" w:hAnsi="Times New Roman"/>
          <w:color w:val="000000"/>
          <w:sz w:val="24"/>
          <w:szCs w:val="24"/>
        </w:rPr>
        <w:t>Registration No. Property Rights: EC00201704602, 18 Oc</w:t>
      </w:r>
      <w:r w:rsidR="0063176A">
        <w:rPr>
          <w:rFonts w:ascii="Times New Roman" w:hAnsi="Times New Roman"/>
          <w:color w:val="000000"/>
          <w:sz w:val="24"/>
          <w:szCs w:val="24"/>
        </w:rPr>
        <w:t>tober 2017);</w:t>
      </w:r>
    </w:p>
    <w:p w:rsidR="005B63E8" w:rsidRDefault="00046907">
      <w:pPr>
        <w:pStyle w:val="ListParagraph2"/>
        <w:numPr>
          <w:ilvl w:val="0"/>
          <w:numId w:val="6"/>
        </w:numPr>
        <w:jc w:val="both"/>
        <w:rPr>
          <w:rFonts w:ascii="Times New Roman" w:hAnsi="Times New Roman"/>
          <w:color w:val="000000"/>
          <w:sz w:val="24"/>
          <w:szCs w:val="24"/>
        </w:rPr>
      </w:pPr>
      <w:r>
        <w:rPr>
          <w:rFonts w:ascii="Times New Roman" w:hAnsi="Times New Roman"/>
          <w:color w:val="000000"/>
          <w:sz w:val="24"/>
          <w:szCs w:val="24"/>
        </w:rPr>
        <w:t xml:space="preserve">Registration Letter of Property Rights Art of Batik Motif </w:t>
      </w:r>
      <w:r w:rsidR="0063176A">
        <w:rPr>
          <w:rFonts w:ascii="Times New Roman" w:hAnsi="Times New Roman"/>
          <w:color w:val="000000"/>
          <w:sz w:val="24"/>
          <w:szCs w:val="24"/>
        </w:rPr>
        <w:t>”Kalimah Bungong Aceh” (</w:t>
      </w:r>
      <w:r>
        <w:rPr>
          <w:rFonts w:ascii="Times New Roman" w:hAnsi="Times New Roman"/>
          <w:color w:val="000000"/>
          <w:sz w:val="24"/>
          <w:szCs w:val="24"/>
        </w:rPr>
        <w:t>Registration No. Property Rights: EC00201704600, 18 Oc</w:t>
      </w:r>
      <w:r w:rsidR="0063176A">
        <w:rPr>
          <w:rFonts w:ascii="Times New Roman" w:hAnsi="Times New Roman"/>
          <w:color w:val="000000"/>
          <w:sz w:val="24"/>
          <w:szCs w:val="24"/>
        </w:rPr>
        <w:t>tober 2017);</w:t>
      </w:r>
    </w:p>
    <w:p w:rsidR="00D75E57" w:rsidRDefault="00D75E57">
      <w:pPr>
        <w:pStyle w:val="Standard"/>
        <w:shd w:val="clear" w:color="auto" w:fill="FFFFFF"/>
        <w:tabs>
          <w:tab w:val="left" w:pos="990"/>
        </w:tabs>
        <w:autoSpaceDE w:val="0"/>
        <w:spacing w:line="360" w:lineRule="auto"/>
        <w:jc w:val="both"/>
        <w:rPr>
          <w:b/>
          <w:color w:val="000000"/>
        </w:rPr>
      </w:pPr>
    </w:p>
    <w:p w:rsidR="005B63E8" w:rsidRDefault="0063176A">
      <w:pPr>
        <w:pStyle w:val="Standard"/>
        <w:shd w:val="clear" w:color="auto" w:fill="FFFFFF"/>
        <w:tabs>
          <w:tab w:val="left" w:pos="990"/>
        </w:tabs>
        <w:autoSpaceDE w:val="0"/>
        <w:spacing w:line="360" w:lineRule="auto"/>
        <w:jc w:val="both"/>
        <w:rPr>
          <w:b/>
          <w:color w:val="000000"/>
        </w:rPr>
      </w:pPr>
      <w:r>
        <w:rPr>
          <w:b/>
          <w:color w:val="000000"/>
        </w:rPr>
        <w:t xml:space="preserve">E. Closing </w:t>
      </w:r>
    </w:p>
    <w:p w:rsidR="005B63E8" w:rsidRDefault="0063176A">
      <w:pPr>
        <w:pStyle w:val="Standard"/>
        <w:shd w:val="clear" w:color="auto" w:fill="FFFFFF"/>
        <w:tabs>
          <w:tab w:val="left" w:pos="990"/>
        </w:tabs>
        <w:autoSpaceDE w:val="0"/>
        <w:spacing w:line="360" w:lineRule="auto"/>
        <w:jc w:val="both"/>
        <w:rPr>
          <w:color w:val="000000"/>
        </w:rPr>
      </w:pPr>
      <w:r>
        <w:rPr>
          <w:color w:val="000000"/>
        </w:rPr>
        <w:tab/>
      </w:r>
      <w:r w:rsidR="00046907">
        <w:rPr>
          <w:color w:val="000000"/>
        </w:rPr>
        <w:t xml:space="preserve">The </w:t>
      </w:r>
      <w:r>
        <w:rPr>
          <w:color w:val="000000"/>
        </w:rPr>
        <w:t>Ac</w:t>
      </w:r>
      <w:r w:rsidR="00046907">
        <w:rPr>
          <w:color w:val="000000"/>
        </w:rPr>
        <w:t>h</w:t>
      </w:r>
      <w:r>
        <w:rPr>
          <w:color w:val="000000"/>
        </w:rPr>
        <w:t>e</w:t>
      </w:r>
      <w:r w:rsidR="00046907">
        <w:rPr>
          <w:color w:val="000000"/>
        </w:rPr>
        <w:t>nese area</w:t>
      </w:r>
      <w:r>
        <w:rPr>
          <w:color w:val="000000"/>
        </w:rPr>
        <w:t xml:space="preserve"> </w:t>
      </w:r>
      <w:r w:rsidR="00046907">
        <w:rPr>
          <w:color w:val="000000"/>
        </w:rPr>
        <w:t>can be said that it has a lot of artistic artifacts</w:t>
      </w:r>
      <w:r>
        <w:rPr>
          <w:color w:val="000000"/>
        </w:rPr>
        <w:t xml:space="preserve">.  </w:t>
      </w:r>
      <w:r w:rsidR="00046907">
        <w:rPr>
          <w:color w:val="000000"/>
        </w:rPr>
        <w:t>Those could be a quite valuable inheritance and become the historical</w:t>
      </w:r>
      <w:r w:rsidR="00547B21">
        <w:rPr>
          <w:color w:val="000000"/>
        </w:rPr>
        <w:t xml:space="preserve"> witnesses and</w:t>
      </w:r>
      <w:r w:rsidR="00046907">
        <w:rPr>
          <w:color w:val="000000"/>
        </w:rPr>
        <w:t xml:space="preserve"> evidences </w:t>
      </w:r>
      <w:r w:rsidR="00547B21">
        <w:rPr>
          <w:color w:val="000000"/>
        </w:rPr>
        <w:t>preserving invaluable historical and artistic dat</w:t>
      </w:r>
      <w:r>
        <w:rPr>
          <w:color w:val="000000"/>
        </w:rPr>
        <w:t xml:space="preserve">a. </w:t>
      </w:r>
      <w:r w:rsidR="00547B21">
        <w:rPr>
          <w:color w:val="000000"/>
        </w:rPr>
        <w:t>Thousands artistic arti</w:t>
      </w:r>
      <w:r>
        <w:rPr>
          <w:color w:val="000000"/>
        </w:rPr>
        <w:t>fa</w:t>
      </w:r>
      <w:r w:rsidR="00547B21">
        <w:rPr>
          <w:color w:val="000000"/>
        </w:rPr>
        <w:t>cts</w:t>
      </w:r>
      <w:r>
        <w:rPr>
          <w:color w:val="000000"/>
        </w:rPr>
        <w:t xml:space="preserve"> </w:t>
      </w:r>
      <w:r w:rsidR="00547B21">
        <w:rPr>
          <w:color w:val="000000"/>
        </w:rPr>
        <w:t>in form of tom-stones</w:t>
      </w:r>
      <w:r>
        <w:rPr>
          <w:color w:val="000000"/>
        </w:rPr>
        <w:t xml:space="preserve"> </w:t>
      </w:r>
      <w:r w:rsidR="00547B21">
        <w:rPr>
          <w:color w:val="000000"/>
        </w:rPr>
        <w:t>called</w:t>
      </w:r>
      <w:r>
        <w:rPr>
          <w:color w:val="000000"/>
        </w:rPr>
        <w:t xml:space="preserve"> </w:t>
      </w:r>
      <w:r w:rsidR="00547B21">
        <w:rPr>
          <w:i/>
          <w:color w:val="000000"/>
        </w:rPr>
        <w:t>the Achenese Stone</w:t>
      </w:r>
      <w:r>
        <w:rPr>
          <w:i/>
          <w:color w:val="000000"/>
        </w:rPr>
        <w:t xml:space="preserve"> </w:t>
      </w:r>
      <w:r w:rsidR="00F32417">
        <w:rPr>
          <w:color w:val="000000"/>
        </w:rPr>
        <w:t>spreading out not only</w:t>
      </w:r>
      <w:r>
        <w:rPr>
          <w:color w:val="000000"/>
        </w:rPr>
        <w:t xml:space="preserve"> </w:t>
      </w:r>
      <w:r w:rsidR="00F32417">
        <w:rPr>
          <w:color w:val="000000"/>
        </w:rPr>
        <w:t>surrounding</w:t>
      </w:r>
      <w:r>
        <w:rPr>
          <w:color w:val="000000"/>
        </w:rPr>
        <w:t xml:space="preserve"> </w:t>
      </w:r>
      <w:r w:rsidR="00F32417">
        <w:rPr>
          <w:color w:val="000000"/>
        </w:rPr>
        <w:t>Aceh</w:t>
      </w:r>
      <w:r>
        <w:rPr>
          <w:color w:val="000000"/>
        </w:rPr>
        <w:t xml:space="preserve"> </w:t>
      </w:r>
      <w:r w:rsidR="00F32417">
        <w:rPr>
          <w:color w:val="000000"/>
        </w:rPr>
        <w:t>but also at the some places</w:t>
      </w:r>
      <w:r>
        <w:rPr>
          <w:color w:val="000000"/>
        </w:rPr>
        <w:t xml:space="preserve"> </w:t>
      </w:r>
      <w:r w:rsidR="00F32417">
        <w:rPr>
          <w:color w:val="000000"/>
        </w:rPr>
        <w:t>in the</w:t>
      </w:r>
      <w:r>
        <w:rPr>
          <w:color w:val="000000"/>
        </w:rPr>
        <w:t xml:space="preserve"> </w:t>
      </w:r>
      <w:r w:rsidR="00F32417">
        <w:rPr>
          <w:color w:val="000000"/>
        </w:rPr>
        <w:t>Archipelago</w:t>
      </w:r>
      <w:r>
        <w:rPr>
          <w:color w:val="000000"/>
        </w:rPr>
        <w:t xml:space="preserve">. </w:t>
      </w:r>
    </w:p>
    <w:p w:rsidR="005B63E8" w:rsidRDefault="0063176A">
      <w:pPr>
        <w:pStyle w:val="Standard"/>
        <w:shd w:val="clear" w:color="auto" w:fill="FFFFFF"/>
        <w:tabs>
          <w:tab w:val="left" w:pos="990"/>
        </w:tabs>
        <w:autoSpaceDE w:val="0"/>
        <w:spacing w:line="360" w:lineRule="auto"/>
        <w:jc w:val="both"/>
        <w:rPr>
          <w:color w:val="000000"/>
        </w:rPr>
      </w:pPr>
      <w:r>
        <w:rPr>
          <w:color w:val="000000"/>
        </w:rPr>
        <w:tab/>
      </w:r>
      <w:r w:rsidR="00670A7D">
        <w:rPr>
          <w:color w:val="000000"/>
        </w:rPr>
        <w:t xml:space="preserve">The grave of </w:t>
      </w:r>
      <w:r>
        <w:rPr>
          <w:color w:val="000000"/>
        </w:rPr>
        <w:t xml:space="preserve">Teungku Di Anjong </w:t>
      </w:r>
      <w:r w:rsidR="00670A7D">
        <w:rPr>
          <w:color w:val="000000"/>
        </w:rPr>
        <w:t>is also historical evidence and at the same time is the source of history</w:t>
      </w:r>
      <w:r>
        <w:rPr>
          <w:color w:val="000000"/>
        </w:rPr>
        <w:t xml:space="preserve">. </w:t>
      </w:r>
      <w:r w:rsidR="00670A7D">
        <w:rPr>
          <w:color w:val="000000"/>
        </w:rPr>
        <w:t>This grave has decorated jirat and tomb-stone</w:t>
      </w:r>
      <w:r>
        <w:rPr>
          <w:color w:val="000000"/>
        </w:rPr>
        <w:t xml:space="preserve"> </w:t>
      </w:r>
      <w:r w:rsidR="00670A7D">
        <w:rPr>
          <w:color w:val="000000"/>
        </w:rPr>
        <w:t>and is an artistic artifact</w:t>
      </w:r>
      <w:r>
        <w:rPr>
          <w:color w:val="000000"/>
        </w:rPr>
        <w:t xml:space="preserve"> </w:t>
      </w:r>
      <w:r w:rsidR="00670A7D">
        <w:rPr>
          <w:color w:val="000000"/>
        </w:rPr>
        <w:t>having hidden cultural values</w:t>
      </w:r>
      <w:r>
        <w:rPr>
          <w:color w:val="000000"/>
        </w:rPr>
        <w:t xml:space="preserve"> </w:t>
      </w:r>
      <w:r w:rsidR="00670A7D">
        <w:rPr>
          <w:color w:val="000000"/>
        </w:rPr>
        <w:t>and artistic value of high philosophy</w:t>
      </w:r>
      <w:r>
        <w:rPr>
          <w:color w:val="000000"/>
        </w:rPr>
        <w:t xml:space="preserve">. </w:t>
      </w:r>
      <w:r w:rsidR="00670A7D">
        <w:rPr>
          <w:color w:val="000000"/>
        </w:rPr>
        <w:t>The decoration on this grave proves that it has a great potency to develop</w:t>
      </w:r>
      <w:r>
        <w:rPr>
          <w:color w:val="000000"/>
        </w:rPr>
        <w:t xml:space="preserve"> </w:t>
      </w:r>
      <w:r w:rsidR="00670A7D">
        <w:rPr>
          <w:color w:val="000000"/>
        </w:rPr>
        <w:t>so that</w:t>
      </w:r>
      <w:r>
        <w:rPr>
          <w:color w:val="000000"/>
        </w:rPr>
        <w:t xml:space="preserve"> </w:t>
      </w:r>
      <w:r w:rsidR="00670A7D">
        <w:rPr>
          <w:color w:val="000000"/>
        </w:rPr>
        <w:t>it becomes the source of inspiration in promoting the spirit of creative industry</w:t>
      </w:r>
      <w:r>
        <w:rPr>
          <w:color w:val="000000"/>
        </w:rPr>
        <w:t xml:space="preserve"> </w:t>
      </w:r>
      <w:r w:rsidR="00670A7D">
        <w:rPr>
          <w:color w:val="000000"/>
        </w:rPr>
        <w:t>in</w:t>
      </w:r>
      <w:r>
        <w:rPr>
          <w:color w:val="000000"/>
        </w:rPr>
        <w:t xml:space="preserve"> Ac</w:t>
      </w:r>
      <w:r w:rsidR="00670A7D">
        <w:rPr>
          <w:color w:val="000000"/>
        </w:rPr>
        <w:t>h</w:t>
      </w:r>
      <w:r>
        <w:rPr>
          <w:color w:val="000000"/>
        </w:rPr>
        <w:t xml:space="preserve">eh. </w:t>
      </w:r>
      <w:r w:rsidR="00670A7D">
        <w:rPr>
          <w:color w:val="000000"/>
        </w:rPr>
        <w:t xml:space="preserve">The decorations on the </w:t>
      </w:r>
      <w:r>
        <w:rPr>
          <w:color w:val="000000"/>
        </w:rPr>
        <w:t>Teungku Di Anjong</w:t>
      </w:r>
      <w:r w:rsidR="00DA640A">
        <w:rPr>
          <w:color w:val="000000"/>
        </w:rPr>
        <w:t>’s grave</w:t>
      </w:r>
      <w:r>
        <w:rPr>
          <w:color w:val="000000"/>
        </w:rPr>
        <w:t xml:space="preserve"> </w:t>
      </w:r>
      <w:r w:rsidR="00DA640A">
        <w:rPr>
          <w:color w:val="000000"/>
        </w:rPr>
        <w:t>could be revitalized</w:t>
      </w:r>
      <w:r>
        <w:rPr>
          <w:color w:val="000000"/>
        </w:rPr>
        <w:t xml:space="preserve"> </w:t>
      </w:r>
      <w:r w:rsidR="00DA640A">
        <w:rPr>
          <w:color w:val="000000"/>
        </w:rPr>
        <w:t>in to new motifs, mainly, in producing the new batik motifs in</w:t>
      </w:r>
      <w:r>
        <w:rPr>
          <w:color w:val="000000"/>
        </w:rPr>
        <w:t xml:space="preserve"> Ac</w:t>
      </w:r>
      <w:r w:rsidR="00DA640A">
        <w:rPr>
          <w:color w:val="000000"/>
        </w:rPr>
        <w:t>h</w:t>
      </w:r>
      <w:r>
        <w:rPr>
          <w:color w:val="000000"/>
        </w:rPr>
        <w:t xml:space="preserve">eh. </w:t>
      </w:r>
      <w:r w:rsidR="00DA640A">
        <w:rPr>
          <w:color w:val="000000"/>
        </w:rPr>
        <w:t>Then, the decorations</w:t>
      </w:r>
      <w:r>
        <w:rPr>
          <w:color w:val="000000"/>
        </w:rPr>
        <w:t xml:space="preserve"> </w:t>
      </w:r>
      <w:r w:rsidR="00DA640A">
        <w:rPr>
          <w:color w:val="000000"/>
        </w:rPr>
        <w:t>found on the other tomb-stones could also be revitalized</w:t>
      </w:r>
      <w:r>
        <w:rPr>
          <w:color w:val="000000"/>
        </w:rPr>
        <w:t xml:space="preserve"> </w:t>
      </w:r>
      <w:r w:rsidR="00DA640A">
        <w:rPr>
          <w:color w:val="000000"/>
        </w:rPr>
        <w:t>to support both the art</w:t>
      </w:r>
      <w:r>
        <w:rPr>
          <w:color w:val="000000"/>
        </w:rPr>
        <w:t xml:space="preserve"> </w:t>
      </w:r>
      <w:r w:rsidR="00DA640A">
        <w:rPr>
          <w:color w:val="000000"/>
        </w:rPr>
        <w:t>and creative industry in</w:t>
      </w:r>
      <w:r>
        <w:rPr>
          <w:color w:val="000000"/>
        </w:rPr>
        <w:t xml:space="preserve"> Aceh </w:t>
      </w:r>
      <w:r w:rsidR="00DA640A">
        <w:rPr>
          <w:color w:val="000000"/>
        </w:rPr>
        <w:t>at the moment</w:t>
      </w:r>
      <w:r>
        <w:rPr>
          <w:color w:val="000000"/>
        </w:rPr>
        <w:t xml:space="preserve"> </w:t>
      </w:r>
      <w:r w:rsidR="00DA640A">
        <w:rPr>
          <w:color w:val="000000"/>
        </w:rPr>
        <w:t>and the coming fu</w:t>
      </w:r>
      <w:r w:rsidR="00EB4BB2">
        <w:rPr>
          <w:color w:val="000000"/>
        </w:rPr>
        <w:t>ture</w:t>
      </w:r>
      <w:r>
        <w:rPr>
          <w:color w:val="000000"/>
        </w:rPr>
        <w:t>.</w:t>
      </w:r>
    </w:p>
    <w:p w:rsidR="00D75E57" w:rsidRDefault="00D75E57">
      <w:pPr>
        <w:pStyle w:val="Standard"/>
        <w:shd w:val="clear" w:color="auto" w:fill="FFFFFF"/>
        <w:tabs>
          <w:tab w:val="left" w:pos="990"/>
        </w:tabs>
        <w:autoSpaceDE w:val="0"/>
        <w:spacing w:line="360" w:lineRule="auto"/>
        <w:jc w:val="center"/>
        <w:rPr>
          <w:b/>
          <w:color w:val="000000"/>
        </w:rPr>
      </w:pPr>
    </w:p>
    <w:p w:rsidR="00D75E57" w:rsidRDefault="00D75E57">
      <w:pPr>
        <w:pStyle w:val="Standard"/>
        <w:shd w:val="clear" w:color="auto" w:fill="FFFFFF"/>
        <w:tabs>
          <w:tab w:val="left" w:pos="990"/>
        </w:tabs>
        <w:autoSpaceDE w:val="0"/>
        <w:spacing w:line="360" w:lineRule="auto"/>
        <w:jc w:val="center"/>
        <w:rPr>
          <w:b/>
          <w:color w:val="000000"/>
        </w:rPr>
      </w:pPr>
    </w:p>
    <w:p w:rsidR="005B63E8" w:rsidRDefault="0063176A">
      <w:pPr>
        <w:pStyle w:val="Standard"/>
        <w:shd w:val="clear" w:color="auto" w:fill="FFFFFF"/>
        <w:tabs>
          <w:tab w:val="left" w:pos="990"/>
        </w:tabs>
        <w:autoSpaceDE w:val="0"/>
        <w:spacing w:line="360" w:lineRule="auto"/>
        <w:jc w:val="center"/>
        <w:rPr>
          <w:b/>
          <w:color w:val="000000"/>
        </w:rPr>
      </w:pPr>
      <w:r>
        <w:rPr>
          <w:b/>
          <w:color w:val="000000"/>
        </w:rPr>
        <w:lastRenderedPageBreak/>
        <w:t xml:space="preserve">Publications Consulted </w:t>
      </w:r>
    </w:p>
    <w:p w:rsidR="007407EB" w:rsidRDefault="007407EB">
      <w:pPr>
        <w:pStyle w:val="Standard"/>
        <w:shd w:val="clear" w:color="auto" w:fill="FFFFFF"/>
        <w:tabs>
          <w:tab w:val="left" w:pos="990"/>
        </w:tabs>
        <w:autoSpaceDE w:val="0"/>
        <w:spacing w:line="360" w:lineRule="auto"/>
        <w:jc w:val="center"/>
        <w:rPr>
          <w:b/>
          <w:color w:val="000000"/>
        </w:rPr>
      </w:pPr>
    </w:p>
    <w:p w:rsidR="005B63E8" w:rsidRDefault="0063176A">
      <w:pPr>
        <w:pStyle w:val="Standard"/>
        <w:shd w:val="clear" w:color="auto" w:fill="FFFFFF"/>
        <w:tabs>
          <w:tab w:val="left" w:pos="990"/>
        </w:tabs>
        <w:autoSpaceDE w:val="0"/>
        <w:spacing w:line="360" w:lineRule="auto"/>
        <w:jc w:val="both"/>
        <w:rPr>
          <w:rFonts w:cs="Times New Roman"/>
          <w:color w:val="000000"/>
        </w:rPr>
      </w:pPr>
      <w:r>
        <w:rPr>
          <w:rFonts w:cs="Times New Roman"/>
          <w:color w:val="000000"/>
        </w:rPr>
        <w:t xml:space="preserve">Hurgronje, Snough (1906). </w:t>
      </w:r>
      <w:r>
        <w:rPr>
          <w:rFonts w:cs="Times New Roman"/>
          <w:i/>
          <w:color w:val="000000"/>
        </w:rPr>
        <w:t>Achehnese</w:t>
      </w:r>
      <w:r>
        <w:rPr>
          <w:rFonts w:cs="Times New Roman"/>
          <w:color w:val="000000"/>
        </w:rPr>
        <w:t xml:space="preserve">. Leyden: E.J. Brill. </w:t>
      </w:r>
    </w:p>
    <w:p w:rsidR="005B63E8" w:rsidRDefault="0063176A">
      <w:pPr>
        <w:pStyle w:val="Standard"/>
        <w:shd w:val="clear" w:color="auto" w:fill="FFFFFF"/>
        <w:tabs>
          <w:tab w:val="left" w:pos="990"/>
        </w:tabs>
        <w:autoSpaceDE w:val="0"/>
        <w:spacing w:line="240" w:lineRule="auto"/>
        <w:ind w:left="720" w:hanging="720"/>
        <w:jc w:val="both"/>
        <w:rPr>
          <w:rFonts w:cs="Times New Roman"/>
          <w:color w:val="000000"/>
        </w:rPr>
      </w:pPr>
      <w:r>
        <w:rPr>
          <w:rFonts w:cs="Times New Roman"/>
          <w:color w:val="000000"/>
        </w:rPr>
        <w:t>Herwandi, (200</w:t>
      </w:r>
      <w:r w:rsidR="007407EB">
        <w:rPr>
          <w:rFonts w:cs="Times New Roman"/>
          <w:color w:val="000000"/>
        </w:rPr>
        <w:t>2</w:t>
      </w:r>
      <w:r>
        <w:rPr>
          <w:rFonts w:cs="Times New Roman"/>
          <w:color w:val="000000"/>
        </w:rPr>
        <w:t xml:space="preserve">) ”Kaligrafi Islam Pada makam-Makam di Aceh Darussalam: Telaah Sejarah Seni (Abad ke-16 – 18 M)” </w:t>
      </w:r>
      <w:r w:rsidR="007D37EE">
        <w:rPr>
          <w:rFonts w:cs="Times New Roman"/>
          <w:i/>
          <w:color w:val="000000"/>
        </w:rPr>
        <w:t>Dissertation Doc</w:t>
      </w:r>
      <w:r>
        <w:rPr>
          <w:rFonts w:cs="Times New Roman"/>
          <w:i/>
          <w:color w:val="000000"/>
        </w:rPr>
        <w:t>tor</w:t>
      </w:r>
      <w:r>
        <w:rPr>
          <w:rFonts w:cs="Times New Roman"/>
          <w:color w:val="000000"/>
        </w:rPr>
        <w:t xml:space="preserve"> </w:t>
      </w:r>
      <w:r w:rsidR="007D37EE">
        <w:rPr>
          <w:rFonts w:cs="Times New Roman"/>
          <w:color w:val="000000"/>
        </w:rPr>
        <w:t>at</w:t>
      </w:r>
      <w:r>
        <w:rPr>
          <w:rFonts w:cs="Times New Roman"/>
          <w:color w:val="000000"/>
        </w:rPr>
        <w:t xml:space="preserve"> Program Arkeologi Pascasarjana Univ. Indonesia.</w:t>
      </w:r>
    </w:p>
    <w:p w:rsidR="005B63E8" w:rsidRDefault="0063176A">
      <w:pPr>
        <w:pStyle w:val="Standard"/>
        <w:shd w:val="clear" w:color="auto" w:fill="FFFFFF"/>
        <w:tabs>
          <w:tab w:val="left" w:pos="990"/>
        </w:tabs>
        <w:autoSpaceDE w:val="0"/>
        <w:spacing w:line="240" w:lineRule="auto"/>
        <w:ind w:left="720" w:hanging="720"/>
        <w:jc w:val="both"/>
        <w:rPr>
          <w:rFonts w:cs="Times New Roman"/>
          <w:color w:val="000000"/>
        </w:rPr>
      </w:pPr>
      <w:r>
        <w:rPr>
          <w:rFonts w:cs="Times New Roman"/>
          <w:color w:val="000000"/>
        </w:rPr>
        <w:t xml:space="preserve">Herwandi, (2003) </w:t>
      </w:r>
      <w:r>
        <w:rPr>
          <w:rFonts w:cs="Times New Roman"/>
          <w:i/>
          <w:color w:val="000000"/>
        </w:rPr>
        <w:t>Bungong Kulimah: Kaligrafi Islam dalam Balutan Tasawuf Aceh.</w:t>
      </w:r>
      <w:r>
        <w:rPr>
          <w:rFonts w:cs="Times New Roman"/>
          <w:color w:val="000000"/>
        </w:rPr>
        <w:t xml:space="preserve"> Padang: Unand Press.</w:t>
      </w:r>
    </w:p>
    <w:p w:rsidR="005B63E8" w:rsidRDefault="0063176A">
      <w:pPr>
        <w:autoSpaceDE w:val="0"/>
        <w:autoSpaceDN w:val="0"/>
        <w:adjustRightInd w:val="0"/>
        <w:spacing w:after="0" w:line="240" w:lineRule="auto"/>
        <w:ind w:left="810" w:hanging="810"/>
        <w:jc w:val="both"/>
        <w:rPr>
          <w:rFonts w:ascii="Times New Roman" w:hAnsi="Times New Roman"/>
          <w:color w:val="000000"/>
          <w:sz w:val="24"/>
          <w:szCs w:val="24"/>
        </w:rPr>
      </w:pPr>
      <w:r>
        <w:rPr>
          <w:rFonts w:ascii="Times New Roman" w:hAnsi="Times New Roman"/>
          <w:color w:val="000000"/>
          <w:sz w:val="24"/>
          <w:szCs w:val="24"/>
        </w:rPr>
        <w:t>Herwandi, Husaini Ibrahim, M. Yusdi (2017).</w:t>
      </w:r>
      <w:r>
        <w:rPr>
          <w:rFonts w:ascii="Times New Roman" w:hAnsi="Times New Roman"/>
          <w:bCs/>
          <w:color w:val="000000"/>
          <w:sz w:val="24"/>
          <w:szCs w:val="24"/>
        </w:rPr>
        <w:t>“Karakter Lokal Pada Artefak Seni Makam Berhias di Nanggroe Aceh Darussalam (Abad 13-18 M)”,</w:t>
      </w:r>
      <w:r w:rsidR="007D37EE">
        <w:rPr>
          <w:rFonts w:ascii="Times New Roman" w:hAnsi="Times New Roman"/>
          <w:i/>
          <w:color w:val="000000"/>
          <w:sz w:val="24"/>
          <w:szCs w:val="24"/>
        </w:rPr>
        <w:t>Paper</w:t>
      </w:r>
      <w:r>
        <w:rPr>
          <w:rFonts w:ascii="Times New Roman" w:hAnsi="Times New Roman"/>
          <w:color w:val="000000"/>
          <w:sz w:val="24"/>
          <w:szCs w:val="24"/>
        </w:rPr>
        <w:t xml:space="preserve"> </w:t>
      </w:r>
      <w:r w:rsidR="007D37EE">
        <w:rPr>
          <w:rFonts w:ascii="Times New Roman" w:hAnsi="Times New Roman"/>
          <w:color w:val="000000"/>
          <w:sz w:val="24"/>
          <w:szCs w:val="24"/>
        </w:rPr>
        <w:t>presented</w:t>
      </w:r>
      <w:r>
        <w:rPr>
          <w:rFonts w:ascii="Times New Roman" w:hAnsi="Times New Roman"/>
          <w:color w:val="000000"/>
          <w:sz w:val="24"/>
          <w:szCs w:val="24"/>
        </w:rPr>
        <w:t xml:space="preserve"> </w:t>
      </w:r>
      <w:r w:rsidR="007D37EE">
        <w:rPr>
          <w:rFonts w:ascii="Times New Roman" w:hAnsi="Times New Roman"/>
          <w:color w:val="000000"/>
          <w:sz w:val="24"/>
          <w:szCs w:val="24"/>
        </w:rPr>
        <w:t>at</w:t>
      </w:r>
      <w:r>
        <w:rPr>
          <w:rFonts w:ascii="Times New Roman" w:hAnsi="Times New Roman"/>
          <w:color w:val="000000"/>
          <w:sz w:val="24"/>
          <w:szCs w:val="24"/>
        </w:rPr>
        <w:t xml:space="preserve"> </w:t>
      </w:r>
      <w:r w:rsidR="007D37EE">
        <w:rPr>
          <w:rFonts w:ascii="Times New Roman" w:hAnsi="Times New Roman"/>
          <w:color w:val="000000"/>
          <w:sz w:val="24"/>
          <w:szCs w:val="24"/>
        </w:rPr>
        <w:t xml:space="preserve">Internasional </w:t>
      </w:r>
      <w:r>
        <w:rPr>
          <w:rFonts w:ascii="Times New Roman" w:hAnsi="Times New Roman"/>
          <w:color w:val="000000"/>
          <w:sz w:val="24"/>
          <w:szCs w:val="24"/>
        </w:rPr>
        <w:t xml:space="preserve">Seminar </w:t>
      </w:r>
      <w:r w:rsidRPr="007D37EE">
        <w:rPr>
          <w:rFonts w:ascii="Times New Roman" w:hAnsi="Times New Roman"/>
          <w:i/>
          <w:color w:val="000000"/>
          <w:sz w:val="24"/>
          <w:szCs w:val="24"/>
        </w:rPr>
        <w:t>Penguatan Kebudayaan Lokal</w:t>
      </w:r>
      <w:r>
        <w:rPr>
          <w:rFonts w:ascii="Times New Roman" w:hAnsi="Times New Roman"/>
          <w:color w:val="000000"/>
          <w:sz w:val="24"/>
          <w:szCs w:val="24"/>
        </w:rPr>
        <w:t xml:space="preserve"> </w:t>
      </w:r>
      <w:r w:rsidR="007D37EE">
        <w:rPr>
          <w:rFonts w:ascii="Times New Roman" w:hAnsi="Times New Roman"/>
          <w:color w:val="000000"/>
          <w:sz w:val="24"/>
          <w:szCs w:val="24"/>
        </w:rPr>
        <w:t>held</w:t>
      </w:r>
      <w:r>
        <w:rPr>
          <w:rFonts w:ascii="Times New Roman" w:hAnsi="Times New Roman"/>
          <w:color w:val="000000"/>
          <w:sz w:val="24"/>
          <w:szCs w:val="24"/>
        </w:rPr>
        <w:t xml:space="preserve"> </w:t>
      </w:r>
      <w:r w:rsidR="007D37EE">
        <w:rPr>
          <w:rFonts w:ascii="Times New Roman" w:hAnsi="Times New Roman"/>
          <w:color w:val="000000"/>
          <w:sz w:val="24"/>
          <w:szCs w:val="24"/>
        </w:rPr>
        <w:t>by</w:t>
      </w:r>
      <w:r>
        <w:rPr>
          <w:rFonts w:ascii="Times New Roman" w:hAnsi="Times New Roman"/>
          <w:color w:val="000000"/>
          <w:sz w:val="24"/>
          <w:szCs w:val="24"/>
        </w:rPr>
        <w:t xml:space="preserve"> Ikatan Dosen Budaya Daerah</w:t>
      </w:r>
      <w:r w:rsidR="007407EB">
        <w:rPr>
          <w:rFonts w:ascii="Times New Roman" w:hAnsi="Times New Roman"/>
          <w:color w:val="000000"/>
          <w:sz w:val="24"/>
          <w:szCs w:val="24"/>
        </w:rPr>
        <w:t xml:space="preserve"> Indonesia (IKADBUDI), Unhas, </w:t>
      </w:r>
      <w:r>
        <w:rPr>
          <w:rFonts w:ascii="Times New Roman" w:hAnsi="Times New Roman"/>
          <w:color w:val="000000"/>
          <w:sz w:val="24"/>
          <w:szCs w:val="24"/>
        </w:rPr>
        <w:t>Makasar</w:t>
      </w:r>
      <w:r w:rsidR="007407EB">
        <w:rPr>
          <w:rFonts w:ascii="Times New Roman" w:hAnsi="Times New Roman"/>
          <w:color w:val="000000"/>
          <w:sz w:val="24"/>
          <w:szCs w:val="24"/>
        </w:rPr>
        <w:t>,</w:t>
      </w:r>
      <w:r>
        <w:rPr>
          <w:rFonts w:ascii="Times New Roman" w:hAnsi="Times New Roman"/>
          <w:color w:val="000000"/>
          <w:sz w:val="24"/>
          <w:szCs w:val="24"/>
        </w:rPr>
        <w:t xml:space="preserve"> 17 – 19 Sepetember 2017</w:t>
      </w:r>
      <w:r w:rsidR="007407EB">
        <w:rPr>
          <w:rFonts w:ascii="Times New Roman" w:hAnsi="Times New Roman"/>
          <w:color w:val="000000"/>
          <w:sz w:val="24"/>
          <w:szCs w:val="24"/>
        </w:rPr>
        <w:t>.</w:t>
      </w:r>
    </w:p>
    <w:p w:rsidR="007D37EE" w:rsidRDefault="007D37EE">
      <w:pPr>
        <w:autoSpaceDE w:val="0"/>
        <w:autoSpaceDN w:val="0"/>
        <w:adjustRightInd w:val="0"/>
        <w:spacing w:after="0" w:line="240" w:lineRule="auto"/>
        <w:ind w:left="810" w:hanging="810"/>
        <w:jc w:val="both"/>
        <w:rPr>
          <w:rFonts w:ascii="Times New Roman" w:hAnsi="Times New Roman"/>
          <w:sz w:val="24"/>
          <w:szCs w:val="24"/>
        </w:rPr>
      </w:pPr>
    </w:p>
    <w:p w:rsidR="005B63E8" w:rsidRDefault="0063176A">
      <w:pPr>
        <w:autoSpaceDE w:val="0"/>
        <w:autoSpaceDN w:val="0"/>
        <w:adjustRightInd w:val="0"/>
        <w:spacing w:after="0" w:line="240" w:lineRule="auto"/>
        <w:ind w:left="810" w:hanging="810"/>
        <w:jc w:val="both"/>
        <w:rPr>
          <w:rFonts w:ascii="Times New Roman" w:hAnsi="Times New Roman"/>
          <w:color w:val="000000"/>
          <w:sz w:val="24"/>
          <w:szCs w:val="24"/>
        </w:rPr>
      </w:pPr>
      <w:r>
        <w:rPr>
          <w:rFonts w:ascii="Times New Roman" w:eastAsia="Times New Roman" w:hAnsi="Times New Roman"/>
          <w:color w:val="333333"/>
          <w:sz w:val="24"/>
          <w:szCs w:val="24"/>
        </w:rPr>
        <w:t xml:space="preserve">Ibrahim, Husaini (2006), Peninggalan Sjarah dan Kesadaran Sejarah Di Aceh: Suatu Tantangan Masa Depan”,  </w:t>
      </w:r>
      <w:r w:rsidR="007D37EE">
        <w:rPr>
          <w:rFonts w:ascii="Times New Roman" w:hAnsi="Times New Roman"/>
          <w:i/>
          <w:color w:val="000000"/>
          <w:sz w:val="24"/>
          <w:szCs w:val="24"/>
        </w:rPr>
        <w:t>paper</w:t>
      </w:r>
      <w:r>
        <w:rPr>
          <w:rFonts w:ascii="Times New Roman" w:hAnsi="Times New Roman"/>
          <w:color w:val="000000"/>
          <w:sz w:val="24"/>
          <w:szCs w:val="24"/>
        </w:rPr>
        <w:t xml:space="preserve">  </w:t>
      </w:r>
      <w:r w:rsidR="007D37EE">
        <w:rPr>
          <w:rFonts w:ascii="Times New Roman" w:hAnsi="Times New Roman"/>
          <w:color w:val="000000"/>
          <w:sz w:val="24"/>
          <w:szCs w:val="24"/>
        </w:rPr>
        <w:t>presented</w:t>
      </w:r>
      <w:r>
        <w:rPr>
          <w:rFonts w:ascii="Times New Roman" w:hAnsi="Times New Roman"/>
          <w:color w:val="000000"/>
          <w:sz w:val="24"/>
          <w:szCs w:val="24"/>
        </w:rPr>
        <w:t xml:space="preserve">  </w:t>
      </w:r>
      <w:r w:rsidR="007D37EE">
        <w:rPr>
          <w:rFonts w:ascii="Times New Roman" w:hAnsi="Times New Roman"/>
          <w:color w:val="000000"/>
          <w:sz w:val="24"/>
          <w:szCs w:val="24"/>
        </w:rPr>
        <w:t>at</w:t>
      </w:r>
      <w:r>
        <w:rPr>
          <w:rFonts w:ascii="Times New Roman" w:hAnsi="Times New Roman"/>
          <w:color w:val="000000"/>
          <w:sz w:val="24"/>
          <w:szCs w:val="24"/>
        </w:rPr>
        <w:t xml:space="preserve">  Konferensi  </w:t>
      </w:r>
      <w:r w:rsidR="007407EB">
        <w:rPr>
          <w:rFonts w:ascii="Times New Roman" w:hAnsi="Times New Roman"/>
          <w:color w:val="000000"/>
          <w:sz w:val="24"/>
          <w:szCs w:val="24"/>
        </w:rPr>
        <w:t>Nasional  Sejarah  VIII  ,  13-16 November 2006 at</w:t>
      </w:r>
      <w:r>
        <w:rPr>
          <w:rFonts w:ascii="Times New Roman" w:hAnsi="Times New Roman"/>
          <w:color w:val="000000"/>
          <w:sz w:val="24"/>
          <w:szCs w:val="24"/>
        </w:rPr>
        <w:t xml:space="preserve"> Jakarta.</w:t>
      </w:r>
    </w:p>
    <w:p w:rsidR="005B63E8" w:rsidRDefault="0063176A">
      <w:pPr>
        <w:shd w:val="clear" w:color="auto" w:fill="FFFFFF"/>
        <w:spacing w:before="100" w:beforeAutospacing="1" w:after="100" w:afterAutospacing="1" w:line="240" w:lineRule="auto"/>
        <w:ind w:left="720" w:hanging="720"/>
        <w:rPr>
          <w:rFonts w:ascii="Times New Roman" w:eastAsia="Times New Roman" w:hAnsi="Times New Roman"/>
          <w:color w:val="333333"/>
          <w:sz w:val="24"/>
          <w:szCs w:val="24"/>
        </w:rPr>
      </w:pPr>
      <w:r>
        <w:rPr>
          <w:rFonts w:ascii="Times New Roman" w:eastAsia="Times New Roman" w:hAnsi="Times New Roman"/>
          <w:color w:val="333333"/>
          <w:sz w:val="24"/>
          <w:szCs w:val="24"/>
        </w:rPr>
        <w:t>Nurdin (2017)</w:t>
      </w:r>
      <w:r>
        <w:rPr>
          <w:rFonts w:ascii="Times New Roman" w:hAnsi="Times New Roman"/>
          <w:color w:val="333333"/>
          <w:sz w:val="24"/>
          <w:szCs w:val="24"/>
        </w:rPr>
        <w:t>. “</w:t>
      </w:r>
      <w:r>
        <w:rPr>
          <w:rFonts w:ascii="Times New Roman" w:eastAsia="Times New Roman" w:hAnsi="Times New Roman"/>
          <w:color w:val="333333"/>
          <w:sz w:val="24"/>
          <w:szCs w:val="24"/>
        </w:rPr>
        <w:t>Sejarah Mesjid Teungku Di Anjong dan Cikal Bakal Julukan Serambi Mekkah” dalam http://portalsatu.com/read/travel/-28592</w:t>
      </w:r>
    </w:p>
    <w:p w:rsidR="005B63E8" w:rsidRDefault="0063176A">
      <w:pPr>
        <w:ind w:left="720" w:hanging="720"/>
        <w:jc w:val="both"/>
        <w:rPr>
          <w:rFonts w:ascii="Times New Roman" w:hAnsi="Times New Roman"/>
          <w:color w:val="000000"/>
          <w:sz w:val="24"/>
          <w:szCs w:val="24"/>
        </w:rPr>
      </w:pPr>
      <w:r>
        <w:rPr>
          <w:rFonts w:ascii="Times New Roman" w:hAnsi="Times New Roman"/>
          <w:color w:val="000000"/>
          <w:sz w:val="24"/>
          <w:szCs w:val="24"/>
        </w:rPr>
        <w:t xml:space="preserve">Yatim, Othman Mohd. (1986) </w:t>
      </w:r>
      <w:r>
        <w:rPr>
          <w:rFonts w:ascii="Times New Roman" w:hAnsi="Times New Roman"/>
          <w:i/>
          <w:color w:val="000000"/>
          <w:sz w:val="24"/>
          <w:szCs w:val="24"/>
        </w:rPr>
        <w:t>Batu Aceh Early Islamic Gravestones in Peninsular Malaysia</w:t>
      </w:r>
      <w:r>
        <w:rPr>
          <w:rFonts w:ascii="Times New Roman" w:hAnsi="Times New Roman"/>
          <w:color w:val="000000"/>
          <w:sz w:val="24"/>
          <w:szCs w:val="24"/>
        </w:rPr>
        <w:t>. Kuala Lumpur: United Selangor Press. Sdn. Bhd.</w:t>
      </w:r>
    </w:p>
    <w:p w:rsidR="005B63E8" w:rsidRDefault="0063176A">
      <w:pPr>
        <w:ind w:left="720" w:right="45" w:hanging="720"/>
        <w:jc w:val="both"/>
        <w:rPr>
          <w:rFonts w:ascii="Times New Roman" w:hAnsi="Times New Roman"/>
          <w:color w:val="000000"/>
          <w:sz w:val="24"/>
          <w:szCs w:val="24"/>
        </w:rPr>
      </w:pPr>
      <w:r>
        <w:rPr>
          <w:rFonts w:ascii="Times New Roman" w:hAnsi="Times New Roman"/>
          <w:color w:val="000000"/>
          <w:sz w:val="24"/>
          <w:szCs w:val="24"/>
        </w:rPr>
        <w:t xml:space="preserve">Dahlia (2014). “Makna Ornamen Secara Hermenutik Pada Makam Kandang XII”, </w:t>
      </w:r>
      <w:r w:rsidR="007D37EE">
        <w:rPr>
          <w:rFonts w:ascii="Times New Roman" w:hAnsi="Times New Roman"/>
          <w:color w:val="000000"/>
          <w:sz w:val="24"/>
          <w:szCs w:val="24"/>
        </w:rPr>
        <w:t>in</w:t>
      </w:r>
      <w:r>
        <w:rPr>
          <w:rFonts w:ascii="Times New Roman" w:hAnsi="Times New Roman"/>
          <w:color w:val="000000"/>
          <w:sz w:val="24"/>
          <w:szCs w:val="24"/>
        </w:rPr>
        <w:t xml:space="preserve"> </w:t>
      </w:r>
      <w:r>
        <w:rPr>
          <w:rFonts w:ascii="Times New Roman" w:hAnsi="Times New Roman"/>
          <w:i/>
          <w:color w:val="000000"/>
          <w:sz w:val="24"/>
          <w:szCs w:val="24"/>
        </w:rPr>
        <w:t>ARABESK: Seri Informasi Kepubakalaan</w:t>
      </w:r>
      <w:r>
        <w:rPr>
          <w:rFonts w:ascii="Times New Roman" w:hAnsi="Times New Roman"/>
          <w:color w:val="000000"/>
          <w:sz w:val="24"/>
          <w:szCs w:val="24"/>
        </w:rPr>
        <w:t xml:space="preserve"> No. 2 Edisi XIV (Juli-Desember). Banda Aceh: Balai Pelestarian Cagar Budaya (BPCB) Banda Aceh.. 54-69</w:t>
      </w:r>
    </w:p>
    <w:p w:rsidR="005B63E8" w:rsidRDefault="0063176A">
      <w:pPr>
        <w:ind w:left="720" w:right="45" w:hanging="720"/>
        <w:jc w:val="both"/>
        <w:rPr>
          <w:rFonts w:ascii="Times New Roman" w:eastAsia="Cambria" w:hAnsi="Times New Roman"/>
          <w:spacing w:val="-1"/>
          <w:sz w:val="24"/>
          <w:szCs w:val="24"/>
        </w:rPr>
      </w:pPr>
      <w:r>
        <w:rPr>
          <w:rFonts w:ascii="Times New Roman" w:hAnsi="Times New Roman"/>
          <w:color w:val="000000"/>
          <w:sz w:val="24"/>
          <w:szCs w:val="24"/>
        </w:rPr>
        <w:t>Dewi, Cut (2015). “</w:t>
      </w:r>
      <w:r>
        <w:rPr>
          <w:rFonts w:ascii="Times New Roman" w:eastAsia="Cambria" w:hAnsi="Times New Roman"/>
          <w:sz w:val="24"/>
          <w:szCs w:val="24"/>
        </w:rPr>
        <w:t>Iconic Architectural</w:t>
      </w:r>
      <w:r>
        <w:rPr>
          <w:rFonts w:ascii="Times New Roman" w:eastAsia="Cambria" w:hAnsi="Times New Roman"/>
          <w:w w:val="25"/>
          <w:sz w:val="24"/>
          <w:szCs w:val="24"/>
        </w:rPr>
        <w:t xml:space="preserve">    </w:t>
      </w:r>
      <w:r>
        <w:rPr>
          <w:rFonts w:ascii="Times New Roman" w:eastAsia="Cambria" w:hAnsi="Times New Roman"/>
          <w:sz w:val="24"/>
          <w:szCs w:val="24"/>
        </w:rPr>
        <w:t>Heritage</w:t>
      </w:r>
      <w:r>
        <w:rPr>
          <w:rFonts w:ascii="Times New Roman" w:eastAsia="Cambria" w:hAnsi="Times New Roman"/>
          <w:w w:val="25"/>
          <w:sz w:val="24"/>
          <w:szCs w:val="24"/>
        </w:rPr>
        <w:t xml:space="preserve">    </w:t>
      </w:r>
      <w:r>
        <w:rPr>
          <w:rFonts w:ascii="Times New Roman" w:eastAsia="Cambria" w:hAnsi="Times New Roman"/>
          <w:sz w:val="24"/>
          <w:szCs w:val="24"/>
        </w:rPr>
        <w:t>in Banda</w:t>
      </w:r>
      <w:r>
        <w:rPr>
          <w:rFonts w:ascii="Times New Roman" w:eastAsia="Cambria" w:hAnsi="Times New Roman"/>
          <w:w w:val="90"/>
          <w:position w:val="-1"/>
          <w:sz w:val="24"/>
          <w:szCs w:val="24"/>
        </w:rPr>
        <w:t> A</w:t>
      </w:r>
      <w:r>
        <w:rPr>
          <w:rFonts w:ascii="Times New Roman" w:eastAsia="Cambria" w:hAnsi="Times New Roman"/>
          <w:position w:val="-1"/>
          <w:sz w:val="24"/>
          <w:szCs w:val="24"/>
        </w:rPr>
        <w:t xml:space="preserve">ceh: </w:t>
      </w:r>
      <w:r>
        <w:rPr>
          <w:rFonts w:ascii="Times New Roman" w:eastAsia="Cambria" w:hAnsi="Times New Roman"/>
          <w:sz w:val="24"/>
          <w:szCs w:val="24"/>
        </w:rPr>
        <w:t>Remembering and</w:t>
      </w:r>
      <w:r>
        <w:rPr>
          <w:rFonts w:ascii="Times New Roman" w:eastAsia="Cambria" w:hAnsi="Times New Roman"/>
          <w:w w:val="25"/>
          <w:sz w:val="24"/>
          <w:szCs w:val="24"/>
        </w:rPr>
        <w:t xml:space="preserve">    </w:t>
      </w:r>
      <w:r>
        <w:rPr>
          <w:rFonts w:ascii="Times New Roman" w:eastAsia="Cambria" w:hAnsi="Times New Roman"/>
          <w:sz w:val="24"/>
          <w:szCs w:val="24"/>
        </w:rPr>
        <w:t>Conservation</w:t>
      </w:r>
      <w:r>
        <w:rPr>
          <w:rFonts w:ascii="Times New Roman" w:eastAsia="Cambria" w:hAnsi="Times New Roman"/>
          <w:w w:val="25"/>
          <w:sz w:val="24"/>
          <w:szCs w:val="24"/>
        </w:rPr>
        <w:t xml:space="preserve">    </w:t>
      </w:r>
      <w:r>
        <w:rPr>
          <w:rFonts w:ascii="Times New Roman" w:eastAsia="Cambria" w:hAnsi="Times New Roman"/>
          <w:sz w:val="24"/>
          <w:szCs w:val="24"/>
        </w:rPr>
        <w:t>in</w:t>
      </w:r>
      <w:r>
        <w:rPr>
          <w:rFonts w:ascii="Times New Roman" w:eastAsia="Cambria" w:hAnsi="Times New Roman"/>
          <w:w w:val="25"/>
          <w:sz w:val="24"/>
          <w:szCs w:val="24"/>
        </w:rPr>
        <w:t xml:space="preserve">        </w:t>
      </w:r>
      <w:r>
        <w:rPr>
          <w:rFonts w:ascii="Times New Roman" w:eastAsia="Cambria" w:hAnsi="Times New Roman"/>
          <w:sz w:val="24"/>
          <w:szCs w:val="24"/>
        </w:rPr>
        <w:t>Post</w:t>
      </w:r>
      <w:r>
        <w:rPr>
          <w:rFonts w:ascii="Times New Roman" w:eastAsia="Cambria" w:hAnsi="Times New Roman"/>
          <w:w w:val="33"/>
          <w:sz w:val="24"/>
          <w:szCs w:val="24"/>
        </w:rPr>
        <w:t>-­</w:t>
      </w:r>
      <w:r>
        <w:rPr>
          <w:rFonts w:ascii="Cambria" w:eastAsia="Cambria" w:hAnsi="Cambria"/>
          <w:w w:val="33"/>
          <w:sz w:val="24"/>
          <w:szCs w:val="24"/>
        </w:rPr>
        <w:t>‐</w:t>
      </w:r>
      <w:r>
        <w:rPr>
          <w:rFonts w:ascii="Times New Roman" w:eastAsia="Cambria" w:hAnsi="Times New Roman"/>
          <w:sz w:val="24"/>
          <w:szCs w:val="24"/>
        </w:rPr>
        <w:t>Dis</w:t>
      </w:r>
      <w:r>
        <w:rPr>
          <w:rFonts w:ascii="Times New Roman" w:eastAsia="Cambria" w:hAnsi="Times New Roman"/>
          <w:spacing w:val="1"/>
          <w:sz w:val="24"/>
          <w:szCs w:val="24"/>
        </w:rPr>
        <w:t>a</w:t>
      </w:r>
      <w:r>
        <w:rPr>
          <w:rFonts w:ascii="Times New Roman" w:eastAsia="Cambria" w:hAnsi="Times New Roman"/>
          <w:sz w:val="24"/>
          <w:szCs w:val="24"/>
        </w:rPr>
        <w:t>ster</w:t>
      </w:r>
      <w:r>
        <w:rPr>
          <w:rFonts w:ascii="Times New Roman" w:eastAsia="Cambria" w:hAnsi="Times New Roman"/>
          <w:w w:val="63"/>
          <w:sz w:val="24"/>
          <w:szCs w:val="24"/>
        </w:rPr>
        <w:t xml:space="preserve">    </w:t>
      </w:r>
      <w:r>
        <w:rPr>
          <w:rFonts w:ascii="Times New Roman" w:eastAsia="Cambria" w:hAnsi="Times New Roman"/>
          <w:sz w:val="24"/>
          <w:szCs w:val="24"/>
        </w:rPr>
        <w:t>Co</w:t>
      </w:r>
      <w:r>
        <w:rPr>
          <w:rFonts w:ascii="Times New Roman" w:eastAsia="Cambria" w:hAnsi="Times New Roman"/>
          <w:spacing w:val="1"/>
          <w:sz w:val="24"/>
          <w:szCs w:val="24"/>
        </w:rPr>
        <w:t>n</w:t>
      </w:r>
      <w:r>
        <w:rPr>
          <w:rFonts w:ascii="Times New Roman" w:eastAsia="Cambria" w:hAnsi="Times New Roman"/>
          <w:sz w:val="24"/>
          <w:szCs w:val="24"/>
        </w:rPr>
        <w:t>text</w:t>
      </w:r>
      <w:r>
        <w:rPr>
          <w:rFonts w:ascii="Times New Roman" w:eastAsia="Cambria" w:hAnsi="Times New Roman"/>
          <w:spacing w:val="-1"/>
          <w:sz w:val="24"/>
          <w:szCs w:val="24"/>
        </w:rPr>
        <w:t xml:space="preserve">s”. </w:t>
      </w:r>
      <w:r>
        <w:rPr>
          <w:rFonts w:ascii="Times New Roman" w:eastAsia="Cambria" w:hAnsi="Times New Roman"/>
          <w:i/>
          <w:spacing w:val="-1"/>
          <w:sz w:val="24"/>
          <w:szCs w:val="24"/>
        </w:rPr>
        <w:t>A Thesis</w:t>
      </w:r>
      <w:r>
        <w:rPr>
          <w:rFonts w:ascii="Times New Roman" w:eastAsia="Cambria" w:hAnsi="Times New Roman"/>
          <w:spacing w:val="-1"/>
          <w:sz w:val="24"/>
          <w:szCs w:val="24"/>
        </w:rPr>
        <w:t xml:space="preserve"> Submitted For The Degree of Doctor of Philosophy at The Australian National University.</w:t>
      </w:r>
    </w:p>
    <w:p w:rsidR="005B63E8" w:rsidRDefault="0063176A">
      <w:pPr>
        <w:autoSpaceDE w:val="0"/>
        <w:autoSpaceDN w:val="0"/>
        <w:adjustRightInd w:val="0"/>
        <w:spacing w:after="0" w:line="240" w:lineRule="auto"/>
        <w:ind w:left="720" w:hanging="720"/>
        <w:jc w:val="both"/>
        <w:rPr>
          <w:rFonts w:ascii="Times New Roman" w:hAnsi="Times New Roman"/>
          <w:color w:val="000000"/>
          <w:sz w:val="24"/>
          <w:szCs w:val="24"/>
        </w:rPr>
      </w:pPr>
      <w:r>
        <w:rPr>
          <w:rFonts w:ascii="Times New Roman" w:hAnsi="Times New Roman"/>
          <w:color w:val="000000"/>
          <w:sz w:val="24"/>
          <w:szCs w:val="24"/>
        </w:rPr>
        <w:t>O'</w:t>
      </w:r>
      <w:r w:rsidR="007D37EE">
        <w:rPr>
          <w:rFonts w:ascii="Times New Roman" w:hAnsi="Times New Roman"/>
          <w:color w:val="000000"/>
          <w:sz w:val="24"/>
          <w:szCs w:val="24"/>
        </w:rPr>
        <w:t>Neill,  H. (1994).  “South-East</w:t>
      </w:r>
      <w:r>
        <w:rPr>
          <w:rFonts w:ascii="Times New Roman" w:hAnsi="Times New Roman"/>
          <w:color w:val="000000"/>
          <w:sz w:val="24"/>
          <w:szCs w:val="24"/>
        </w:rPr>
        <w:t xml:space="preserve"> Asia</w:t>
      </w:r>
      <w:r>
        <w:rPr>
          <w:rFonts w:ascii="Times New Roman" w:hAnsi="Times New Roman"/>
          <w:i/>
          <w:color w:val="000000"/>
          <w:sz w:val="24"/>
          <w:szCs w:val="24"/>
        </w:rPr>
        <w:t>”</w:t>
      </w:r>
      <w:r>
        <w:rPr>
          <w:rFonts w:ascii="Times New Roman" w:hAnsi="Times New Roman"/>
          <w:color w:val="000000"/>
          <w:sz w:val="24"/>
          <w:szCs w:val="24"/>
        </w:rPr>
        <w:t xml:space="preserve">.  In  M.  Frishman  &amp;  H.-U.  Khan  (Eds.),  </w:t>
      </w:r>
      <w:r>
        <w:rPr>
          <w:rFonts w:ascii="Times New Roman" w:hAnsi="Times New Roman"/>
          <w:i/>
          <w:iCs/>
          <w:color w:val="000000"/>
          <w:sz w:val="24"/>
          <w:szCs w:val="24"/>
        </w:rPr>
        <w:t>The  Mosque: H</w:t>
      </w:r>
      <w:r w:rsidR="007D37EE">
        <w:rPr>
          <w:rFonts w:ascii="Times New Roman" w:hAnsi="Times New Roman"/>
          <w:i/>
          <w:iCs/>
          <w:color w:val="000000"/>
          <w:sz w:val="24"/>
          <w:szCs w:val="24"/>
        </w:rPr>
        <w:t>istory,  Architectural  Develop</w:t>
      </w:r>
      <w:r>
        <w:rPr>
          <w:rFonts w:ascii="Times New Roman" w:hAnsi="Times New Roman"/>
          <w:i/>
          <w:iCs/>
          <w:color w:val="000000"/>
          <w:sz w:val="24"/>
          <w:szCs w:val="24"/>
        </w:rPr>
        <w:t>m</w:t>
      </w:r>
      <w:r w:rsidR="007D37EE">
        <w:rPr>
          <w:rFonts w:ascii="Times New Roman" w:hAnsi="Times New Roman"/>
          <w:i/>
          <w:iCs/>
          <w:color w:val="000000"/>
          <w:sz w:val="24"/>
          <w:szCs w:val="24"/>
        </w:rPr>
        <w:t>e</w:t>
      </w:r>
      <w:r>
        <w:rPr>
          <w:rFonts w:ascii="Times New Roman" w:hAnsi="Times New Roman"/>
          <w:i/>
          <w:iCs/>
          <w:color w:val="000000"/>
          <w:sz w:val="24"/>
          <w:szCs w:val="24"/>
        </w:rPr>
        <w:t>nt,  and  Regional  Diversity</w:t>
      </w:r>
      <w:r>
        <w:rPr>
          <w:rFonts w:ascii="Times New Roman" w:hAnsi="Times New Roman"/>
          <w:color w:val="000000"/>
          <w:sz w:val="24"/>
          <w:szCs w:val="24"/>
        </w:rPr>
        <w:t>.  London,  UK:  Thames and Hudson.</w:t>
      </w:r>
    </w:p>
    <w:p w:rsidR="005B63E8" w:rsidRDefault="005B63E8">
      <w:pPr>
        <w:autoSpaceDE w:val="0"/>
        <w:autoSpaceDN w:val="0"/>
        <w:adjustRightInd w:val="0"/>
        <w:spacing w:after="0" w:line="240" w:lineRule="auto"/>
        <w:ind w:left="720" w:hanging="720"/>
        <w:jc w:val="both"/>
        <w:rPr>
          <w:rFonts w:ascii="Times New Roman" w:hAnsi="Times New Roman"/>
          <w:color w:val="000000"/>
          <w:sz w:val="24"/>
          <w:szCs w:val="24"/>
        </w:rPr>
      </w:pPr>
    </w:p>
    <w:p w:rsidR="005B63E8" w:rsidRDefault="0063176A">
      <w:pPr>
        <w:shd w:val="clear" w:color="auto" w:fill="FFFFFF"/>
        <w:spacing w:after="0" w:line="240" w:lineRule="auto"/>
        <w:ind w:left="720" w:hanging="720"/>
        <w:jc w:val="both"/>
        <w:rPr>
          <w:rFonts w:ascii="Times New Roman" w:hAnsi="Times New Roman"/>
          <w:b/>
          <w:bCs/>
          <w:color w:val="333333"/>
          <w:sz w:val="24"/>
          <w:szCs w:val="24"/>
        </w:rPr>
      </w:pPr>
      <w:r>
        <w:rPr>
          <w:rFonts w:ascii="Times New Roman" w:hAnsi="Times New Roman"/>
          <w:b/>
          <w:bCs/>
          <w:color w:val="333333"/>
          <w:sz w:val="24"/>
          <w:szCs w:val="24"/>
        </w:rPr>
        <w:t>Mardira, Salaman (2017).</w:t>
      </w:r>
      <w:r>
        <w:rPr>
          <w:rFonts w:ascii="Times New Roman" w:hAnsi="Times New Roman"/>
          <w:color w:val="000000"/>
          <w:spacing w:val="5"/>
          <w:sz w:val="24"/>
          <w:szCs w:val="24"/>
        </w:rPr>
        <w:t xml:space="preserve"> “Riwayat Masjid Teungku di Anjong dan Asal Mula Aceh Berjuluk Serambi Makkah” </w:t>
      </w:r>
      <w:r>
        <w:rPr>
          <w:rFonts w:ascii="Times New Roman" w:hAnsi="Times New Roman"/>
          <w:i/>
          <w:color w:val="000000"/>
          <w:spacing w:val="5"/>
          <w:sz w:val="24"/>
          <w:szCs w:val="24"/>
        </w:rPr>
        <w:t>https://news.okezone.com/read</w:t>
      </w:r>
      <w:r>
        <w:rPr>
          <w:rFonts w:ascii="Times New Roman" w:hAnsi="Times New Roman"/>
          <w:color w:val="000000"/>
          <w:spacing w:val="5"/>
          <w:sz w:val="24"/>
          <w:szCs w:val="24"/>
        </w:rPr>
        <w:t>/ 2017/05/31/340/ 1704080</w:t>
      </w:r>
    </w:p>
    <w:p w:rsidR="005B63E8" w:rsidRDefault="005B63E8">
      <w:pPr>
        <w:pStyle w:val="Judul1"/>
        <w:shd w:val="clear" w:color="auto" w:fill="FFFFFF"/>
        <w:spacing w:before="300" w:after="150"/>
        <w:ind w:left="720" w:hanging="720"/>
        <w:rPr>
          <w:rFonts w:ascii="Times New Roman" w:hAnsi="Times New Roman"/>
          <w:b w:val="0"/>
          <w:bCs w:val="0"/>
          <w:color w:val="000000"/>
          <w:spacing w:val="5"/>
          <w:sz w:val="24"/>
          <w:szCs w:val="24"/>
        </w:rPr>
      </w:pPr>
    </w:p>
    <w:sectPr w:rsidR="005B63E8" w:rsidSect="000E69B9">
      <w:footerReference w:type="default" r:id="rId24"/>
      <w:type w:val="continuous"/>
      <w:pgSz w:w="11907" w:h="16840"/>
      <w:pgMar w:top="2160" w:right="1296" w:bottom="1296"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E50" w:rsidRDefault="00501E50" w:rsidP="005B63E8">
      <w:pPr>
        <w:spacing w:after="0" w:line="240" w:lineRule="auto"/>
      </w:pPr>
      <w:r>
        <w:separator/>
      </w:r>
    </w:p>
  </w:endnote>
  <w:endnote w:type="continuationSeparator" w:id="0">
    <w:p w:rsidR="00501E50" w:rsidRDefault="00501E50" w:rsidP="005B6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inherit">
    <w:altName w:val="Times New Roman"/>
    <w:panose1 w:val="020B0604020202020204"/>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3E8" w:rsidRDefault="00EF6FC9">
    <w:pPr>
      <w:pStyle w:val="Footer"/>
      <w:jc w:val="right"/>
    </w:pPr>
    <w:r>
      <w:fldChar w:fldCharType="begin"/>
    </w:r>
    <w:r w:rsidR="0063176A">
      <w:instrText xml:space="preserve"> PAGE   \* MERGEFORMAT </w:instrText>
    </w:r>
    <w:r>
      <w:fldChar w:fldCharType="separate"/>
    </w:r>
    <w:r w:rsidR="008E5C30">
      <w:rPr>
        <w:noProof/>
      </w:rPr>
      <w:t>1</w:t>
    </w:r>
    <w:r>
      <w:fldChar w:fldCharType="end"/>
    </w:r>
  </w:p>
  <w:p w:rsidR="005B63E8" w:rsidRDefault="005B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E50" w:rsidRDefault="00501E50" w:rsidP="005B63E8">
      <w:pPr>
        <w:spacing w:after="0" w:line="240" w:lineRule="auto"/>
      </w:pPr>
      <w:r>
        <w:separator/>
      </w:r>
    </w:p>
  </w:footnote>
  <w:footnote w:type="continuationSeparator" w:id="0">
    <w:p w:rsidR="00501E50" w:rsidRDefault="00501E50" w:rsidP="005B63E8">
      <w:pPr>
        <w:spacing w:after="0" w:line="240" w:lineRule="auto"/>
      </w:pPr>
      <w:r>
        <w:continuationSeparator/>
      </w:r>
    </w:p>
  </w:footnote>
  <w:footnote w:id="1">
    <w:p w:rsidR="005B63E8" w:rsidRDefault="0063176A">
      <w:pPr>
        <w:pStyle w:val="TeksCatatanKaki"/>
        <w:ind w:firstLine="720"/>
        <w:jc w:val="both"/>
      </w:pPr>
      <w:r>
        <w:rPr>
          <w:rStyle w:val="ReferensiCatatanKaki"/>
        </w:rPr>
        <w:footnoteRef/>
      </w:r>
      <w:r>
        <w:t xml:space="preserve"> This paper is the result of the "Social, Humanities and Education" scheme of The Ministry of Research and Technology-Higher Education of the Republic of Indonesia 2018. (Assignment contract. No. 050/SP2H/LT/DRPM/2018).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tentative="1">
      <w:start w:val="1"/>
      <w:numFmt w:val="bullet"/>
      <w:pStyle w:val="PoinDaftar"/>
      <w:lvlText w:val=""/>
      <w:lvlJc w:val="left"/>
      <w:pPr>
        <w:tabs>
          <w:tab w:val="left" w:pos="360"/>
        </w:tabs>
        <w:ind w:left="360" w:hanging="360"/>
      </w:pPr>
      <w:rPr>
        <w:rFonts w:ascii="Symbol" w:hAnsi="Symbol" w:hint="default"/>
      </w:rPr>
    </w:lvl>
  </w:abstractNum>
  <w:abstractNum w:abstractNumId="1" w15:restartNumberingAfterBreak="0">
    <w:nsid w:val="107336B9"/>
    <w:multiLevelType w:val="singleLevel"/>
    <w:tmpl w:val="107336B9"/>
    <w:lvl w:ilvl="0" w:tentative="1">
      <w:start w:val="1983"/>
      <w:numFmt w:val="decimal"/>
      <w:pStyle w:val="Judul6"/>
      <w:lvlText w:val="%1"/>
      <w:lvlJc w:val="left"/>
      <w:pPr>
        <w:tabs>
          <w:tab w:val="left" w:pos="1152"/>
        </w:tabs>
        <w:ind w:left="1152" w:hanging="432"/>
      </w:pPr>
      <w:rPr>
        <w:rFonts w:hint="default"/>
        <w:i w:val="0"/>
      </w:rPr>
    </w:lvl>
  </w:abstractNum>
  <w:abstractNum w:abstractNumId="2" w15:restartNumberingAfterBreak="0">
    <w:nsid w:val="53BC107B"/>
    <w:multiLevelType w:val="singleLevel"/>
    <w:tmpl w:val="53BC107B"/>
    <w:lvl w:ilvl="0" w:tentative="1">
      <w:start w:val="1981"/>
      <w:numFmt w:val="decimal"/>
      <w:pStyle w:val="Judul5"/>
      <w:lvlText w:val="%1"/>
      <w:lvlJc w:val="left"/>
      <w:pPr>
        <w:tabs>
          <w:tab w:val="left" w:pos="1440"/>
        </w:tabs>
        <w:ind w:left="1440" w:hanging="720"/>
      </w:pPr>
      <w:rPr>
        <w:rFonts w:hint="default"/>
      </w:rPr>
    </w:lvl>
  </w:abstractNum>
  <w:abstractNum w:abstractNumId="3" w15:restartNumberingAfterBreak="0">
    <w:nsid w:val="5B3CBA8F"/>
    <w:multiLevelType w:val="singleLevel"/>
    <w:tmpl w:val="5B3CBA8F"/>
    <w:lvl w:ilvl="0">
      <w:start w:val="1"/>
      <w:numFmt w:val="upperLetter"/>
      <w:suff w:val="space"/>
      <w:lvlText w:val="%1."/>
      <w:lvlJc w:val="left"/>
    </w:lvl>
  </w:abstractNum>
  <w:abstractNum w:abstractNumId="4" w15:restartNumberingAfterBreak="0">
    <w:nsid w:val="5F922E2B"/>
    <w:multiLevelType w:val="multilevel"/>
    <w:tmpl w:val="5F922E2B"/>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65FF2FF7"/>
    <w:multiLevelType w:val="multilevel"/>
    <w:tmpl w:val="65FF2FF7"/>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spaceForUL/>
    <w:doNotLeaveBackslashAlone/>
    <w:ulTrailSpace/>
    <w:doNotExpandShiftReturn/>
    <w:compatSetting w:name="compatibilityMode" w:uri="http://schemas.microsoft.com/office/word" w:val="12"/>
    <w:compatSetting w:name="useWord2013TrackBottomHyphenation" w:uri="http://schemas.microsoft.com/office/word" w:val="1"/>
  </w:compat>
  <w:rsids>
    <w:rsidRoot w:val="005B63E8"/>
    <w:rsid w:val="00046907"/>
    <w:rsid w:val="000954EE"/>
    <w:rsid w:val="000C1494"/>
    <w:rsid w:val="000E69B9"/>
    <w:rsid w:val="000E7987"/>
    <w:rsid w:val="001703B4"/>
    <w:rsid w:val="002C437F"/>
    <w:rsid w:val="004B1069"/>
    <w:rsid w:val="00501E50"/>
    <w:rsid w:val="00547B21"/>
    <w:rsid w:val="00593464"/>
    <w:rsid w:val="005B63E8"/>
    <w:rsid w:val="005C0C66"/>
    <w:rsid w:val="0063176A"/>
    <w:rsid w:val="00670A7D"/>
    <w:rsid w:val="006D0349"/>
    <w:rsid w:val="007407EB"/>
    <w:rsid w:val="007D37EE"/>
    <w:rsid w:val="008518F6"/>
    <w:rsid w:val="008D638A"/>
    <w:rsid w:val="008E5C30"/>
    <w:rsid w:val="00956497"/>
    <w:rsid w:val="00961B09"/>
    <w:rsid w:val="009673F6"/>
    <w:rsid w:val="00A4318B"/>
    <w:rsid w:val="00B378AE"/>
    <w:rsid w:val="00BF410A"/>
    <w:rsid w:val="00C03E21"/>
    <w:rsid w:val="00CD35CC"/>
    <w:rsid w:val="00D64B23"/>
    <w:rsid w:val="00D75E57"/>
    <w:rsid w:val="00DA640A"/>
    <w:rsid w:val="00E75064"/>
    <w:rsid w:val="00EA0F55"/>
    <w:rsid w:val="00EB4BB2"/>
    <w:rsid w:val="00EF6FC9"/>
    <w:rsid w:val="00F32417"/>
    <w:rsid w:val="00F3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4765FFB3-DE81-4BF8-94D9-46E006C9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63E8"/>
    <w:pPr>
      <w:spacing w:after="200" w:line="276" w:lineRule="auto"/>
    </w:pPr>
    <w:rPr>
      <w:rFonts w:cs="Times New Roman"/>
      <w:sz w:val="22"/>
      <w:szCs w:val="22"/>
    </w:rPr>
  </w:style>
  <w:style w:type="paragraph" w:styleId="Judul1">
    <w:name w:val="heading 1"/>
    <w:basedOn w:val="Normal"/>
    <w:next w:val="Normal"/>
    <w:link w:val="Judul1KAR"/>
    <w:uiPriority w:val="9"/>
    <w:qFormat/>
    <w:rsid w:val="005B63E8"/>
    <w:pPr>
      <w:keepNext/>
      <w:keepLines/>
      <w:spacing w:before="480" w:after="0"/>
      <w:outlineLvl w:val="0"/>
    </w:pPr>
    <w:rPr>
      <w:rFonts w:ascii="Cambria" w:eastAsia="Times New Roman" w:hAnsi="Cambria"/>
      <w:b/>
      <w:bCs/>
      <w:color w:val="365F91"/>
      <w:sz w:val="28"/>
      <w:szCs w:val="28"/>
    </w:rPr>
  </w:style>
  <w:style w:type="paragraph" w:styleId="Judul3">
    <w:name w:val="heading 3"/>
    <w:basedOn w:val="Normal"/>
    <w:next w:val="Normal"/>
    <w:link w:val="Judul3KAR"/>
    <w:qFormat/>
    <w:rsid w:val="005B63E8"/>
    <w:pPr>
      <w:keepNext/>
      <w:spacing w:after="0" w:line="240" w:lineRule="auto"/>
      <w:outlineLvl w:val="2"/>
    </w:pPr>
    <w:rPr>
      <w:rFonts w:ascii="Times New Roman" w:eastAsia="Times New Roman" w:hAnsi="Times New Roman"/>
      <w:i/>
      <w:sz w:val="24"/>
      <w:szCs w:val="20"/>
    </w:rPr>
  </w:style>
  <w:style w:type="paragraph" w:styleId="Judul4">
    <w:name w:val="heading 4"/>
    <w:basedOn w:val="Normal"/>
    <w:next w:val="Normal"/>
    <w:link w:val="Judul4KAR"/>
    <w:qFormat/>
    <w:rsid w:val="005B63E8"/>
    <w:pPr>
      <w:keepNext/>
      <w:spacing w:after="0" w:line="240" w:lineRule="auto"/>
      <w:outlineLvl w:val="3"/>
    </w:pPr>
    <w:rPr>
      <w:rFonts w:ascii="Times New Roman" w:eastAsia="Times New Roman" w:hAnsi="Times New Roman"/>
      <w:sz w:val="24"/>
      <w:szCs w:val="20"/>
    </w:rPr>
  </w:style>
  <w:style w:type="paragraph" w:styleId="Judul5">
    <w:name w:val="heading 5"/>
    <w:basedOn w:val="Normal"/>
    <w:next w:val="Normal"/>
    <w:link w:val="Judul5KAR"/>
    <w:qFormat/>
    <w:rsid w:val="005B63E8"/>
    <w:pPr>
      <w:keepNext/>
      <w:numPr>
        <w:numId w:val="1"/>
      </w:numPr>
      <w:spacing w:after="0" w:line="240" w:lineRule="auto"/>
      <w:ind w:right="851"/>
      <w:jc w:val="both"/>
      <w:outlineLvl w:val="4"/>
    </w:pPr>
    <w:rPr>
      <w:rFonts w:ascii="Times New Roman" w:eastAsia="Times New Roman" w:hAnsi="Times New Roman"/>
      <w:i/>
      <w:sz w:val="24"/>
      <w:szCs w:val="20"/>
    </w:rPr>
  </w:style>
  <w:style w:type="paragraph" w:styleId="Judul6">
    <w:name w:val="heading 6"/>
    <w:basedOn w:val="Normal"/>
    <w:next w:val="Normal"/>
    <w:link w:val="Judul6KAR"/>
    <w:qFormat/>
    <w:rsid w:val="005B63E8"/>
    <w:pPr>
      <w:keepNext/>
      <w:numPr>
        <w:numId w:val="2"/>
      </w:numPr>
      <w:spacing w:after="0" w:line="240" w:lineRule="auto"/>
      <w:outlineLvl w:val="5"/>
    </w:pPr>
    <w:rPr>
      <w:rFonts w:ascii="Times New Roman" w:eastAsia="Times New Roman" w:hAnsi="Times New Roman"/>
      <w:i/>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5B63E8"/>
    <w:pPr>
      <w:spacing w:after="0" w:line="240" w:lineRule="auto"/>
    </w:pPr>
    <w:rPr>
      <w:rFonts w:ascii="Tahoma" w:hAnsi="Tahoma"/>
      <w:sz w:val="16"/>
      <w:szCs w:val="16"/>
    </w:rPr>
  </w:style>
  <w:style w:type="paragraph" w:styleId="TeksIsi">
    <w:name w:val="Body Text"/>
    <w:basedOn w:val="Normal"/>
    <w:link w:val="TeksIsiKAR"/>
    <w:rsid w:val="005B63E8"/>
    <w:pPr>
      <w:suppressAutoHyphens/>
      <w:spacing w:after="0" w:line="240" w:lineRule="auto"/>
      <w:jc w:val="center"/>
    </w:pPr>
    <w:rPr>
      <w:rFonts w:ascii="Times New Roman" w:eastAsia="MS Mincho" w:hAnsi="Times New Roman"/>
      <w:b/>
      <w:bCs/>
      <w:sz w:val="32"/>
      <w:szCs w:val="24"/>
      <w:lang w:eastAsia="ar-SA"/>
    </w:rPr>
  </w:style>
  <w:style w:type="paragraph" w:styleId="IndenTeksIsi">
    <w:name w:val="Body Text Indent"/>
    <w:basedOn w:val="Normal"/>
    <w:link w:val="IndenTeksIsiKAR"/>
    <w:rsid w:val="005B63E8"/>
    <w:pPr>
      <w:spacing w:after="120" w:line="240" w:lineRule="auto"/>
      <w:ind w:left="283"/>
    </w:pPr>
    <w:rPr>
      <w:rFonts w:ascii="Times New Roman" w:eastAsia="Times New Roman" w:hAnsi="Times New Roman"/>
      <w:sz w:val="24"/>
      <w:szCs w:val="24"/>
    </w:rPr>
  </w:style>
  <w:style w:type="paragraph" w:styleId="Footer">
    <w:name w:val="footer"/>
    <w:basedOn w:val="Normal"/>
    <w:link w:val="FooterKAR"/>
    <w:uiPriority w:val="99"/>
    <w:unhideWhenUsed/>
    <w:rsid w:val="005B63E8"/>
    <w:pPr>
      <w:tabs>
        <w:tab w:val="center" w:pos="4680"/>
        <w:tab w:val="right" w:pos="9360"/>
      </w:tabs>
      <w:spacing w:after="0" w:line="240" w:lineRule="auto"/>
    </w:pPr>
  </w:style>
  <w:style w:type="paragraph" w:styleId="TeksCatatanKaki">
    <w:name w:val="footnote text"/>
    <w:basedOn w:val="Normal"/>
    <w:link w:val="TeksCatatanKakiKAR"/>
    <w:rsid w:val="005B63E8"/>
    <w:pPr>
      <w:spacing w:after="0" w:line="240" w:lineRule="auto"/>
    </w:pPr>
    <w:rPr>
      <w:rFonts w:ascii="Times New Roman" w:eastAsia="Times New Roman" w:hAnsi="Times New Roman"/>
      <w:sz w:val="20"/>
      <w:szCs w:val="20"/>
    </w:rPr>
  </w:style>
  <w:style w:type="paragraph" w:styleId="Header">
    <w:name w:val="header"/>
    <w:basedOn w:val="Normal"/>
    <w:link w:val="HeaderKAR"/>
    <w:unhideWhenUsed/>
    <w:rsid w:val="005B63E8"/>
    <w:pPr>
      <w:tabs>
        <w:tab w:val="center" w:pos="4680"/>
        <w:tab w:val="right" w:pos="9360"/>
      </w:tabs>
      <w:spacing w:after="0" w:line="240" w:lineRule="auto"/>
    </w:pPr>
  </w:style>
  <w:style w:type="paragraph" w:styleId="PoinDaftar">
    <w:name w:val="List Bullet"/>
    <w:basedOn w:val="Normal"/>
    <w:uiPriority w:val="99"/>
    <w:unhideWhenUsed/>
    <w:rsid w:val="005B63E8"/>
    <w:pPr>
      <w:numPr>
        <w:numId w:val="3"/>
      </w:numPr>
      <w:contextualSpacing/>
    </w:pPr>
  </w:style>
  <w:style w:type="paragraph" w:styleId="NormalWeb">
    <w:name w:val="Normal (Web)"/>
    <w:basedOn w:val="Normal"/>
    <w:rsid w:val="005B63E8"/>
    <w:pPr>
      <w:spacing w:before="100" w:beforeAutospacing="1" w:after="100" w:afterAutospacing="1" w:line="240" w:lineRule="auto"/>
    </w:pPr>
    <w:rPr>
      <w:rFonts w:ascii="Times New Roman" w:eastAsia="Times New Roman" w:hAnsi="Times New Roman"/>
      <w:sz w:val="24"/>
      <w:szCs w:val="24"/>
    </w:rPr>
  </w:style>
  <w:style w:type="paragraph" w:styleId="Judul">
    <w:name w:val="Title"/>
    <w:basedOn w:val="Normal"/>
    <w:link w:val="JudulKAR"/>
    <w:uiPriority w:val="99"/>
    <w:qFormat/>
    <w:rsid w:val="005B63E8"/>
    <w:pPr>
      <w:spacing w:after="0" w:line="240" w:lineRule="auto"/>
      <w:jc w:val="center"/>
      <w:outlineLvl w:val="0"/>
    </w:pPr>
    <w:rPr>
      <w:rFonts w:ascii="Times New Roman" w:eastAsia="Times New Roman" w:hAnsi="Times New Roman"/>
      <w:b/>
      <w:sz w:val="24"/>
      <w:szCs w:val="20"/>
    </w:rPr>
  </w:style>
  <w:style w:type="character" w:styleId="ReferensiCatatanKaki">
    <w:name w:val="footnote reference"/>
    <w:uiPriority w:val="99"/>
    <w:unhideWhenUsed/>
    <w:rsid w:val="005B63E8"/>
    <w:rPr>
      <w:vertAlign w:val="superscript"/>
    </w:rPr>
  </w:style>
  <w:style w:type="character" w:styleId="Hyperlink">
    <w:name w:val="Hyperlink"/>
    <w:unhideWhenUsed/>
    <w:rsid w:val="005B63E8"/>
    <w:rPr>
      <w:color w:val="0000FF"/>
      <w:u w:val="single"/>
    </w:rPr>
  </w:style>
  <w:style w:type="character" w:styleId="NomorHalaman">
    <w:name w:val="page number"/>
    <w:basedOn w:val="FontParagrafDefault"/>
    <w:rsid w:val="005B63E8"/>
  </w:style>
  <w:style w:type="paragraph" w:customStyle="1" w:styleId="ListParagraph1">
    <w:name w:val="List Paragraph1"/>
    <w:basedOn w:val="Normal"/>
    <w:uiPriority w:val="34"/>
    <w:qFormat/>
    <w:rsid w:val="005B63E8"/>
    <w:pPr>
      <w:ind w:left="720"/>
      <w:contextualSpacing/>
    </w:pPr>
  </w:style>
  <w:style w:type="paragraph" w:customStyle="1" w:styleId="ListParagraph11">
    <w:name w:val="List Paragraph11"/>
    <w:basedOn w:val="Normal"/>
    <w:uiPriority w:val="34"/>
    <w:qFormat/>
    <w:rsid w:val="005B63E8"/>
    <w:pPr>
      <w:spacing w:after="0" w:line="240" w:lineRule="auto"/>
      <w:ind w:left="720"/>
      <w:contextualSpacing/>
    </w:pPr>
    <w:rPr>
      <w:rFonts w:ascii="Times New Roman" w:eastAsia="Times New Roman" w:hAnsi="Times New Roman"/>
      <w:sz w:val="24"/>
      <w:szCs w:val="24"/>
    </w:rPr>
  </w:style>
  <w:style w:type="paragraph" w:customStyle="1" w:styleId="Default">
    <w:name w:val="Default"/>
    <w:rsid w:val="005B63E8"/>
    <w:pPr>
      <w:autoSpaceDE w:val="0"/>
      <w:autoSpaceDN w:val="0"/>
      <w:adjustRightInd w:val="0"/>
      <w:spacing w:after="200" w:line="276" w:lineRule="auto"/>
    </w:pPr>
    <w:rPr>
      <w:rFonts w:ascii="Times New Roman" w:hAnsi="Times New Roman"/>
      <w:color w:val="000000"/>
      <w:sz w:val="24"/>
      <w:szCs w:val="24"/>
      <w:lang w:eastAsia="zh-CN"/>
    </w:rPr>
  </w:style>
  <w:style w:type="paragraph" w:customStyle="1" w:styleId="Normal1">
    <w:name w:val="Normal1"/>
    <w:basedOn w:val="Normal"/>
    <w:rsid w:val="005B63E8"/>
    <w:pPr>
      <w:widowControl w:val="0"/>
      <w:suppressAutoHyphens/>
      <w:autoSpaceDE w:val="0"/>
      <w:spacing w:after="0" w:line="240" w:lineRule="auto"/>
      <w:jc w:val="both"/>
      <w:textAlignment w:val="baseline"/>
    </w:pPr>
    <w:rPr>
      <w:rFonts w:ascii="Gulim" w:eastAsia="Gulim" w:hAnsi="Gulim" w:cs="Gulim"/>
      <w:color w:val="000000"/>
      <w:sz w:val="24"/>
      <w:szCs w:val="24"/>
      <w:lang w:eastAsia="ar-SA"/>
    </w:rPr>
  </w:style>
  <w:style w:type="paragraph" w:customStyle="1" w:styleId="Standard">
    <w:name w:val="Standard"/>
    <w:rsid w:val="005B63E8"/>
    <w:pPr>
      <w:suppressAutoHyphens/>
      <w:autoSpaceDN w:val="0"/>
      <w:spacing w:after="200" w:line="276" w:lineRule="auto"/>
      <w:textAlignment w:val="baseline"/>
    </w:pPr>
    <w:rPr>
      <w:rFonts w:ascii="Times New Roman" w:eastAsia="Times New Roman" w:hAnsi="Times New Roman"/>
      <w:kern w:val="3"/>
      <w:sz w:val="24"/>
      <w:szCs w:val="24"/>
      <w:lang w:eastAsia="zh-CN"/>
    </w:rPr>
  </w:style>
  <w:style w:type="paragraph" w:customStyle="1" w:styleId="ListParagraph2">
    <w:name w:val="List Paragraph2"/>
    <w:basedOn w:val="Normal"/>
    <w:uiPriority w:val="34"/>
    <w:qFormat/>
    <w:rsid w:val="005B63E8"/>
    <w:pPr>
      <w:ind w:left="720"/>
      <w:contextualSpacing/>
    </w:pPr>
  </w:style>
  <w:style w:type="character" w:customStyle="1" w:styleId="Judul1KAR">
    <w:name w:val="Judul 1 KAR"/>
    <w:link w:val="Judul1"/>
    <w:uiPriority w:val="9"/>
    <w:rsid w:val="005B63E8"/>
    <w:rPr>
      <w:rFonts w:ascii="Cambria" w:eastAsia="Times New Roman" w:hAnsi="Cambria" w:cs="Times New Roman"/>
      <w:b/>
      <w:bCs/>
      <w:color w:val="365F91"/>
      <w:sz w:val="28"/>
      <w:szCs w:val="28"/>
    </w:rPr>
  </w:style>
  <w:style w:type="character" w:customStyle="1" w:styleId="Judul3KAR">
    <w:name w:val="Judul 3 KAR"/>
    <w:link w:val="Judul3"/>
    <w:rsid w:val="005B63E8"/>
    <w:rPr>
      <w:rFonts w:ascii="Times New Roman" w:eastAsia="Times New Roman" w:hAnsi="Times New Roman" w:cs="Times New Roman"/>
      <w:i/>
      <w:sz w:val="24"/>
      <w:szCs w:val="20"/>
    </w:rPr>
  </w:style>
  <w:style w:type="character" w:customStyle="1" w:styleId="Judul4KAR">
    <w:name w:val="Judul 4 KAR"/>
    <w:link w:val="Judul4"/>
    <w:rsid w:val="005B63E8"/>
    <w:rPr>
      <w:rFonts w:ascii="Times New Roman" w:eastAsia="Times New Roman" w:hAnsi="Times New Roman" w:cs="Times New Roman"/>
      <w:sz w:val="24"/>
      <w:szCs w:val="20"/>
    </w:rPr>
  </w:style>
  <w:style w:type="character" w:customStyle="1" w:styleId="Judul5KAR">
    <w:name w:val="Judul 5 KAR"/>
    <w:link w:val="Judul5"/>
    <w:rsid w:val="005B63E8"/>
    <w:rPr>
      <w:rFonts w:ascii="Times New Roman" w:eastAsia="Times New Roman" w:hAnsi="Times New Roman" w:cs="Times New Roman"/>
      <w:i/>
      <w:sz w:val="24"/>
      <w:szCs w:val="20"/>
    </w:rPr>
  </w:style>
  <w:style w:type="character" w:customStyle="1" w:styleId="Judul6KAR">
    <w:name w:val="Judul 6 KAR"/>
    <w:link w:val="Judul6"/>
    <w:rsid w:val="005B63E8"/>
    <w:rPr>
      <w:rFonts w:ascii="Times New Roman" w:eastAsia="Times New Roman" w:hAnsi="Times New Roman" w:cs="Times New Roman"/>
      <w:i/>
      <w:szCs w:val="20"/>
    </w:rPr>
  </w:style>
  <w:style w:type="character" w:customStyle="1" w:styleId="TeksIsiKAR">
    <w:name w:val="Teks Isi KAR"/>
    <w:link w:val="TeksIsi"/>
    <w:rsid w:val="005B63E8"/>
    <w:rPr>
      <w:rFonts w:ascii="Times New Roman" w:eastAsia="MS Mincho" w:hAnsi="Times New Roman" w:cs="Times New Roman"/>
      <w:b/>
      <w:bCs/>
      <w:sz w:val="32"/>
      <w:szCs w:val="24"/>
      <w:lang w:eastAsia="ar-SA"/>
    </w:rPr>
  </w:style>
  <w:style w:type="character" w:customStyle="1" w:styleId="HeaderKAR">
    <w:name w:val="Header KAR"/>
    <w:basedOn w:val="FontParagrafDefault"/>
    <w:link w:val="Header"/>
    <w:uiPriority w:val="99"/>
    <w:semiHidden/>
    <w:rsid w:val="005B63E8"/>
  </w:style>
  <w:style w:type="character" w:customStyle="1" w:styleId="FooterKAR">
    <w:name w:val="Footer KAR"/>
    <w:basedOn w:val="FontParagrafDefault"/>
    <w:link w:val="Footer"/>
    <w:uiPriority w:val="99"/>
    <w:rsid w:val="005B63E8"/>
  </w:style>
  <w:style w:type="character" w:customStyle="1" w:styleId="TeksBalonKAR">
    <w:name w:val="Teks Balon KAR"/>
    <w:link w:val="TeksBalon"/>
    <w:uiPriority w:val="99"/>
    <w:semiHidden/>
    <w:rsid w:val="005B63E8"/>
    <w:rPr>
      <w:rFonts w:ascii="Tahoma" w:hAnsi="Tahoma" w:cs="Tahoma"/>
      <w:sz w:val="16"/>
      <w:szCs w:val="16"/>
    </w:rPr>
  </w:style>
  <w:style w:type="character" w:customStyle="1" w:styleId="TeksCatatanKakiKAR">
    <w:name w:val="Teks Catatan Kaki KAR"/>
    <w:link w:val="TeksCatatanKaki"/>
    <w:rsid w:val="005B63E8"/>
    <w:rPr>
      <w:rFonts w:ascii="Times New Roman" w:eastAsia="Times New Roman" w:hAnsi="Times New Roman" w:cs="Times New Roman"/>
      <w:sz w:val="20"/>
      <w:szCs w:val="20"/>
    </w:rPr>
  </w:style>
  <w:style w:type="character" w:customStyle="1" w:styleId="IndenTeksIsiKAR">
    <w:name w:val="Inden Teks Isi KAR"/>
    <w:link w:val="IndenTeksIsi"/>
    <w:rsid w:val="005B63E8"/>
    <w:rPr>
      <w:rFonts w:ascii="Times New Roman" w:eastAsia="Times New Roman" w:hAnsi="Times New Roman" w:cs="Times New Roman"/>
      <w:sz w:val="24"/>
      <w:szCs w:val="24"/>
    </w:rPr>
  </w:style>
  <w:style w:type="character" w:customStyle="1" w:styleId="JudulKAR">
    <w:name w:val="Judul KAR"/>
    <w:link w:val="Judul"/>
    <w:uiPriority w:val="99"/>
    <w:rsid w:val="005B63E8"/>
    <w:rPr>
      <w:rFonts w:ascii="Times New Roman" w:eastAsia="Times New Roman" w:hAnsi="Times New Roman" w:cs="Times New Roman"/>
      <w:b/>
      <w:sz w:val="24"/>
      <w:szCs w:val="20"/>
    </w:rPr>
  </w:style>
  <w:style w:type="character" w:customStyle="1" w:styleId="apple-converted-space">
    <w:name w:val="apple-converted-space"/>
    <w:rsid w:val="005B63E8"/>
  </w:style>
  <w:style w:type="paragraph" w:styleId="DaftarParagraf">
    <w:name w:val="List Paragraph"/>
    <w:basedOn w:val="Normal"/>
    <w:uiPriority w:val="34"/>
    <w:qFormat/>
    <w:rsid w:val="00961B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gpswisataindonesia/"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gpswisataindonesia.wordpress.com/"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63C7A4-6042-9B4A-9E80-1932A1039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4184</Words>
  <Characters>23853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THE HISTORY OF BATIK IN WEST SUMATRA:</vt:lpstr>
    </vt:vector>
  </TitlesOfParts>
  <Company/>
  <LinksUpToDate>false</LinksUpToDate>
  <CharactersWithSpaces>27982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HISTORY OF BATIK IN WEST SUMATRA:</dc:title>
  <dc:creator>own</dc:creator>
  <cp:lastModifiedBy>Herwandi Herwandi</cp:lastModifiedBy>
  <cp:revision>5</cp:revision>
  <cp:lastPrinted>2017-02-20T23:55:00Z</cp:lastPrinted>
  <dcterms:created xsi:type="dcterms:W3CDTF">2018-07-06T15:30:00Z</dcterms:created>
  <dcterms:modified xsi:type="dcterms:W3CDTF">2019-04-17T13:31:00Z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