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015DC967" w:rsidR="00564013" w:rsidRPr="00605677" w:rsidRDefault="00605677">
      <w:pPr>
        <w:pBdr>
          <w:top w:val="nil"/>
          <w:left w:val="nil"/>
          <w:bottom w:val="nil"/>
          <w:right w:val="nil"/>
          <w:between w:val="nil"/>
        </w:pBdr>
        <w:spacing w:before="360" w:after="360"/>
        <w:jc w:val="center"/>
        <w:rPr>
          <w:color w:val="000000"/>
          <w:sz w:val="36"/>
          <w:szCs w:val="36"/>
        </w:rPr>
      </w:pPr>
      <w:bookmarkStart w:id="0" w:name="_Hlk68112686"/>
      <w:r w:rsidRPr="00605677">
        <w:rPr>
          <w:b/>
          <w:sz w:val="36"/>
          <w:szCs w:val="36"/>
          <w:lang w:val="id-ID"/>
        </w:rPr>
        <w:t xml:space="preserve">EFFECTIVENESS OF PHYSICS LEARNING USING PROBLEM BASED LEARNING ASSISTED BY </w:t>
      </w:r>
      <w:bookmarkEnd w:id="0"/>
      <w:r w:rsidR="00AF62B1">
        <w:rPr>
          <w:b/>
          <w:sz w:val="36"/>
          <w:szCs w:val="36"/>
          <w:lang w:val="id-ID"/>
        </w:rPr>
        <w:t>PhET VIRTUAL LABORATORY</w:t>
      </w:r>
    </w:p>
    <w:p w14:paraId="00000004" w14:textId="33589B74" w:rsidR="00564013" w:rsidRDefault="00605677">
      <w:pPr>
        <w:pBdr>
          <w:top w:val="nil"/>
          <w:left w:val="nil"/>
          <w:bottom w:val="nil"/>
          <w:right w:val="nil"/>
          <w:between w:val="nil"/>
        </w:pBdr>
        <w:spacing w:before="360" w:after="360"/>
        <w:jc w:val="center"/>
        <w:rPr>
          <w:color w:val="000000"/>
          <w:sz w:val="28"/>
          <w:szCs w:val="28"/>
          <w:vertAlign w:val="superscript"/>
        </w:rPr>
      </w:pPr>
      <w:r>
        <w:rPr>
          <w:color w:val="000000"/>
          <w:sz w:val="28"/>
          <w:szCs w:val="28"/>
          <w:lang w:val="id-ID"/>
        </w:rPr>
        <w:t>NOFRINA MAULANI</w:t>
      </w:r>
      <w:r w:rsidRPr="00225C0A">
        <w:rPr>
          <w:color w:val="000000"/>
          <w:sz w:val="28"/>
          <w:szCs w:val="28"/>
          <w:vertAlign w:val="superscript"/>
          <w:lang w:val="id-ID"/>
        </w:rPr>
        <w:t>1)*</w:t>
      </w:r>
      <w:r>
        <w:rPr>
          <w:color w:val="000000"/>
          <w:sz w:val="28"/>
          <w:szCs w:val="28"/>
          <w:lang w:val="id-ID"/>
        </w:rPr>
        <w:t xml:space="preserve"> SUHARTO LINUWIH</w:t>
      </w:r>
      <w:r w:rsidRPr="00CE76A7">
        <w:rPr>
          <w:color w:val="000000"/>
          <w:sz w:val="28"/>
          <w:szCs w:val="28"/>
          <w:vertAlign w:val="superscript"/>
          <w:lang w:val="id-ID"/>
        </w:rPr>
        <w:t>2)</w:t>
      </w:r>
      <w:r>
        <w:rPr>
          <w:color w:val="000000"/>
          <w:sz w:val="28"/>
          <w:szCs w:val="28"/>
          <w:lang w:val="id-ID"/>
        </w:rPr>
        <w:t xml:space="preserve"> SULHADI</w:t>
      </w:r>
      <w:r w:rsidRPr="00CE76A7">
        <w:rPr>
          <w:color w:val="000000"/>
          <w:sz w:val="28"/>
          <w:szCs w:val="28"/>
          <w:vertAlign w:val="superscript"/>
          <w:lang w:val="id-ID"/>
        </w:rPr>
        <w:t>3)</w:t>
      </w:r>
    </w:p>
    <w:p w14:paraId="65520F81" w14:textId="4453D94F" w:rsidR="00023090" w:rsidRPr="00023090" w:rsidRDefault="0037123C" w:rsidP="00023090">
      <w:pPr>
        <w:pStyle w:val="NoSpacing"/>
        <w:jc w:val="center"/>
        <w:rPr>
          <w:sz w:val="28"/>
          <w:szCs w:val="28"/>
          <w:highlight w:val="white"/>
          <w:lang w:val="id-ID"/>
        </w:rPr>
      </w:pPr>
      <w:r>
        <w:rPr>
          <w:sz w:val="28"/>
          <w:szCs w:val="28"/>
          <w:lang w:val="id-ID"/>
        </w:rPr>
        <w:t xml:space="preserve">UNNES Postgraduate Campus, </w:t>
      </w:r>
      <w:r w:rsidR="00023090" w:rsidRPr="00023090">
        <w:rPr>
          <w:sz w:val="28"/>
          <w:szCs w:val="28"/>
          <w:lang w:val="id-ID"/>
        </w:rPr>
        <w:t>North Kelud III Semarang, 50237</w:t>
      </w:r>
    </w:p>
    <w:p w14:paraId="483CAD5D" w14:textId="4686D1D0" w:rsidR="00023090" w:rsidRPr="00023090" w:rsidRDefault="0092602F" w:rsidP="00023090">
      <w:pPr>
        <w:pStyle w:val="NoSpacing"/>
        <w:jc w:val="center"/>
        <w:rPr>
          <w:sz w:val="28"/>
          <w:szCs w:val="28"/>
          <w:lang w:val="id-ID"/>
        </w:rPr>
      </w:pPr>
      <w:hyperlink r:id="rId8" w:history="1">
        <w:r w:rsidR="00023090" w:rsidRPr="00023090">
          <w:rPr>
            <w:rStyle w:val="Hyperlink"/>
            <w:sz w:val="28"/>
            <w:szCs w:val="28"/>
            <w:lang w:val="id-ID"/>
          </w:rPr>
          <w:t>nofrinamaulani@students.unnes.ac.id</w:t>
        </w:r>
      </w:hyperlink>
    </w:p>
    <w:p w14:paraId="1829C3CC" w14:textId="15492D39" w:rsidR="00023090" w:rsidRPr="00023090" w:rsidRDefault="00023090" w:rsidP="00023090">
      <w:pPr>
        <w:pStyle w:val="NoSpacing"/>
        <w:jc w:val="center"/>
        <w:rPr>
          <w:sz w:val="28"/>
          <w:szCs w:val="28"/>
          <w:lang w:val="id-ID"/>
        </w:rPr>
      </w:pPr>
      <w:r w:rsidRPr="00023090">
        <w:rPr>
          <w:sz w:val="28"/>
          <w:szCs w:val="28"/>
          <w:lang w:val="id-ID"/>
        </w:rPr>
        <w:t>08993992737</w:t>
      </w:r>
    </w:p>
    <w:p w14:paraId="00000006" w14:textId="77777777" w:rsidR="00564013" w:rsidRDefault="00377ECC">
      <w:pPr>
        <w:pBdr>
          <w:top w:val="nil"/>
          <w:left w:val="nil"/>
          <w:bottom w:val="nil"/>
          <w:right w:val="nil"/>
          <w:between w:val="nil"/>
        </w:pBdr>
        <w:shd w:val="clear" w:color="auto" w:fill="FFFFFF"/>
        <w:spacing w:before="240" w:after="240"/>
        <w:jc w:val="center"/>
        <w:rPr>
          <w:color w:val="000000"/>
        </w:rPr>
      </w:pPr>
      <w:r>
        <w:rPr>
          <w:b/>
          <w:color w:val="000000"/>
        </w:rPr>
        <w:t>Abstract</w:t>
      </w:r>
    </w:p>
    <w:p w14:paraId="02E33ABF" w14:textId="7F602BE4" w:rsidR="00E9239A" w:rsidRDefault="00381740" w:rsidP="00381740">
      <w:pPr>
        <w:pBdr>
          <w:top w:val="nil"/>
          <w:left w:val="nil"/>
          <w:bottom w:val="nil"/>
          <w:right w:val="nil"/>
          <w:between w:val="nil"/>
        </w:pBdr>
        <w:shd w:val="clear" w:color="auto" w:fill="FFFFFF"/>
        <w:spacing w:before="240" w:after="240"/>
        <w:ind w:firstLine="567"/>
        <w:jc w:val="both"/>
        <w:rPr>
          <w:color w:val="000000"/>
        </w:rPr>
      </w:pPr>
      <w:r w:rsidRPr="00381740">
        <w:t xml:space="preserve">This research is motivated by the lack of digital literacy and the complexity of students in the process of teaching and learning activities. In the learning process during PPKM (Enforcement of Community Activity Restrictions) students do online learning at home, often students who are not active are found. In this case, the teacher's role changes from the main role of providing information to being a facilitator in thinking, reflecting and collaborating findings. The use of </w:t>
      </w:r>
      <w:proofErr w:type="spellStart"/>
      <w:r w:rsidRPr="00381740">
        <w:t>PhET</w:t>
      </w:r>
      <w:proofErr w:type="spellEnd"/>
      <w:r w:rsidRPr="00381740">
        <w:t xml:space="preserve"> virtual laboratory media can help improve technological literacy. The purpose of this study was to analyze the effectiveness of the Problem Based Leaning model assisted by the </w:t>
      </w:r>
      <w:proofErr w:type="spellStart"/>
      <w:r w:rsidRPr="00381740">
        <w:t>PhET</w:t>
      </w:r>
      <w:proofErr w:type="spellEnd"/>
      <w:r w:rsidRPr="00381740">
        <w:t xml:space="preserve"> virtual laboratory on student learning outcomes. </w:t>
      </w:r>
      <w:proofErr w:type="spellStart"/>
      <w:r w:rsidRPr="00381740">
        <w:t>PhET</w:t>
      </w:r>
      <w:proofErr w:type="spellEnd"/>
      <w:r w:rsidRPr="00381740">
        <w:t xml:space="preserve"> simulation is an interactive animation that is accessed online and offline using Java and Flash software. The method used is quantitative research with a one-shot case study design. Class X MIPA 7 was used as the experimental class and class X MIPA 8 was used as the control class. The effectiveness of the Problem Based Leaning model assisted by the </w:t>
      </w:r>
      <w:proofErr w:type="spellStart"/>
      <w:r w:rsidRPr="00381740">
        <w:t>PhET</w:t>
      </w:r>
      <w:proofErr w:type="spellEnd"/>
      <w:r w:rsidRPr="00381740">
        <w:t xml:space="preserve"> virtual laboratory in the experimental class obtained a classical completeness score of 83%, while the control class was far below the classical completeness value of 55%.</w:t>
      </w:r>
    </w:p>
    <w:p w14:paraId="00000008" w14:textId="6C26F007" w:rsidR="00564013" w:rsidRPr="00796E1B" w:rsidRDefault="00377ECC">
      <w:pPr>
        <w:pBdr>
          <w:top w:val="nil"/>
          <w:left w:val="nil"/>
          <w:bottom w:val="nil"/>
          <w:right w:val="nil"/>
          <w:between w:val="nil"/>
        </w:pBdr>
        <w:shd w:val="clear" w:color="auto" w:fill="FFFFFF"/>
        <w:spacing w:before="240" w:after="240"/>
        <w:jc w:val="both"/>
        <w:rPr>
          <w:color w:val="000000"/>
          <w:lang w:val="id-ID"/>
        </w:rPr>
      </w:pPr>
      <w:r>
        <w:rPr>
          <w:b/>
          <w:color w:val="000000"/>
          <w:highlight w:val="white"/>
        </w:rPr>
        <w:t xml:space="preserve">Keywords: </w:t>
      </w:r>
      <w:r w:rsidR="00886A32">
        <w:rPr>
          <w:b/>
          <w:color w:val="000000"/>
          <w:lang w:val="id-ID"/>
        </w:rPr>
        <w:t>Effectiveness, PhET, Problem Based Learning</w:t>
      </w:r>
    </w:p>
    <w:p w14:paraId="00000009" w14:textId="77777777" w:rsidR="00564013" w:rsidRDefault="00564013">
      <w:pPr>
        <w:pBdr>
          <w:top w:val="nil"/>
          <w:left w:val="nil"/>
          <w:bottom w:val="nil"/>
          <w:right w:val="nil"/>
          <w:between w:val="nil"/>
        </w:pBdr>
        <w:shd w:val="clear" w:color="auto" w:fill="FFFFFF"/>
        <w:spacing w:before="240" w:after="240"/>
        <w:rPr>
          <w:b/>
          <w:color w:val="000000"/>
        </w:rPr>
      </w:pPr>
    </w:p>
    <w:p w14:paraId="0000000A" w14:textId="3CEC7DFB" w:rsidR="00564013" w:rsidRDefault="00007A5E">
      <w:pPr>
        <w:pBdr>
          <w:top w:val="nil"/>
          <w:left w:val="nil"/>
          <w:bottom w:val="nil"/>
          <w:right w:val="nil"/>
          <w:between w:val="nil"/>
        </w:pBdr>
        <w:shd w:val="clear" w:color="auto" w:fill="FFFFFF"/>
        <w:spacing w:before="240" w:after="240"/>
        <w:jc w:val="both"/>
        <w:rPr>
          <w:color w:val="000000"/>
        </w:rPr>
      </w:pPr>
      <w:r>
        <w:rPr>
          <w:b/>
          <w:color w:val="000000"/>
          <w:lang w:val="id-ID"/>
        </w:rPr>
        <w:t>Introduction</w:t>
      </w:r>
    </w:p>
    <w:p w14:paraId="11BED046" w14:textId="39756DB0" w:rsidR="00A756D4" w:rsidRDefault="00A756D4" w:rsidP="000E0AF9">
      <w:pPr>
        <w:ind w:firstLine="851"/>
        <w:contextualSpacing/>
        <w:jc w:val="both"/>
      </w:pPr>
      <w:r>
        <w:t>Physics is a branch of science which is a discipline that studies important concepts. The concept really needs to be understood by students in order to be able to solve problems (E</w:t>
      </w:r>
      <w:r w:rsidR="00AF1797">
        <w:t>lisa et al.</w:t>
      </w:r>
      <w:r>
        <w:t>, 2017). Physics problem solving emphasizes understanding concepts which are very important to build students' thinking processes (</w:t>
      </w:r>
      <w:proofErr w:type="spellStart"/>
      <w:r>
        <w:t>Kusumawati</w:t>
      </w:r>
      <w:proofErr w:type="spellEnd"/>
      <w:r>
        <w:t xml:space="preserve"> </w:t>
      </w:r>
      <w:r w:rsidR="00793693">
        <w:rPr>
          <w:lang w:val="id-ID"/>
        </w:rPr>
        <w:t xml:space="preserve">et al., </w:t>
      </w:r>
      <w:r>
        <w:t>2016). Problem solving ability is a 21st century skill that must be prepared by students for the future (</w:t>
      </w:r>
      <w:proofErr w:type="spellStart"/>
      <w:r>
        <w:t>Baran</w:t>
      </w:r>
      <w:proofErr w:type="spellEnd"/>
      <w:r>
        <w:t>, 2016). In dealing with its role in the future, problem solving skills are part of thinking skills that must be developed (</w:t>
      </w:r>
      <w:proofErr w:type="spellStart"/>
      <w:r>
        <w:t>Fathiah</w:t>
      </w:r>
      <w:proofErr w:type="spellEnd"/>
      <w:r>
        <w:t xml:space="preserve"> et al</w:t>
      </w:r>
      <w:r w:rsidR="00AF1797">
        <w:rPr>
          <w:lang w:val="id-ID"/>
        </w:rPr>
        <w:t>.</w:t>
      </w:r>
      <w:r>
        <w:t>, 2015).</w:t>
      </w:r>
      <w:bookmarkStart w:id="1" w:name="_Hlk67813898"/>
      <w:bookmarkStart w:id="2" w:name="_Hlk67814047"/>
      <w:bookmarkEnd w:id="1"/>
      <w:bookmarkEnd w:id="2"/>
    </w:p>
    <w:p w14:paraId="6048BD3B" w14:textId="2DDA527B" w:rsidR="00A756D4" w:rsidRDefault="00A756D4" w:rsidP="000E0AF9">
      <w:pPr>
        <w:ind w:firstLine="851"/>
        <w:contextualSpacing/>
        <w:jc w:val="both"/>
      </w:pPr>
      <w:r>
        <w:t xml:space="preserve">This is in accordance with the Partnership for 21st Century Skill Event research in 2015 which revealed that problem-solving skills are one of the skills needed by students to compete in </w:t>
      </w:r>
      <w:r>
        <w:lastRenderedPageBreak/>
        <w:t>the industrial revolution 4.0 which is marked by the emergence of new literacy, namely data literacy, technologica</w:t>
      </w:r>
      <w:r w:rsidR="00AF1797">
        <w:t xml:space="preserve">l literacy, and human literacy. </w:t>
      </w:r>
      <w:r w:rsidR="00AF1797">
        <w:rPr>
          <w:lang w:val="id-ID"/>
        </w:rPr>
        <w:t>C</w:t>
      </w:r>
      <w:proofErr w:type="spellStart"/>
      <w:r>
        <w:t>urriculum</w:t>
      </w:r>
      <w:proofErr w:type="spellEnd"/>
      <w:r>
        <w:t xml:space="preserve"> applies scientific method-based learning with indicators of problem-solving abilities. According to Piaget's theory, human thinking abilities develop with age. The level of thinking ability of these students affects the problem solving process (Rosa, 2017</w:t>
      </w:r>
      <w:r w:rsidR="00AF1797">
        <w:rPr>
          <w:lang w:val="id-ID"/>
        </w:rPr>
        <w:t xml:space="preserve">; </w:t>
      </w:r>
      <w:proofErr w:type="spellStart"/>
      <w:r w:rsidR="00AF1797">
        <w:t>Destiana</w:t>
      </w:r>
      <w:proofErr w:type="spellEnd"/>
      <w:r w:rsidR="00AF1797">
        <w:rPr>
          <w:lang w:val="id-ID"/>
        </w:rPr>
        <w:t xml:space="preserve">, </w:t>
      </w:r>
      <w:r w:rsidR="00AF1797">
        <w:t xml:space="preserve">2019; </w:t>
      </w:r>
      <w:proofErr w:type="spellStart"/>
      <w:r w:rsidR="00AF1797">
        <w:t>Wiyono</w:t>
      </w:r>
      <w:proofErr w:type="spellEnd"/>
      <w:r w:rsidR="00AF1797">
        <w:t xml:space="preserve"> </w:t>
      </w:r>
      <w:r w:rsidR="00AF1797">
        <w:rPr>
          <w:lang w:val="id-ID"/>
        </w:rPr>
        <w:t>et al.</w:t>
      </w:r>
      <w:r w:rsidR="00AF1797">
        <w:t xml:space="preserve">, 2019). </w:t>
      </w:r>
    </w:p>
    <w:p w14:paraId="7EFD0662" w14:textId="7A0E9E53" w:rsidR="00A756D4" w:rsidRPr="005A7F4F" w:rsidRDefault="00A756D4" w:rsidP="000E0AF9">
      <w:pPr>
        <w:ind w:firstLine="851"/>
        <w:contextualSpacing/>
        <w:jc w:val="both"/>
      </w:pPr>
      <w:r>
        <w:t>One of the problem-solving strategies is to involve students to communicate openly about their ideas about phenomena or problems in everyday life (</w:t>
      </w:r>
      <w:proofErr w:type="spellStart"/>
      <w:r>
        <w:t>Octor</w:t>
      </w:r>
      <w:proofErr w:type="spellEnd"/>
      <w:r>
        <w:t xml:space="preserve"> et al, 2015; </w:t>
      </w:r>
      <w:proofErr w:type="spellStart"/>
      <w:r>
        <w:t>Sucipto</w:t>
      </w:r>
      <w:proofErr w:type="spellEnd"/>
      <w:r>
        <w:t xml:space="preserve">, 2017). This is supported by assessment in international studies such as </w:t>
      </w:r>
      <w:proofErr w:type="spellStart"/>
      <w:r>
        <w:t>Thrends</w:t>
      </w:r>
      <w:proofErr w:type="spellEnd"/>
      <w:r>
        <w:t xml:space="preserve"> International Mathematics Science Study (TIMSS) which are international studies to identify and measure mathematics and science achievement in students. </w:t>
      </w:r>
      <w:r w:rsidR="00A87221">
        <w:t xml:space="preserve">Based on </w:t>
      </w:r>
      <w:r w:rsidR="00A87221" w:rsidRPr="00A87221">
        <w:t xml:space="preserve">the results of TIMMS </w:t>
      </w:r>
      <w:r w:rsidR="00A87221">
        <w:rPr>
          <w:lang w:val="id-ID"/>
        </w:rPr>
        <w:t xml:space="preserve">2018 </w:t>
      </w:r>
      <w:r w:rsidR="00A87221" w:rsidRPr="00A87221">
        <w:t>for science, the average score of Indonesian students reached 389 with an OECD (Organization for Economic Co-operation and Development) average score of 489. This means that Ind</w:t>
      </w:r>
      <w:r w:rsidR="00A87221">
        <w:t xml:space="preserve">onesian </w:t>
      </w:r>
      <w:proofErr w:type="spellStart"/>
      <w:r w:rsidR="00A87221">
        <w:t>students</w:t>
      </w:r>
      <w:proofErr w:type="spellEnd"/>
      <w:r w:rsidR="00A87221">
        <w:t xml:space="preserve"> scores are still far below average of </w:t>
      </w:r>
      <w:r w:rsidR="00A87221" w:rsidRPr="00A87221">
        <w:t>OECD</w:t>
      </w:r>
      <w:bookmarkStart w:id="3" w:name="_Hlk68033758"/>
      <w:bookmarkStart w:id="4" w:name="_Hlk57749387"/>
      <w:bookmarkStart w:id="5" w:name="_Hlk57749393"/>
      <w:bookmarkStart w:id="6" w:name="_Hlk21033864"/>
      <w:bookmarkStart w:id="7" w:name="_Hlk21033722"/>
      <w:bookmarkStart w:id="8" w:name="_Hlk68033785"/>
      <w:bookmarkEnd w:id="3"/>
      <w:bookmarkEnd w:id="4"/>
      <w:bookmarkEnd w:id="5"/>
      <w:bookmarkEnd w:id="6"/>
      <w:bookmarkEnd w:id="7"/>
      <w:r w:rsidR="00A87221">
        <w:t xml:space="preserve"> </w:t>
      </w:r>
      <w:r>
        <w:fldChar w:fldCharType="begin" w:fldLock="1"/>
      </w:r>
      <w:r>
        <w:instrText>ADDIN CSL_CITATION {"citationItems":[{"id":"ITEM-1","itemData":{"abstract":"The Trends in International Mathematics and Science Study (TIMSS) 2015 is the sixth administration of this international comparative study since 1995 when first administered. TIMSS is used to compare over time the mathematics and science knowledge and skills of fourth- and eighth-graders. TIMSS is designed to align broadly with mathematics and science curricula in the participating countries. The results, therefore, suggest the degree to which students have learned mathematics and science concepts and skills likely to have been taught in school. In 2015, TIMSS was administered in 49 IEA member countries and 6 other education systems at grade 4, and in 38 IEA member countries and 6 other education systems at grade 8. TIMSS Advanced assesses the advanced mathematics and physics knowledge and skills of students at the end of high school who have taken courses in advanced mathematics and physics. TIMSS Advanced 2015 represents only the second administration in which the United States has participated since the first administration in 1995, and is designed to align broadly with the advanced mathematics and physics curricula in the participating countries. The results, therefore, suggest the degree to which students have learned the advanced mathematics and physics concepts and skills likely to have been taught in school. Nine countries participated in TIMSS Advanced 2015. The focus of the report is on the performance of U.S. students relative to their peers in other countries on TIMSS and TIMSS Advanced 2015, and, for TIMSS results, on changes in achievement since 2011 and 1995. For a number of participating countries and education systems, changes in achievement can be documented over the last 20 years, from 1995 to 2015. This report also describes the characteristics of students who participated in the advanced mathematics and physics assessments at the end of high school, and describes the performance of males and females in these subjects. In addition, it includes achievement in Florida, a U.S. state that participated in TIMSS both as part of the U.S. national sample of public and private schools as well as individually with state-level samples of public schools. In addition to numerical scale results, TIMSS also includes international benchmarks. The TIMSS international benchmarks provide a way to interpret the scale scores by describing the types of knowledge and skills students demonstrate at different levels along the TIMSS scale. Brief Technical Not…","author":[{"dropping-particle":"","family":"Provasnik","given":"Stephen","non-dropping-particle":"","parse-names":false,"suffix":""},{"dropping-particle":"","family":"Malley","given":"Lydia","non-dropping-particle":"","parse-names":false,"suffix":""},{"dropping-particle":"","family":"Stephens","given":"Maria","non-dropping-particle":"","parse-names":false,"suffix":""},{"dropping-particle":"","family":"Landeros","given":"Katherine","non-dropping-particle":"","parse-names":false,"suffix":""},{"dropping-particle":"","family":"Perkins","given":"Robert","non-dropping-particle":"","parse-names":false,"suffix":""},{"dropping-particle":"","family":"Tang","given":"Judy H","non-dropping-particle":"","parse-names":false,"suffix":""}],"container-title":"National Center for Education Statistics","id":"ITEM-1","issued":{"date-parts":[["2016"]]},"title":"Highlights From TIMSS And TIMSS Advanced 2015: Mathematics And Science Achievement Of U.S. Students In Grades 4 And 8 And In Advanced Courses At The End Of High School In An International Context. (NCES 2017-002)","type":"article-journal"},"uris":["http://www.mendeley.com/documents/?uuid=4724f512-4d69-4f18-a94e-021d19d7c8cc"]}],"mendeley":{"formattedCitation":"(Provasnik et al., 2016)","manualFormatting":"(TIMSS, 2015)","plainTextFormattedCitation":"(Provasnik et al., 2016)","previouslyFormattedCitation":"(Provasnik et al., 2016)"},"properties":{"noteIndex":0},"schema":"https://github.com/citation-style-language/schema/raw/master/csl-citation.json"}</w:instrText>
      </w:r>
      <w:r>
        <w:fldChar w:fldCharType="separate"/>
      </w:r>
      <w:r>
        <w:rPr>
          <w:noProof/>
        </w:rPr>
        <w:t>(TIMSS, 201</w:t>
      </w:r>
      <w:r w:rsidR="00A87221">
        <w:rPr>
          <w:noProof/>
          <w:lang w:val="id-ID"/>
        </w:rPr>
        <w:t>8</w:t>
      </w:r>
      <w:r>
        <w:rPr>
          <w:noProof/>
        </w:rPr>
        <w:t>)</w:t>
      </w:r>
      <w:r>
        <w:fldChar w:fldCharType="end"/>
      </w:r>
      <w:r>
        <w:t xml:space="preserve">. In order to improve the problem-solving ability, a learning model with a scientific approach is needed, namely </w:t>
      </w:r>
      <w:r w:rsidRPr="005A7F4F">
        <w:rPr>
          <w:i/>
        </w:rPr>
        <w:t>Problem Based Learning</w:t>
      </w:r>
      <w:r w:rsidR="005A7F4F">
        <w:t xml:space="preserve"> (PBL).</w:t>
      </w:r>
    </w:p>
    <w:p w14:paraId="192D33F0" w14:textId="11AAA1BD" w:rsidR="00D62ADF" w:rsidRDefault="00A756D4" w:rsidP="00D62ADF">
      <w:pPr>
        <w:jc w:val="both"/>
        <w:rPr>
          <w:lang w:val="id-ID"/>
        </w:rPr>
      </w:pPr>
      <w:bookmarkStart w:id="9" w:name="_Hlk68033798"/>
      <w:bookmarkEnd w:id="8"/>
      <w:r>
        <w:t>PBL</w:t>
      </w:r>
      <w:r w:rsidR="005A7F4F">
        <w:t xml:space="preserve"> </w:t>
      </w:r>
      <w:r>
        <w:t>is one of the learning models with a scientific approach recommended by the 2013 curriculum</w:t>
      </w:r>
      <w:bookmarkStart w:id="10" w:name="_Hlk67820853"/>
      <w:bookmarkEnd w:id="9"/>
      <w:r w:rsidR="005A7F4F">
        <w:t xml:space="preserve"> </w:t>
      </w:r>
      <w:r>
        <w:fldChar w:fldCharType="begin" w:fldLock="1"/>
      </w:r>
      <w: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N","non-dropping-particle":"","parse-names":false,"suffix":""},{"dropping-particle":"","family":"Indonesia","given":"Republik","non-dropping-particle":"","parse-names":false,"suffix":""}],"container-title":"Pendampingan Pelaksanaan Kurikulum 2013 pada Pendidikan Dasar dan Pendidikan Menengah","id":"ITEM-1","issued":{"date-parts":[["2015"]]},"page":"1-9","title":"Peraturan Mentri Pendidikan dan Kebudayaan Republik Indonesia nomor 53 Tahun 2015","type":"article-journal"},"uris":["http://www.mendeley.com/documents/?uuid=27d0e0f9-0ed1-44ca-922e-3323542c4886"]}],"mendeley":{"formattedCitation":"(Pendidikan, Kebudayaan, &amp; Indonesia, 2015)","manualFormatting":"(Permendikbud No.105, 2014)","plainTextFormattedCitation":"(Pendidikan, Kebudayaan, &amp; Indonesia, 2015)","previouslyFormattedCitation":"(Pendidikan, Kebudayaan, &amp; Indonesia, 2015)"},"properties":{"noteIndex":0},"schema":"https://github.com/citation-style-language/schema/raw/master/csl-citation.json"}</w:instrText>
      </w:r>
      <w:r>
        <w:fldChar w:fldCharType="separate"/>
      </w:r>
      <w:r>
        <w:rPr>
          <w:noProof/>
        </w:rPr>
        <w:t>(Permendikbud No.105, 2014)</w:t>
      </w:r>
      <w:r>
        <w:fldChar w:fldCharType="end"/>
      </w:r>
      <w:bookmarkEnd w:id="10"/>
      <w:r>
        <w:t>. PBL can effectively develop relevant skills such as communication, collaboration, interdisciplinary, innovation, independence and responsibility</w:t>
      </w:r>
      <w:r w:rsidR="0082581F">
        <w:t xml:space="preserve"> </w:t>
      </w:r>
      <w:r>
        <w:fldChar w:fldCharType="begin" w:fldLock="1"/>
      </w:r>
      <w:r>
        <w:instrText>ADDIN CSL_CITATION {"citationItems":[{"id":"ITEM-1","itemData":{"DOI":"10.1016/j.jclepro.2013.01.012","ISSN":"09596526","abstract":"Sustainability is receiving increasing amounts of attention in higher education in terms of how it can best be integrated with university curricula. Sustainability is closely related to complexity, innovation, and interdisciplinarity; therefore, it requires alternative approaches rather than traditional, lecture-based pedagogy. This paper reports an educational initiative and research project based on collaboration between Beijing Normal University, China and Aalborg University, Denmark: developing a sustainability curriculum using the methodology of Problem and Project Based Learning (PBL) in a Chinese context. A theoretical framework is established to understand and analyze the culture's change toward a sustainability curriculum that employs PBL methodology. Empirical work is drawn upon first year results from the implementation of this methodology in an engineering and science curriculum. Data generation is based on multiple collection methods, such as survey of students' feedbacks, interviews with students, and analysis of students' project reports and reflection essays. This paper summarizes that a sustainability curriculum as proposed in this research can attract students' interests in not only mastering relevant knowledge, but also in developing necessary skills and competencies. PBL as a teaching and learning method can successfully facilitate participative learning, critical reflection, systemic thinking, creativity, and cultural awareness, which are the core values of sustainability. However, implementing a new curriculum with new teaching and learning methods can be more complex than expected. Many issues impact the implementation process and are therefore remain challenges to further development; for example, how to change the existing grading system, how to provide both teaching staff and students' with prior knowledge about the new PBL methods, how to gain institutional support, and how to change the broader societal and cultural values. © 2013 Elsevier Ltd. All rights reserved.","author":[{"dropping-particle":"","family":"Du","given":"Xiangyun","non-dropping-particle":"","parse-names":false,"suffix":""},{"dropping-particle":"","family":"Su","given":"Liya","non-dropping-particle":"","parse-names":false,"suffix":""},{"dropping-particle":"","family":"Liu","given":"Jingling","non-dropping-particle":"","parse-names":false,"suffix":""}],"container-title":"Journal of Cleaner Production","id":"ITEM-1","issued":{"date-parts":[["2013"]]},"page":"80-88","publisher":"Elsevier Ltd","title":"Developing sustainability curricula using the PBL method in a Chinese context","type":"article-journal","volume":"61"},"uris":["http://www.mendeley.com/documents/?uuid=227b5cfd-c05d-46c5-9444-e8b36ef26301"]}],"mendeley":{"formattedCitation":"(Du, Su, &amp; Liu, 2013)","plainTextFormattedCitation":"(Du, Su, &amp; Liu, 2013)","previouslyFormattedCitation":"(Du, Su, &amp; Liu, 2013)"},"properties":{"noteIndex":0},"schema":"https://github.com/citation-style-language/schema/raw/master/csl-citation.json"}</w:instrText>
      </w:r>
      <w:r>
        <w:fldChar w:fldCharType="separate"/>
      </w:r>
      <w:r w:rsidR="00793693">
        <w:rPr>
          <w:noProof/>
        </w:rPr>
        <w:t>(Du et al.</w:t>
      </w:r>
      <w:r>
        <w:rPr>
          <w:noProof/>
        </w:rPr>
        <w:t>, 2013)</w:t>
      </w:r>
      <w:r>
        <w:fldChar w:fldCharType="end"/>
      </w:r>
      <w:r>
        <w:t>. PBL</w:t>
      </w:r>
      <w:r w:rsidR="005A7F4F">
        <w:t xml:space="preserve"> is</w:t>
      </w:r>
      <w:r>
        <w:t xml:space="preserve"> learning the teacher checks prerequisite knowledge, provides numeracy skills, and provides open-ended questions so that students have good pro</w:t>
      </w:r>
      <w:r w:rsidR="00793693">
        <w:t xml:space="preserve">blem solving skills (Hartanto et al., </w:t>
      </w:r>
      <w:r>
        <w:t xml:space="preserve">2019). </w:t>
      </w:r>
      <w:r w:rsidR="005A7F4F">
        <w:t>PBL use</w:t>
      </w:r>
      <w:r>
        <w:t xml:space="preserve"> activities and scientific thinking processes to be logical, orderly, and thorough which has an impact on student problem solving. The results of research by </w:t>
      </w:r>
      <w:r w:rsidR="00793693">
        <w:rPr>
          <w:lang w:val="id-ID"/>
        </w:rPr>
        <w:t>(</w:t>
      </w:r>
      <w:proofErr w:type="spellStart"/>
      <w:r w:rsidR="00793693">
        <w:t>Argaw</w:t>
      </w:r>
      <w:proofErr w:type="spellEnd"/>
      <w:r w:rsidR="00793693">
        <w:t xml:space="preserve"> et al., </w:t>
      </w:r>
      <w:r>
        <w:t xml:space="preserve">2017) and </w:t>
      </w:r>
      <w:proofErr w:type="spellStart"/>
      <w:r>
        <w:t>Rusydi</w:t>
      </w:r>
      <w:proofErr w:type="spellEnd"/>
      <w:r>
        <w:t xml:space="preserve"> (2017) show that PBL can improve student learning achievement. </w:t>
      </w:r>
      <w:r w:rsidR="005A7F4F">
        <w:t xml:space="preserve">PBL </w:t>
      </w:r>
      <w:r>
        <w:t xml:space="preserve">is a learning model that presents contextual problems so as to stimulate students to learn. In this case the role of the teacher changes from the main role of providing information to being a facilitator in thinking, reflect and collaborate on findings. </w:t>
      </w:r>
      <w:r w:rsidR="00D62ADF">
        <w:rPr>
          <w:lang w:val="id-ID"/>
        </w:rPr>
        <w:t>P</w:t>
      </w:r>
      <w:r w:rsidR="00D62ADF" w:rsidRPr="009F3A62">
        <w:rPr>
          <w:lang w:val="id-ID"/>
        </w:rPr>
        <w:t>roblem solving is done by collecting and analyzing information in o</w:t>
      </w:r>
      <w:r w:rsidR="00D62ADF">
        <w:rPr>
          <w:lang w:val="id-ID"/>
        </w:rPr>
        <w:t xml:space="preserve">rder to find solutions (Indhira </w:t>
      </w:r>
      <w:r w:rsidR="00D62ADF" w:rsidRPr="009F3A62">
        <w:rPr>
          <w:lang w:val="id-ID"/>
        </w:rPr>
        <w:t>et al.</w:t>
      </w:r>
      <w:r w:rsidR="00D62ADF">
        <w:rPr>
          <w:lang w:val="id-ID"/>
        </w:rPr>
        <w:t>,</w:t>
      </w:r>
      <w:r w:rsidR="00D62ADF" w:rsidRPr="009F3A62">
        <w:rPr>
          <w:lang w:val="id-ID"/>
        </w:rPr>
        <w:t xml:space="preserve"> 2019).</w:t>
      </w:r>
      <w:r w:rsidR="00D62ADF">
        <w:rPr>
          <w:lang w:val="id-ID"/>
        </w:rPr>
        <w:t xml:space="preserve"> </w:t>
      </w:r>
      <w:r w:rsidR="009F3A62" w:rsidRPr="009F3A62">
        <w:rPr>
          <w:lang w:val="id-ID"/>
        </w:rPr>
        <w:t xml:space="preserve">The Problem Based Leaning learning model according to </w:t>
      </w:r>
      <w:r w:rsidR="009F3A62">
        <w:rPr>
          <w:lang w:val="id-ID"/>
        </w:rPr>
        <w:t>Permendikbud</w:t>
      </w:r>
      <w:r w:rsidR="009F3A62" w:rsidRPr="009F3A62">
        <w:rPr>
          <w:lang w:val="id-ID"/>
        </w:rPr>
        <w:t xml:space="preserve"> (2017) provides opportunities for students to find solutions by processing information, so that students can gain new knowledge they have acquired to solve appropriate problems. </w:t>
      </w:r>
      <w:r w:rsidR="00D62ADF" w:rsidRPr="00D62ADF">
        <w:rPr>
          <w:lang w:val="id-ID"/>
        </w:rPr>
        <w:t xml:space="preserve">According to the Ministry of Education and Culture (Kemendikbud, 2017) the stages of learning the PBL model that will be applied in this study </w:t>
      </w:r>
      <w:r w:rsidR="00D62ADF">
        <w:rPr>
          <w:lang w:val="id-ID"/>
        </w:rPr>
        <w:t xml:space="preserve">there are: </w:t>
      </w:r>
      <w:r w:rsidR="00D62ADF" w:rsidRPr="00D62ADF">
        <w:rPr>
          <w:lang w:val="id-ID"/>
        </w:rPr>
        <w:t>(1) Orienting students to the problem is to focus students on observing the problem that is the object of learning.</w:t>
      </w:r>
      <w:r w:rsidR="00D62ADF">
        <w:rPr>
          <w:lang w:val="id-ID"/>
        </w:rPr>
        <w:t xml:space="preserve"> </w:t>
      </w:r>
      <w:r w:rsidR="00D62ADF" w:rsidRPr="00D62ADF">
        <w:rPr>
          <w:lang w:val="id-ID"/>
        </w:rPr>
        <w:t>(2) Organizing learning activities</w:t>
      </w:r>
      <w:r w:rsidR="00D62ADF">
        <w:rPr>
          <w:lang w:val="id-ID"/>
        </w:rPr>
        <w:t xml:space="preserve"> </w:t>
      </w:r>
      <w:r w:rsidR="00D62ADF" w:rsidRPr="00D62ADF">
        <w:rPr>
          <w:lang w:val="id-ID"/>
        </w:rPr>
        <w:t>is one of the activities where students ask questions about the problems being studied.</w:t>
      </w:r>
      <w:r w:rsidR="00D62ADF">
        <w:rPr>
          <w:lang w:val="id-ID"/>
        </w:rPr>
        <w:t xml:space="preserve"> </w:t>
      </w:r>
      <w:r w:rsidR="00D62ADF" w:rsidRPr="00D62ADF">
        <w:rPr>
          <w:lang w:val="id-ID"/>
        </w:rPr>
        <w:t>(3) Guiding independent and group investigations</w:t>
      </w:r>
      <w:r w:rsidR="00D62ADF">
        <w:rPr>
          <w:lang w:val="id-ID"/>
        </w:rPr>
        <w:t xml:space="preserve"> a</w:t>
      </w:r>
      <w:r w:rsidR="00D62ADF" w:rsidRPr="00D62ADF">
        <w:rPr>
          <w:lang w:val="id-ID"/>
        </w:rPr>
        <w:t>t this stage students collect information / conduct experiments to obtain data in order to answer or solve the problem under study.</w:t>
      </w:r>
      <w:r w:rsidR="00D62ADF">
        <w:rPr>
          <w:lang w:val="id-ID"/>
        </w:rPr>
        <w:t xml:space="preserve"> (4) Develop and present the s</w:t>
      </w:r>
      <w:r w:rsidR="00D62ADF" w:rsidRPr="00D62ADF">
        <w:rPr>
          <w:lang w:val="id-ID"/>
        </w:rPr>
        <w:t>tudents associate data found from experiments with various other data from various sources.</w:t>
      </w:r>
      <w:r w:rsidR="00D62ADF">
        <w:rPr>
          <w:lang w:val="id-ID"/>
        </w:rPr>
        <w:t xml:space="preserve"> </w:t>
      </w:r>
      <w:r w:rsidR="00D62ADF" w:rsidRPr="00D62ADF">
        <w:rPr>
          <w:lang w:val="id-ID"/>
        </w:rPr>
        <w:t>(5) Analysis and evaluation of the problem solving process</w:t>
      </w:r>
      <w:r w:rsidR="00D62ADF">
        <w:rPr>
          <w:lang w:val="id-ID"/>
        </w:rPr>
        <w:t xml:space="preserve"> to</w:t>
      </w:r>
      <w:r w:rsidR="00D62ADF" w:rsidRPr="00D62ADF">
        <w:rPr>
          <w:lang w:val="id-ID"/>
        </w:rPr>
        <w:t xml:space="preserve"> get answers to existing problems, then they are analyzed and evaluated.</w:t>
      </w:r>
    </w:p>
    <w:p w14:paraId="0D8DEB1A" w14:textId="77777777" w:rsidR="00A756D4" w:rsidRDefault="00A756D4" w:rsidP="000E0AF9">
      <w:pPr>
        <w:jc w:val="both"/>
        <w:rPr>
          <w:lang w:val="id-ID"/>
        </w:rPr>
      </w:pPr>
    </w:p>
    <w:p w14:paraId="0000000C" w14:textId="51F6C3A2" w:rsidR="00564013" w:rsidRPr="005A7F4F" w:rsidRDefault="00377ECC" w:rsidP="000E0AF9">
      <w:pPr>
        <w:pBdr>
          <w:top w:val="nil"/>
          <w:left w:val="nil"/>
          <w:bottom w:val="nil"/>
          <w:right w:val="nil"/>
          <w:between w:val="nil"/>
        </w:pBdr>
        <w:shd w:val="clear" w:color="auto" w:fill="FFFFFF"/>
        <w:spacing w:before="240" w:after="240"/>
        <w:jc w:val="both"/>
        <w:rPr>
          <w:color w:val="000000"/>
        </w:rPr>
      </w:pPr>
      <w:r w:rsidRPr="005A7F4F">
        <w:rPr>
          <w:b/>
          <w:color w:val="000000"/>
        </w:rPr>
        <w:t>Method</w:t>
      </w:r>
    </w:p>
    <w:p w14:paraId="1AA68404" w14:textId="23A89D50" w:rsidR="00531D63" w:rsidRDefault="00531D63" w:rsidP="000E0AF9">
      <w:pPr>
        <w:jc w:val="both"/>
      </w:pPr>
      <w:r>
        <w:t xml:space="preserve">The type of research used in this research is a combination research (mix method) which emphasizes the collection of quantitative and qualitative data with explanatory sequential type. According to Creswell (2017) grouping four types of research designs commonly used in the pre-experimental design method, namely one-shot case study, one-group pretest-posttest design, post-test only with nonequivalent group and alternative treatment post-test only with nonequivalent </w:t>
      </w:r>
      <w:r>
        <w:lastRenderedPageBreak/>
        <w:t xml:space="preserve">group designs. This study uses a one group pretest-posttest design. Interviews were conducted twice, namely before learning and after using the </w:t>
      </w:r>
      <w:proofErr w:type="spellStart"/>
      <w:r w:rsidR="00AF62B1">
        <w:rPr>
          <w:rFonts w:eastAsiaTheme="majorEastAsia"/>
          <w:color w:val="000000" w:themeColor="text1"/>
        </w:rPr>
        <w:t>PhET</w:t>
      </w:r>
      <w:proofErr w:type="spellEnd"/>
      <w:r w:rsidR="00AF62B1">
        <w:rPr>
          <w:rFonts w:eastAsiaTheme="majorEastAsia"/>
          <w:color w:val="000000" w:themeColor="text1"/>
        </w:rPr>
        <w:t xml:space="preserve"> virtual lab</w:t>
      </w:r>
      <w:r w:rsidR="00AF62B1">
        <w:rPr>
          <w:rFonts w:eastAsiaTheme="majorEastAsia"/>
          <w:color w:val="000000" w:themeColor="text1"/>
          <w:lang w:val="id-ID"/>
        </w:rPr>
        <w:t>oratory</w:t>
      </w:r>
      <w:r>
        <w:t>.</w:t>
      </w:r>
      <w:bookmarkStart w:id="11" w:name="_Hlk50493722"/>
      <w:bookmarkEnd w:id="11"/>
    </w:p>
    <w:p w14:paraId="0000000E" w14:textId="77777777" w:rsidR="00564013" w:rsidRDefault="00377ECC">
      <w:pPr>
        <w:pBdr>
          <w:top w:val="nil"/>
          <w:left w:val="nil"/>
          <w:bottom w:val="nil"/>
          <w:right w:val="nil"/>
          <w:between w:val="nil"/>
        </w:pBdr>
        <w:shd w:val="clear" w:color="auto" w:fill="FFFFFF"/>
        <w:spacing w:before="240" w:after="240"/>
        <w:jc w:val="both"/>
        <w:rPr>
          <w:color w:val="000000"/>
        </w:rPr>
      </w:pPr>
      <w:r>
        <w:rPr>
          <w:b/>
          <w:color w:val="000000"/>
        </w:rPr>
        <w:t>Results and Discussion</w:t>
      </w:r>
    </w:p>
    <w:p w14:paraId="7D1E165B" w14:textId="3E608896" w:rsidR="00225C0A" w:rsidRPr="00C0058C" w:rsidRDefault="00225C0A" w:rsidP="00225C0A">
      <w:pPr>
        <w:autoSpaceDE w:val="0"/>
        <w:autoSpaceDN w:val="0"/>
        <w:adjustRightInd w:val="0"/>
        <w:jc w:val="both"/>
        <w:rPr>
          <w:lang w:val="id-ID"/>
        </w:rPr>
      </w:pPr>
      <w:r>
        <w:rPr>
          <w:lang w:val="id-ID"/>
        </w:rPr>
        <w:t xml:space="preserve">The normality test is a test to find out whether the empirical data obtained from the field is in accordance with a certain theoretical distribution. </w:t>
      </w:r>
    </w:p>
    <w:p w14:paraId="3A180A85" w14:textId="3F5774FD" w:rsidR="00023090" w:rsidRPr="00896001" w:rsidRDefault="00023090" w:rsidP="00023090">
      <w:pPr>
        <w:autoSpaceDE w:val="0"/>
        <w:autoSpaceDN w:val="0"/>
        <w:adjustRightInd w:val="0"/>
      </w:pPr>
    </w:p>
    <w:tbl>
      <w:tblPr>
        <w:tblW w:w="6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001"/>
        <w:gridCol w:w="1001"/>
        <w:gridCol w:w="1000"/>
        <w:gridCol w:w="1000"/>
        <w:gridCol w:w="1000"/>
        <w:gridCol w:w="1000"/>
      </w:tblGrid>
      <w:tr w:rsidR="00023090" w:rsidRPr="00896001" w14:paraId="2585D6DC" w14:textId="77777777" w:rsidTr="00944089">
        <w:trPr>
          <w:cantSplit/>
          <w:jc w:val="center"/>
        </w:trPr>
        <w:tc>
          <w:tcPr>
            <w:tcW w:w="6730" w:type="dxa"/>
            <w:gridSpan w:val="7"/>
            <w:tcBorders>
              <w:top w:val="nil"/>
              <w:left w:val="nil"/>
              <w:bottom w:val="single" w:sz="4" w:space="0" w:color="auto"/>
              <w:right w:val="nil"/>
            </w:tcBorders>
            <w:shd w:val="clear" w:color="auto" w:fill="FFFFFF"/>
          </w:tcPr>
          <w:p w14:paraId="47586775" w14:textId="19F797D0" w:rsidR="00023090" w:rsidRPr="000A011E" w:rsidRDefault="000A011E" w:rsidP="00CE76A7">
            <w:pPr>
              <w:autoSpaceDE w:val="0"/>
              <w:autoSpaceDN w:val="0"/>
              <w:adjustRightInd w:val="0"/>
              <w:spacing w:line="320" w:lineRule="atLeast"/>
              <w:ind w:left="60" w:right="60"/>
              <w:jc w:val="center"/>
              <w:rPr>
                <w:color w:val="000000"/>
              </w:rPr>
            </w:pPr>
            <w:r w:rsidRPr="000A011E">
              <w:rPr>
                <w:bCs/>
                <w:color w:val="000000"/>
              </w:rPr>
              <w:t xml:space="preserve">Table 1. </w:t>
            </w:r>
            <w:r w:rsidR="00023090" w:rsidRPr="000A011E">
              <w:rPr>
                <w:bCs/>
                <w:color w:val="000000"/>
              </w:rPr>
              <w:t>Tests of Normality</w:t>
            </w:r>
          </w:p>
        </w:tc>
      </w:tr>
      <w:tr w:rsidR="00023090" w:rsidRPr="00896001" w14:paraId="78FA3367" w14:textId="77777777" w:rsidTr="00944089">
        <w:trPr>
          <w:cantSplit/>
          <w:jc w:val="center"/>
        </w:trPr>
        <w:tc>
          <w:tcPr>
            <w:tcW w:w="728" w:type="dxa"/>
            <w:vMerge w:val="restart"/>
            <w:tcBorders>
              <w:top w:val="single" w:sz="4" w:space="0" w:color="auto"/>
              <w:left w:val="nil"/>
              <w:bottom w:val="single" w:sz="4" w:space="0" w:color="auto"/>
              <w:right w:val="nil"/>
            </w:tcBorders>
            <w:shd w:val="clear" w:color="auto" w:fill="FFFFFF"/>
          </w:tcPr>
          <w:p w14:paraId="1A908A38" w14:textId="77777777" w:rsidR="00023090" w:rsidRPr="00896001" w:rsidRDefault="00023090" w:rsidP="00CE76A7">
            <w:pPr>
              <w:autoSpaceDE w:val="0"/>
              <w:autoSpaceDN w:val="0"/>
              <w:adjustRightInd w:val="0"/>
            </w:pPr>
          </w:p>
        </w:tc>
        <w:tc>
          <w:tcPr>
            <w:tcW w:w="3002" w:type="dxa"/>
            <w:gridSpan w:val="3"/>
            <w:tcBorders>
              <w:top w:val="single" w:sz="4" w:space="0" w:color="auto"/>
              <w:left w:val="nil"/>
              <w:bottom w:val="single" w:sz="4" w:space="0" w:color="auto"/>
              <w:right w:val="nil"/>
            </w:tcBorders>
            <w:shd w:val="clear" w:color="auto" w:fill="FFFFFF"/>
          </w:tcPr>
          <w:p w14:paraId="36134715"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Kolmogorov-</w:t>
            </w:r>
            <w:proofErr w:type="spellStart"/>
            <w:r w:rsidRPr="000A011E">
              <w:rPr>
                <w:color w:val="000000"/>
              </w:rPr>
              <w:t>Smirnova</w:t>
            </w:r>
            <w:proofErr w:type="spellEnd"/>
          </w:p>
        </w:tc>
        <w:tc>
          <w:tcPr>
            <w:tcW w:w="3000" w:type="dxa"/>
            <w:gridSpan w:val="3"/>
            <w:tcBorders>
              <w:top w:val="single" w:sz="4" w:space="0" w:color="auto"/>
              <w:left w:val="nil"/>
              <w:bottom w:val="single" w:sz="4" w:space="0" w:color="auto"/>
              <w:right w:val="nil"/>
            </w:tcBorders>
            <w:shd w:val="clear" w:color="auto" w:fill="FFFFFF"/>
          </w:tcPr>
          <w:p w14:paraId="1C9AC813"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Shapiro-Wilk</w:t>
            </w:r>
          </w:p>
        </w:tc>
      </w:tr>
      <w:tr w:rsidR="00023090" w:rsidRPr="00896001" w14:paraId="2F3A75FE" w14:textId="77777777" w:rsidTr="00944089">
        <w:trPr>
          <w:cantSplit/>
          <w:jc w:val="center"/>
        </w:trPr>
        <w:tc>
          <w:tcPr>
            <w:tcW w:w="728" w:type="dxa"/>
            <w:vMerge/>
            <w:tcBorders>
              <w:top w:val="single" w:sz="4" w:space="0" w:color="auto"/>
              <w:left w:val="nil"/>
              <w:bottom w:val="single" w:sz="4" w:space="0" w:color="auto"/>
              <w:right w:val="nil"/>
            </w:tcBorders>
            <w:shd w:val="clear" w:color="auto" w:fill="FFFFFF"/>
          </w:tcPr>
          <w:p w14:paraId="3192E098" w14:textId="77777777" w:rsidR="00023090" w:rsidRPr="00896001" w:rsidRDefault="00023090" w:rsidP="00CE76A7">
            <w:pPr>
              <w:autoSpaceDE w:val="0"/>
              <w:autoSpaceDN w:val="0"/>
              <w:adjustRightInd w:val="0"/>
              <w:rPr>
                <w:rFonts w:ascii="Arial" w:hAnsi="Arial" w:cs="Arial"/>
                <w:color w:val="000000"/>
                <w:sz w:val="18"/>
                <w:szCs w:val="18"/>
              </w:rPr>
            </w:pPr>
          </w:p>
        </w:tc>
        <w:tc>
          <w:tcPr>
            <w:tcW w:w="1001" w:type="dxa"/>
            <w:tcBorders>
              <w:top w:val="single" w:sz="4" w:space="0" w:color="auto"/>
              <w:left w:val="nil"/>
              <w:bottom w:val="single" w:sz="4" w:space="0" w:color="auto"/>
              <w:right w:val="nil"/>
            </w:tcBorders>
            <w:shd w:val="clear" w:color="auto" w:fill="FFFFFF"/>
          </w:tcPr>
          <w:p w14:paraId="6ABEE987"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Statistics</w:t>
            </w:r>
          </w:p>
        </w:tc>
        <w:tc>
          <w:tcPr>
            <w:tcW w:w="1001" w:type="dxa"/>
            <w:tcBorders>
              <w:top w:val="single" w:sz="4" w:space="0" w:color="auto"/>
              <w:left w:val="nil"/>
              <w:bottom w:val="single" w:sz="4" w:space="0" w:color="auto"/>
              <w:right w:val="nil"/>
            </w:tcBorders>
            <w:shd w:val="clear" w:color="auto" w:fill="FFFFFF"/>
          </w:tcPr>
          <w:p w14:paraId="3911D6BB" w14:textId="77777777" w:rsidR="00023090" w:rsidRPr="000A011E" w:rsidRDefault="00023090" w:rsidP="00CE76A7">
            <w:pPr>
              <w:autoSpaceDE w:val="0"/>
              <w:autoSpaceDN w:val="0"/>
              <w:adjustRightInd w:val="0"/>
              <w:spacing w:line="320" w:lineRule="atLeast"/>
              <w:ind w:left="60" w:right="60"/>
              <w:jc w:val="center"/>
              <w:rPr>
                <w:color w:val="000000"/>
              </w:rPr>
            </w:pPr>
            <w:proofErr w:type="spellStart"/>
            <w:r w:rsidRPr="000A011E">
              <w:rPr>
                <w:color w:val="000000"/>
              </w:rPr>
              <w:t>df</w:t>
            </w:r>
            <w:proofErr w:type="spellEnd"/>
          </w:p>
        </w:tc>
        <w:tc>
          <w:tcPr>
            <w:tcW w:w="1000" w:type="dxa"/>
            <w:tcBorders>
              <w:top w:val="single" w:sz="4" w:space="0" w:color="auto"/>
              <w:left w:val="nil"/>
              <w:bottom w:val="single" w:sz="4" w:space="0" w:color="auto"/>
              <w:right w:val="nil"/>
            </w:tcBorders>
            <w:shd w:val="clear" w:color="auto" w:fill="FFFFFF"/>
          </w:tcPr>
          <w:p w14:paraId="7C6792FB"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Sig.</w:t>
            </w:r>
          </w:p>
        </w:tc>
        <w:tc>
          <w:tcPr>
            <w:tcW w:w="1000" w:type="dxa"/>
            <w:tcBorders>
              <w:top w:val="single" w:sz="4" w:space="0" w:color="auto"/>
              <w:left w:val="nil"/>
              <w:bottom w:val="single" w:sz="4" w:space="0" w:color="auto"/>
              <w:right w:val="nil"/>
            </w:tcBorders>
            <w:shd w:val="clear" w:color="auto" w:fill="FFFFFF"/>
          </w:tcPr>
          <w:p w14:paraId="2C7E993A"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Statistics</w:t>
            </w:r>
          </w:p>
        </w:tc>
        <w:tc>
          <w:tcPr>
            <w:tcW w:w="1000" w:type="dxa"/>
            <w:tcBorders>
              <w:top w:val="single" w:sz="4" w:space="0" w:color="auto"/>
              <w:left w:val="nil"/>
              <w:bottom w:val="single" w:sz="4" w:space="0" w:color="auto"/>
              <w:right w:val="nil"/>
            </w:tcBorders>
            <w:shd w:val="clear" w:color="auto" w:fill="FFFFFF"/>
          </w:tcPr>
          <w:p w14:paraId="0FC90B3B" w14:textId="77777777" w:rsidR="00023090" w:rsidRPr="000A011E" w:rsidRDefault="00023090" w:rsidP="00CE76A7">
            <w:pPr>
              <w:autoSpaceDE w:val="0"/>
              <w:autoSpaceDN w:val="0"/>
              <w:adjustRightInd w:val="0"/>
              <w:spacing w:line="320" w:lineRule="atLeast"/>
              <w:ind w:left="60" w:right="60"/>
              <w:jc w:val="center"/>
              <w:rPr>
                <w:color w:val="000000"/>
              </w:rPr>
            </w:pPr>
            <w:proofErr w:type="spellStart"/>
            <w:r w:rsidRPr="000A011E">
              <w:rPr>
                <w:color w:val="000000"/>
              </w:rPr>
              <w:t>df</w:t>
            </w:r>
            <w:proofErr w:type="spellEnd"/>
          </w:p>
        </w:tc>
        <w:tc>
          <w:tcPr>
            <w:tcW w:w="1000" w:type="dxa"/>
            <w:tcBorders>
              <w:top w:val="single" w:sz="4" w:space="0" w:color="auto"/>
              <w:left w:val="nil"/>
              <w:bottom w:val="single" w:sz="4" w:space="0" w:color="auto"/>
              <w:right w:val="nil"/>
            </w:tcBorders>
            <w:shd w:val="clear" w:color="auto" w:fill="FFFFFF"/>
          </w:tcPr>
          <w:p w14:paraId="2EC0A303" w14:textId="77777777" w:rsidR="00023090" w:rsidRPr="000A011E" w:rsidRDefault="00023090" w:rsidP="00CE76A7">
            <w:pPr>
              <w:autoSpaceDE w:val="0"/>
              <w:autoSpaceDN w:val="0"/>
              <w:adjustRightInd w:val="0"/>
              <w:spacing w:line="320" w:lineRule="atLeast"/>
              <w:ind w:left="60" w:right="60"/>
              <w:jc w:val="center"/>
              <w:rPr>
                <w:color w:val="000000"/>
              </w:rPr>
            </w:pPr>
            <w:r w:rsidRPr="000A011E">
              <w:rPr>
                <w:color w:val="000000"/>
              </w:rPr>
              <w:t>Sig.</w:t>
            </w:r>
          </w:p>
        </w:tc>
      </w:tr>
      <w:tr w:rsidR="00023090" w:rsidRPr="00896001" w14:paraId="4C6C39C3" w14:textId="77777777" w:rsidTr="00944089">
        <w:trPr>
          <w:cantSplit/>
          <w:jc w:val="center"/>
        </w:trPr>
        <w:tc>
          <w:tcPr>
            <w:tcW w:w="728" w:type="dxa"/>
            <w:tcBorders>
              <w:top w:val="single" w:sz="4" w:space="0" w:color="auto"/>
              <w:left w:val="nil"/>
              <w:bottom w:val="nil"/>
              <w:right w:val="nil"/>
            </w:tcBorders>
            <w:shd w:val="clear" w:color="auto" w:fill="FFFFFF"/>
            <w:vAlign w:val="center"/>
          </w:tcPr>
          <w:p w14:paraId="70CD6B2F" w14:textId="77777777" w:rsidR="00023090" w:rsidRPr="00896001" w:rsidRDefault="00023090" w:rsidP="00CE76A7">
            <w:pPr>
              <w:autoSpaceDE w:val="0"/>
              <w:autoSpaceDN w:val="0"/>
              <w:adjustRightInd w:val="0"/>
              <w:spacing w:line="320" w:lineRule="atLeast"/>
              <w:ind w:left="60" w:right="60"/>
              <w:rPr>
                <w:rFonts w:ascii="Arial" w:hAnsi="Arial" w:cs="Arial"/>
                <w:color w:val="000000"/>
                <w:sz w:val="18"/>
                <w:szCs w:val="18"/>
              </w:rPr>
            </w:pPr>
            <w:r w:rsidRPr="00896001">
              <w:rPr>
                <w:rFonts w:ascii="Arial" w:hAnsi="Arial" w:cs="Arial"/>
                <w:color w:val="000000"/>
                <w:sz w:val="18"/>
                <w:szCs w:val="18"/>
              </w:rPr>
              <w:t>A7</w:t>
            </w:r>
          </w:p>
        </w:tc>
        <w:tc>
          <w:tcPr>
            <w:tcW w:w="1001" w:type="dxa"/>
            <w:tcBorders>
              <w:top w:val="single" w:sz="4" w:space="0" w:color="auto"/>
              <w:left w:val="nil"/>
              <w:bottom w:val="nil"/>
              <w:right w:val="nil"/>
            </w:tcBorders>
            <w:shd w:val="clear" w:color="auto" w:fill="FFFFFF"/>
          </w:tcPr>
          <w:p w14:paraId="1395E915" w14:textId="2CCEB5C0"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commentRangeStart w:id="12"/>
            <w:r w:rsidR="00023090" w:rsidRPr="00E16FDD">
              <w:rPr>
                <w:color w:val="000000"/>
              </w:rPr>
              <w:t>.083</w:t>
            </w:r>
          </w:p>
        </w:tc>
        <w:tc>
          <w:tcPr>
            <w:tcW w:w="1001" w:type="dxa"/>
            <w:tcBorders>
              <w:top w:val="single" w:sz="4" w:space="0" w:color="auto"/>
              <w:left w:val="nil"/>
              <w:bottom w:val="nil"/>
              <w:right w:val="nil"/>
            </w:tcBorders>
            <w:shd w:val="clear" w:color="auto" w:fill="FFFFFF"/>
          </w:tcPr>
          <w:p w14:paraId="791B799B" w14:textId="77777777" w:rsidR="00023090" w:rsidRPr="00E16FDD" w:rsidRDefault="00023090" w:rsidP="00CE76A7">
            <w:pPr>
              <w:autoSpaceDE w:val="0"/>
              <w:autoSpaceDN w:val="0"/>
              <w:adjustRightInd w:val="0"/>
              <w:spacing w:line="320" w:lineRule="atLeast"/>
              <w:ind w:left="60" w:right="60"/>
              <w:jc w:val="right"/>
              <w:rPr>
                <w:color w:val="000000"/>
              </w:rPr>
            </w:pPr>
            <w:r w:rsidRPr="00E16FDD">
              <w:rPr>
                <w:color w:val="000000"/>
              </w:rPr>
              <w:t>30</w:t>
            </w:r>
          </w:p>
        </w:tc>
        <w:tc>
          <w:tcPr>
            <w:tcW w:w="1000" w:type="dxa"/>
            <w:tcBorders>
              <w:top w:val="single" w:sz="4" w:space="0" w:color="auto"/>
              <w:left w:val="nil"/>
              <w:bottom w:val="nil"/>
              <w:right w:val="nil"/>
            </w:tcBorders>
            <w:shd w:val="clear" w:color="auto" w:fill="FFFFFF"/>
          </w:tcPr>
          <w:p w14:paraId="2E152B3E" w14:textId="78037DFA" w:rsidR="00023090" w:rsidRPr="00E16FDD" w:rsidRDefault="00E16FDD" w:rsidP="000A011E">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.200</w:t>
            </w:r>
          </w:p>
        </w:tc>
        <w:tc>
          <w:tcPr>
            <w:tcW w:w="1000" w:type="dxa"/>
            <w:tcBorders>
              <w:top w:val="single" w:sz="4" w:space="0" w:color="auto"/>
              <w:left w:val="nil"/>
              <w:bottom w:val="nil"/>
              <w:right w:val="nil"/>
            </w:tcBorders>
            <w:shd w:val="clear" w:color="auto" w:fill="FFFFFF"/>
          </w:tcPr>
          <w:p w14:paraId="7D28ADC8" w14:textId="0B8BD280"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.969</w:t>
            </w:r>
          </w:p>
        </w:tc>
        <w:tc>
          <w:tcPr>
            <w:tcW w:w="1000" w:type="dxa"/>
            <w:tcBorders>
              <w:top w:val="single" w:sz="4" w:space="0" w:color="auto"/>
              <w:left w:val="nil"/>
              <w:bottom w:val="nil"/>
              <w:right w:val="nil"/>
            </w:tcBorders>
            <w:shd w:val="clear" w:color="auto" w:fill="FFFFFF"/>
          </w:tcPr>
          <w:p w14:paraId="1C9FBDB5" w14:textId="77777777" w:rsidR="00023090" w:rsidRPr="00E16FDD" w:rsidRDefault="00023090" w:rsidP="00CE76A7">
            <w:pPr>
              <w:autoSpaceDE w:val="0"/>
              <w:autoSpaceDN w:val="0"/>
              <w:adjustRightInd w:val="0"/>
              <w:spacing w:line="320" w:lineRule="atLeast"/>
              <w:ind w:left="60" w:right="60"/>
              <w:jc w:val="right"/>
              <w:rPr>
                <w:color w:val="000000"/>
              </w:rPr>
            </w:pPr>
            <w:r w:rsidRPr="00E16FDD">
              <w:rPr>
                <w:color w:val="000000"/>
              </w:rPr>
              <w:t>30</w:t>
            </w:r>
          </w:p>
        </w:tc>
        <w:tc>
          <w:tcPr>
            <w:tcW w:w="1000" w:type="dxa"/>
            <w:tcBorders>
              <w:top w:val="single" w:sz="4" w:space="0" w:color="auto"/>
              <w:left w:val="nil"/>
              <w:bottom w:val="nil"/>
              <w:right w:val="nil"/>
            </w:tcBorders>
            <w:shd w:val="clear" w:color="auto" w:fill="FFFFFF"/>
          </w:tcPr>
          <w:p w14:paraId="373D7988" w14:textId="2807DE20"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.525</w:t>
            </w:r>
            <w:commentRangeEnd w:id="12"/>
            <w:r w:rsidR="007A0D5E" w:rsidRPr="00E16FDD">
              <w:rPr>
                <w:rStyle w:val="CommentReference"/>
              </w:rPr>
              <w:commentReference w:id="12"/>
            </w:r>
          </w:p>
        </w:tc>
      </w:tr>
      <w:tr w:rsidR="00023090" w:rsidRPr="00896001" w14:paraId="43C7445F" w14:textId="77777777" w:rsidTr="00944089">
        <w:trPr>
          <w:cantSplit/>
          <w:jc w:val="center"/>
        </w:trPr>
        <w:tc>
          <w:tcPr>
            <w:tcW w:w="728" w:type="dxa"/>
            <w:tcBorders>
              <w:top w:val="nil"/>
              <w:left w:val="nil"/>
              <w:bottom w:val="single" w:sz="4" w:space="0" w:color="auto"/>
              <w:right w:val="nil"/>
            </w:tcBorders>
            <w:shd w:val="clear" w:color="auto" w:fill="FFFFFF"/>
            <w:vAlign w:val="center"/>
          </w:tcPr>
          <w:p w14:paraId="6EF0C222" w14:textId="77777777" w:rsidR="00023090" w:rsidRPr="00896001" w:rsidRDefault="00023090" w:rsidP="00CE76A7">
            <w:pPr>
              <w:autoSpaceDE w:val="0"/>
              <w:autoSpaceDN w:val="0"/>
              <w:adjustRightInd w:val="0"/>
              <w:spacing w:line="320" w:lineRule="atLeast"/>
              <w:ind w:left="60" w:right="60"/>
              <w:rPr>
                <w:rFonts w:ascii="Arial" w:hAnsi="Arial" w:cs="Arial"/>
                <w:color w:val="000000"/>
                <w:sz w:val="18"/>
                <w:szCs w:val="18"/>
              </w:rPr>
            </w:pPr>
            <w:r w:rsidRPr="00896001">
              <w:rPr>
                <w:rFonts w:ascii="Arial" w:hAnsi="Arial" w:cs="Arial"/>
                <w:color w:val="000000"/>
                <w:sz w:val="18"/>
                <w:szCs w:val="18"/>
              </w:rPr>
              <w:t>A8</w:t>
            </w:r>
          </w:p>
        </w:tc>
        <w:tc>
          <w:tcPr>
            <w:tcW w:w="1001" w:type="dxa"/>
            <w:tcBorders>
              <w:top w:val="nil"/>
              <w:left w:val="nil"/>
              <w:bottom w:val="single" w:sz="4" w:space="0" w:color="auto"/>
              <w:right w:val="nil"/>
            </w:tcBorders>
            <w:shd w:val="clear" w:color="auto" w:fill="FFFFFF"/>
          </w:tcPr>
          <w:p w14:paraId="25547974" w14:textId="111F476B"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.158</w:t>
            </w:r>
          </w:p>
        </w:tc>
        <w:tc>
          <w:tcPr>
            <w:tcW w:w="1001" w:type="dxa"/>
            <w:tcBorders>
              <w:top w:val="nil"/>
              <w:left w:val="nil"/>
              <w:bottom w:val="single" w:sz="4" w:space="0" w:color="auto"/>
              <w:right w:val="nil"/>
            </w:tcBorders>
            <w:shd w:val="clear" w:color="auto" w:fill="FFFFFF"/>
          </w:tcPr>
          <w:p w14:paraId="34C42E95" w14:textId="77777777" w:rsidR="00023090" w:rsidRPr="00E16FDD" w:rsidRDefault="00023090" w:rsidP="00CE76A7">
            <w:pPr>
              <w:autoSpaceDE w:val="0"/>
              <w:autoSpaceDN w:val="0"/>
              <w:adjustRightInd w:val="0"/>
              <w:spacing w:line="320" w:lineRule="atLeast"/>
              <w:ind w:left="60" w:right="60"/>
              <w:jc w:val="right"/>
              <w:rPr>
                <w:color w:val="000000"/>
              </w:rPr>
            </w:pPr>
            <w:r w:rsidRPr="00E16FDD">
              <w:rPr>
                <w:color w:val="000000"/>
              </w:rPr>
              <w:t>30</w:t>
            </w:r>
          </w:p>
        </w:tc>
        <w:tc>
          <w:tcPr>
            <w:tcW w:w="1000" w:type="dxa"/>
            <w:tcBorders>
              <w:top w:val="nil"/>
              <w:left w:val="nil"/>
              <w:bottom w:val="single" w:sz="4" w:space="0" w:color="auto"/>
              <w:right w:val="nil"/>
            </w:tcBorders>
            <w:shd w:val="clear" w:color="auto" w:fill="FFFFFF"/>
          </w:tcPr>
          <w:p w14:paraId="653BE2FE" w14:textId="3904E32C"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.054</w:t>
            </w:r>
          </w:p>
        </w:tc>
        <w:tc>
          <w:tcPr>
            <w:tcW w:w="1000" w:type="dxa"/>
            <w:tcBorders>
              <w:top w:val="nil"/>
              <w:left w:val="nil"/>
              <w:bottom w:val="single" w:sz="4" w:space="0" w:color="auto"/>
              <w:right w:val="nil"/>
            </w:tcBorders>
            <w:shd w:val="clear" w:color="auto" w:fill="FFFFFF"/>
          </w:tcPr>
          <w:p w14:paraId="45801472" w14:textId="0E171EDE"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.917</w:t>
            </w:r>
          </w:p>
        </w:tc>
        <w:tc>
          <w:tcPr>
            <w:tcW w:w="1000" w:type="dxa"/>
            <w:tcBorders>
              <w:top w:val="nil"/>
              <w:left w:val="nil"/>
              <w:bottom w:val="single" w:sz="4" w:space="0" w:color="auto"/>
              <w:right w:val="nil"/>
            </w:tcBorders>
            <w:shd w:val="clear" w:color="auto" w:fill="FFFFFF"/>
          </w:tcPr>
          <w:p w14:paraId="5D9D4203" w14:textId="77777777" w:rsidR="00023090" w:rsidRPr="00E16FDD" w:rsidRDefault="00023090" w:rsidP="00CE76A7">
            <w:pPr>
              <w:autoSpaceDE w:val="0"/>
              <w:autoSpaceDN w:val="0"/>
              <w:adjustRightInd w:val="0"/>
              <w:spacing w:line="320" w:lineRule="atLeast"/>
              <w:ind w:left="60" w:right="60"/>
              <w:jc w:val="right"/>
              <w:rPr>
                <w:color w:val="000000"/>
              </w:rPr>
            </w:pPr>
            <w:r w:rsidRPr="00E16FDD">
              <w:rPr>
                <w:color w:val="000000"/>
              </w:rPr>
              <w:t>30</w:t>
            </w:r>
          </w:p>
        </w:tc>
        <w:tc>
          <w:tcPr>
            <w:tcW w:w="1000" w:type="dxa"/>
            <w:tcBorders>
              <w:top w:val="nil"/>
              <w:left w:val="nil"/>
              <w:bottom w:val="single" w:sz="4" w:space="0" w:color="auto"/>
              <w:right w:val="nil"/>
            </w:tcBorders>
            <w:shd w:val="clear" w:color="auto" w:fill="FFFFFF"/>
          </w:tcPr>
          <w:p w14:paraId="74FA5CCE" w14:textId="50E1434C" w:rsidR="00023090" w:rsidRPr="00E16FDD" w:rsidRDefault="00E16FDD" w:rsidP="00CE76A7">
            <w:pPr>
              <w:autoSpaceDE w:val="0"/>
              <w:autoSpaceDN w:val="0"/>
              <w:adjustRightInd w:val="0"/>
              <w:spacing w:line="320" w:lineRule="atLeast"/>
              <w:ind w:left="60" w:right="60"/>
              <w:jc w:val="right"/>
              <w:rPr>
                <w:color w:val="000000"/>
              </w:rPr>
            </w:pPr>
            <w:r>
              <w:rPr>
                <w:color w:val="000000"/>
                <w:lang w:val="id-ID"/>
              </w:rPr>
              <w:t>0</w:t>
            </w:r>
            <w:r w:rsidR="00023090" w:rsidRPr="00E16FDD">
              <w:rPr>
                <w:color w:val="000000"/>
              </w:rPr>
              <w:t>.022</w:t>
            </w:r>
          </w:p>
        </w:tc>
      </w:tr>
    </w:tbl>
    <w:p w14:paraId="07269A26" w14:textId="48479DC9" w:rsidR="00CF39D1" w:rsidRDefault="00CF39D1" w:rsidP="00023090">
      <w:pPr>
        <w:autoSpaceDE w:val="0"/>
        <w:autoSpaceDN w:val="0"/>
        <w:adjustRightInd w:val="0"/>
      </w:pPr>
    </w:p>
    <w:p w14:paraId="6EF463CA" w14:textId="559594B1" w:rsidR="00CF39D1" w:rsidRDefault="00CF39D1" w:rsidP="00023090">
      <w:pPr>
        <w:autoSpaceDE w:val="0"/>
        <w:autoSpaceDN w:val="0"/>
        <w:adjustRightInd w:val="0"/>
      </w:pPr>
    </w:p>
    <w:p w14:paraId="4947E6D9" w14:textId="677AD620" w:rsidR="00CF39D1" w:rsidRDefault="00944089" w:rsidP="00944089">
      <w:pPr>
        <w:autoSpaceDE w:val="0"/>
        <w:autoSpaceDN w:val="0"/>
        <w:adjustRightInd w:val="0"/>
        <w:jc w:val="both"/>
      </w:pPr>
      <w:r>
        <w:rPr>
          <w:lang w:val="id-ID"/>
        </w:rPr>
        <w:t>The results of the Test of Normality in Table 1. output in the Kolmogorov-Smirnov column obtained a sig value of 0.200 in the experimental class and 0.054 in the control class. The data obtained sig value&gt; 5%, then accept H</w:t>
      </w:r>
      <w:r w:rsidRPr="00C21172">
        <w:rPr>
          <w:vertAlign w:val="subscript"/>
          <w:lang w:val="id-ID"/>
        </w:rPr>
        <w:t>0</w:t>
      </w:r>
      <w:r>
        <w:rPr>
          <w:vertAlign w:val="subscript"/>
          <w:lang w:val="id-ID"/>
        </w:rPr>
        <w:softHyphen/>
      </w:r>
      <w:r>
        <w:rPr>
          <w:lang w:val="id-ID"/>
        </w:rPr>
        <w:t xml:space="preserve"> accepted, which means that the experimental class and the control class are normally distributed.</w:t>
      </w:r>
    </w:p>
    <w:p w14:paraId="285166CC" w14:textId="2A183A0B" w:rsidR="00CF39D1" w:rsidRDefault="00944089" w:rsidP="00023090">
      <w:pPr>
        <w:autoSpaceDE w:val="0"/>
        <w:autoSpaceDN w:val="0"/>
        <w:adjustRightInd w:val="0"/>
      </w:pPr>
      <w:r>
        <w:rPr>
          <w:noProof/>
          <w:lang w:val="id-ID" w:eastAsia="id-ID"/>
        </w:rPr>
        <w:drawing>
          <wp:anchor distT="0" distB="0" distL="114300" distR="114300" simplePos="0" relativeHeight="251658240" behindDoc="0" locked="0" layoutInCell="1" allowOverlap="1" wp14:anchorId="3DF73337" wp14:editId="1F89E41E">
            <wp:simplePos x="0" y="0"/>
            <wp:positionH relativeFrom="margin">
              <wp:posOffset>114300</wp:posOffset>
            </wp:positionH>
            <wp:positionV relativeFrom="paragraph">
              <wp:posOffset>102235</wp:posOffset>
            </wp:positionV>
            <wp:extent cx="2828925" cy="226125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22612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7A9D" w14:textId="1AC59CAC" w:rsidR="00944089" w:rsidRDefault="00944089" w:rsidP="00023090">
      <w:pPr>
        <w:autoSpaceDE w:val="0"/>
        <w:autoSpaceDN w:val="0"/>
        <w:adjustRightInd w:val="0"/>
      </w:pPr>
      <w:r>
        <w:rPr>
          <w:noProof/>
          <w:lang w:val="id-ID" w:eastAsia="id-ID"/>
        </w:rPr>
        <w:drawing>
          <wp:anchor distT="0" distB="0" distL="114300" distR="114300" simplePos="0" relativeHeight="251659264" behindDoc="0" locked="0" layoutInCell="1" allowOverlap="1" wp14:anchorId="22322DCD" wp14:editId="30BEB5A5">
            <wp:simplePos x="0" y="0"/>
            <wp:positionH relativeFrom="margin">
              <wp:posOffset>3038475</wp:posOffset>
            </wp:positionH>
            <wp:positionV relativeFrom="paragraph">
              <wp:posOffset>12700</wp:posOffset>
            </wp:positionV>
            <wp:extent cx="2797810" cy="22364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810" cy="223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DD5F1" w14:textId="7C915D9C" w:rsidR="00944089" w:rsidRDefault="00944089" w:rsidP="00023090">
      <w:pPr>
        <w:autoSpaceDE w:val="0"/>
        <w:autoSpaceDN w:val="0"/>
        <w:adjustRightInd w:val="0"/>
      </w:pPr>
    </w:p>
    <w:p w14:paraId="5E355099" w14:textId="3828B9FB" w:rsidR="00944089" w:rsidRDefault="00944089" w:rsidP="00023090">
      <w:pPr>
        <w:autoSpaceDE w:val="0"/>
        <w:autoSpaceDN w:val="0"/>
        <w:adjustRightInd w:val="0"/>
      </w:pPr>
    </w:p>
    <w:p w14:paraId="3E61D373" w14:textId="19C2E0C1" w:rsidR="00944089" w:rsidRDefault="00944089" w:rsidP="00023090">
      <w:pPr>
        <w:autoSpaceDE w:val="0"/>
        <w:autoSpaceDN w:val="0"/>
        <w:adjustRightInd w:val="0"/>
      </w:pPr>
    </w:p>
    <w:p w14:paraId="49F9C2C3" w14:textId="6B720B39" w:rsidR="00944089" w:rsidRDefault="00944089" w:rsidP="00023090">
      <w:pPr>
        <w:autoSpaceDE w:val="0"/>
        <w:autoSpaceDN w:val="0"/>
        <w:adjustRightInd w:val="0"/>
      </w:pPr>
    </w:p>
    <w:p w14:paraId="55E16664" w14:textId="06DEA4D9" w:rsidR="00CF39D1" w:rsidRDefault="00CF39D1" w:rsidP="00023090">
      <w:pPr>
        <w:autoSpaceDE w:val="0"/>
        <w:autoSpaceDN w:val="0"/>
        <w:adjustRightInd w:val="0"/>
      </w:pPr>
    </w:p>
    <w:p w14:paraId="4321F2B4" w14:textId="50D9FFCC" w:rsidR="00CF39D1" w:rsidRDefault="00CF39D1" w:rsidP="00023090">
      <w:pPr>
        <w:autoSpaceDE w:val="0"/>
        <w:autoSpaceDN w:val="0"/>
        <w:adjustRightInd w:val="0"/>
      </w:pPr>
    </w:p>
    <w:p w14:paraId="0868BE35" w14:textId="77777777" w:rsidR="00CF39D1" w:rsidRDefault="00CF39D1" w:rsidP="00023090">
      <w:pPr>
        <w:autoSpaceDE w:val="0"/>
        <w:autoSpaceDN w:val="0"/>
        <w:adjustRightInd w:val="0"/>
      </w:pPr>
    </w:p>
    <w:p w14:paraId="204A1830" w14:textId="77777777" w:rsidR="00944089" w:rsidRDefault="00944089" w:rsidP="00023090">
      <w:pPr>
        <w:autoSpaceDE w:val="0"/>
        <w:autoSpaceDN w:val="0"/>
        <w:adjustRightInd w:val="0"/>
      </w:pPr>
    </w:p>
    <w:p w14:paraId="70B0FF0B" w14:textId="77777777" w:rsidR="00944089" w:rsidRDefault="00944089" w:rsidP="00023090">
      <w:pPr>
        <w:autoSpaceDE w:val="0"/>
        <w:autoSpaceDN w:val="0"/>
        <w:adjustRightInd w:val="0"/>
      </w:pPr>
    </w:p>
    <w:p w14:paraId="30A5413B" w14:textId="77777777" w:rsidR="00CF39D1" w:rsidRDefault="00CF39D1" w:rsidP="00023090">
      <w:pPr>
        <w:autoSpaceDE w:val="0"/>
        <w:autoSpaceDN w:val="0"/>
        <w:adjustRightInd w:val="0"/>
      </w:pPr>
    </w:p>
    <w:p w14:paraId="036005A0" w14:textId="77777777" w:rsidR="00944089" w:rsidRDefault="00944089" w:rsidP="00023090">
      <w:pPr>
        <w:autoSpaceDE w:val="0"/>
        <w:autoSpaceDN w:val="0"/>
        <w:adjustRightInd w:val="0"/>
      </w:pPr>
    </w:p>
    <w:p w14:paraId="1FFEDBA1" w14:textId="684A3AEB" w:rsidR="00023090" w:rsidRDefault="00023090" w:rsidP="00023090">
      <w:pPr>
        <w:autoSpaceDE w:val="0"/>
        <w:autoSpaceDN w:val="0"/>
        <w:adjustRightInd w:val="0"/>
        <w:spacing w:line="400" w:lineRule="atLeast"/>
      </w:pPr>
    </w:p>
    <w:p w14:paraId="0F3C7DB7" w14:textId="77C61F2C" w:rsidR="00023090" w:rsidRPr="00CF39D1" w:rsidRDefault="00CF39D1" w:rsidP="000E0AF9">
      <w:pPr>
        <w:autoSpaceDE w:val="0"/>
        <w:autoSpaceDN w:val="0"/>
        <w:adjustRightInd w:val="0"/>
        <w:jc w:val="center"/>
        <w:rPr>
          <w:lang w:val="id-ID"/>
        </w:rPr>
      </w:pPr>
      <w:r>
        <w:rPr>
          <w:lang w:val="id-ID"/>
        </w:rPr>
        <w:t>Figure 1. Normally plot</w:t>
      </w:r>
    </w:p>
    <w:p w14:paraId="1EAFA13C" w14:textId="77777777" w:rsidR="00023090" w:rsidRDefault="00023090" w:rsidP="00023090">
      <w:pPr>
        <w:autoSpaceDE w:val="0"/>
        <w:autoSpaceDN w:val="0"/>
        <w:adjustRightInd w:val="0"/>
      </w:pPr>
    </w:p>
    <w:p w14:paraId="06A6E5C1" w14:textId="77777777" w:rsidR="00CF39D1" w:rsidRDefault="00CF39D1" w:rsidP="00CF39D1">
      <w:pPr>
        <w:autoSpaceDE w:val="0"/>
        <w:autoSpaceDN w:val="0"/>
        <w:adjustRightInd w:val="0"/>
        <w:jc w:val="both"/>
        <w:rPr>
          <w:lang w:val="id-ID"/>
        </w:rPr>
      </w:pPr>
      <w:r>
        <w:rPr>
          <w:lang w:val="id-ID"/>
        </w:rPr>
        <w:t>According to</w:t>
      </w:r>
      <w:r w:rsidRPr="00CF39D1">
        <w:rPr>
          <w:lang w:val="id-ID"/>
        </w:rPr>
        <w:t xml:space="preserve"> figure 1</w:t>
      </w:r>
      <w:r>
        <w:rPr>
          <w:lang w:val="id-ID"/>
        </w:rPr>
        <w:t>.</w:t>
      </w:r>
      <w:r w:rsidRPr="00CF39D1">
        <w:rPr>
          <w:lang w:val="id-ID"/>
        </w:rPr>
        <w:t xml:space="preserve"> the results of the normal plot shown by the two images are normally distributed because the normal line is close to the test results points in the two classes</w:t>
      </w:r>
      <w:r>
        <w:rPr>
          <w:lang w:val="id-ID"/>
        </w:rPr>
        <w:t>.</w:t>
      </w:r>
    </w:p>
    <w:p w14:paraId="74416824" w14:textId="77777777" w:rsidR="00CF39D1" w:rsidRDefault="00CF39D1" w:rsidP="00CF39D1">
      <w:pPr>
        <w:autoSpaceDE w:val="0"/>
        <w:autoSpaceDN w:val="0"/>
        <w:adjustRightInd w:val="0"/>
        <w:jc w:val="both"/>
        <w:rPr>
          <w:lang w:val="id-ID"/>
        </w:rPr>
      </w:pPr>
    </w:p>
    <w:p w14:paraId="24B86647" w14:textId="7FCE2431" w:rsidR="00225C0A" w:rsidRDefault="00225C0A" w:rsidP="00CF39D1">
      <w:pPr>
        <w:autoSpaceDE w:val="0"/>
        <w:autoSpaceDN w:val="0"/>
        <w:adjustRightInd w:val="0"/>
        <w:jc w:val="both"/>
        <w:rPr>
          <w:lang w:val="id-ID"/>
        </w:rPr>
      </w:pPr>
      <w:r>
        <w:rPr>
          <w:lang w:val="id-ID"/>
        </w:rPr>
        <w:t xml:space="preserve">Homogeneity test is a test of whether or not the variances of two or more distributions are equal. Homogeneity of variance test is very necessary before comparing two or more groups, so that the differences are not caused by differences in the basic data (inhomogeneity of the compared groups. </w:t>
      </w:r>
    </w:p>
    <w:p w14:paraId="1D1ED216" w14:textId="77777777" w:rsidR="00023090" w:rsidRDefault="00023090" w:rsidP="00023090">
      <w:pPr>
        <w:autoSpaceDE w:val="0"/>
        <w:autoSpaceDN w:val="0"/>
        <w:adjustRightInd w:val="0"/>
      </w:pPr>
    </w:p>
    <w:p w14:paraId="05BE9272" w14:textId="77777777" w:rsidR="00793693" w:rsidRDefault="00793693" w:rsidP="00023090">
      <w:pPr>
        <w:autoSpaceDE w:val="0"/>
        <w:autoSpaceDN w:val="0"/>
        <w:adjustRightInd w:val="0"/>
      </w:pPr>
    </w:p>
    <w:p w14:paraId="7B04C8C5" w14:textId="77777777" w:rsidR="00793693" w:rsidRDefault="00793693" w:rsidP="00023090">
      <w:pPr>
        <w:autoSpaceDE w:val="0"/>
        <w:autoSpaceDN w:val="0"/>
        <w:adjustRightInd w:val="0"/>
      </w:pPr>
    </w:p>
    <w:tbl>
      <w:tblPr>
        <w:tblW w:w="45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1"/>
        <w:gridCol w:w="1017"/>
        <w:gridCol w:w="1017"/>
        <w:gridCol w:w="1017"/>
      </w:tblGrid>
      <w:tr w:rsidR="00023090" w:rsidRPr="00896001" w14:paraId="1B645983" w14:textId="77777777" w:rsidTr="00225C0A">
        <w:trPr>
          <w:cantSplit/>
          <w:jc w:val="center"/>
        </w:trPr>
        <w:tc>
          <w:tcPr>
            <w:tcW w:w="4532" w:type="dxa"/>
            <w:gridSpan w:val="4"/>
            <w:tcBorders>
              <w:top w:val="nil"/>
              <w:left w:val="nil"/>
              <w:bottom w:val="nil"/>
              <w:right w:val="nil"/>
            </w:tcBorders>
            <w:shd w:val="clear" w:color="auto" w:fill="FFFFFF"/>
          </w:tcPr>
          <w:p w14:paraId="426E4546" w14:textId="336FF3E7" w:rsidR="00023090" w:rsidRPr="00C21172" w:rsidRDefault="000A011E" w:rsidP="00CE76A7">
            <w:pPr>
              <w:autoSpaceDE w:val="0"/>
              <w:autoSpaceDN w:val="0"/>
              <w:adjustRightInd w:val="0"/>
              <w:spacing w:line="320" w:lineRule="atLeast"/>
              <w:ind w:left="60" w:right="60"/>
              <w:jc w:val="center"/>
              <w:rPr>
                <w:color w:val="000000"/>
              </w:rPr>
            </w:pPr>
            <w:r>
              <w:rPr>
                <w:bCs/>
                <w:color w:val="000000"/>
              </w:rPr>
              <w:lastRenderedPageBreak/>
              <w:t>Table 2</w:t>
            </w:r>
            <w:r w:rsidR="00C21172" w:rsidRPr="00C21172">
              <w:rPr>
                <w:bCs/>
                <w:color w:val="000000"/>
              </w:rPr>
              <w:t xml:space="preserve">. </w:t>
            </w:r>
            <w:r w:rsidR="00023090" w:rsidRPr="00C21172">
              <w:rPr>
                <w:bCs/>
                <w:color w:val="000000"/>
              </w:rPr>
              <w:t>Test of Homogeneity of Variances</w:t>
            </w:r>
          </w:p>
        </w:tc>
      </w:tr>
      <w:tr w:rsidR="00023090" w:rsidRPr="00896001" w14:paraId="40F0DF97" w14:textId="77777777" w:rsidTr="00AB59A6">
        <w:trPr>
          <w:cantSplit/>
          <w:jc w:val="center"/>
        </w:trPr>
        <w:tc>
          <w:tcPr>
            <w:tcW w:w="4532" w:type="dxa"/>
            <w:gridSpan w:val="4"/>
            <w:tcBorders>
              <w:top w:val="nil"/>
              <w:left w:val="nil"/>
              <w:bottom w:val="single" w:sz="4" w:space="0" w:color="auto"/>
              <w:right w:val="nil"/>
            </w:tcBorders>
            <w:shd w:val="clear" w:color="auto" w:fill="FFFFFF"/>
            <w:vAlign w:val="bottom"/>
          </w:tcPr>
          <w:p w14:paraId="73CAAA36" w14:textId="79A03AFC" w:rsidR="00023090" w:rsidRPr="00C21172" w:rsidRDefault="00023090" w:rsidP="00CE76A7">
            <w:pPr>
              <w:autoSpaceDE w:val="0"/>
              <w:autoSpaceDN w:val="0"/>
              <w:adjustRightInd w:val="0"/>
              <w:spacing w:line="320" w:lineRule="atLeast"/>
            </w:pPr>
          </w:p>
        </w:tc>
      </w:tr>
      <w:tr w:rsidR="00023090" w:rsidRPr="00896001" w14:paraId="5E59A7DD" w14:textId="77777777" w:rsidTr="00AB59A6">
        <w:trPr>
          <w:cantSplit/>
          <w:jc w:val="center"/>
        </w:trPr>
        <w:tc>
          <w:tcPr>
            <w:tcW w:w="1481" w:type="dxa"/>
            <w:tcBorders>
              <w:top w:val="single" w:sz="4" w:space="0" w:color="auto"/>
              <w:left w:val="nil"/>
              <w:bottom w:val="single" w:sz="4" w:space="0" w:color="auto"/>
              <w:right w:val="nil"/>
            </w:tcBorders>
            <w:shd w:val="clear" w:color="auto" w:fill="FFFFFF"/>
            <w:vAlign w:val="center"/>
          </w:tcPr>
          <w:p w14:paraId="73BE7500" w14:textId="77777777" w:rsidR="00023090" w:rsidRPr="00C21172" w:rsidRDefault="00023090" w:rsidP="00AB59A6">
            <w:pPr>
              <w:autoSpaceDE w:val="0"/>
              <w:autoSpaceDN w:val="0"/>
              <w:adjustRightInd w:val="0"/>
              <w:spacing w:line="320" w:lineRule="atLeast"/>
              <w:ind w:left="60" w:right="60"/>
              <w:jc w:val="center"/>
              <w:rPr>
                <w:color w:val="000000"/>
              </w:rPr>
            </w:pPr>
            <w:proofErr w:type="spellStart"/>
            <w:r w:rsidRPr="00C21172">
              <w:rPr>
                <w:color w:val="000000"/>
              </w:rPr>
              <w:t>Levene</w:t>
            </w:r>
            <w:proofErr w:type="spellEnd"/>
            <w:r w:rsidRPr="00C21172">
              <w:rPr>
                <w:color w:val="000000"/>
              </w:rPr>
              <w:t xml:space="preserve"> Statistics</w:t>
            </w:r>
          </w:p>
        </w:tc>
        <w:tc>
          <w:tcPr>
            <w:tcW w:w="1017" w:type="dxa"/>
            <w:tcBorders>
              <w:top w:val="single" w:sz="4" w:space="0" w:color="auto"/>
              <w:left w:val="nil"/>
              <w:bottom w:val="single" w:sz="4" w:space="0" w:color="auto"/>
              <w:right w:val="nil"/>
            </w:tcBorders>
            <w:shd w:val="clear" w:color="auto" w:fill="FFFFFF"/>
            <w:vAlign w:val="center"/>
          </w:tcPr>
          <w:p w14:paraId="6C9B7656" w14:textId="77777777" w:rsidR="00023090" w:rsidRPr="00C21172" w:rsidRDefault="00023090" w:rsidP="00AB59A6">
            <w:pPr>
              <w:autoSpaceDE w:val="0"/>
              <w:autoSpaceDN w:val="0"/>
              <w:adjustRightInd w:val="0"/>
              <w:spacing w:line="320" w:lineRule="atLeast"/>
              <w:ind w:left="60" w:right="60"/>
              <w:jc w:val="center"/>
              <w:rPr>
                <w:color w:val="000000"/>
              </w:rPr>
            </w:pPr>
            <w:r w:rsidRPr="00C21172">
              <w:rPr>
                <w:color w:val="000000"/>
              </w:rPr>
              <w:t>df1</w:t>
            </w:r>
          </w:p>
        </w:tc>
        <w:tc>
          <w:tcPr>
            <w:tcW w:w="1017" w:type="dxa"/>
            <w:tcBorders>
              <w:top w:val="single" w:sz="4" w:space="0" w:color="auto"/>
              <w:left w:val="nil"/>
              <w:bottom w:val="single" w:sz="4" w:space="0" w:color="auto"/>
              <w:right w:val="nil"/>
            </w:tcBorders>
            <w:shd w:val="clear" w:color="auto" w:fill="FFFFFF"/>
            <w:vAlign w:val="center"/>
          </w:tcPr>
          <w:p w14:paraId="2317AC77" w14:textId="77777777" w:rsidR="00023090" w:rsidRPr="00C21172" w:rsidRDefault="00023090" w:rsidP="00AB59A6">
            <w:pPr>
              <w:autoSpaceDE w:val="0"/>
              <w:autoSpaceDN w:val="0"/>
              <w:adjustRightInd w:val="0"/>
              <w:spacing w:line="320" w:lineRule="atLeast"/>
              <w:ind w:left="60" w:right="60"/>
              <w:jc w:val="center"/>
              <w:rPr>
                <w:color w:val="000000"/>
              </w:rPr>
            </w:pPr>
            <w:r w:rsidRPr="00C21172">
              <w:rPr>
                <w:color w:val="000000"/>
              </w:rPr>
              <w:t>df2</w:t>
            </w:r>
          </w:p>
        </w:tc>
        <w:tc>
          <w:tcPr>
            <w:tcW w:w="1017" w:type="dxa"/>
            <w:tcBorders>
              <w:top w:val="single" w:sz="4" w:space="0" w:color="auto"/>
              <w:left w:val="nil"/>
              <w:bottom w:val="single" w:sz="4" w:space="0" w:color="auto"/>
              <w:right w:val="nil"/>
            </w:tcBorders>
            <w:shd w:val="clear" w:color="auto" w:fill="FFFFFF"/>
            <w:vAlign w:val="center"/>
          </w:tcPr>
          <w:p w14:paraId="5E40285F" w14:textId="77777777" w:rsidR="00023090" w:rsidRPr="00C21172" w:rsidRDefault="00023090" w:rsidP="00AB59A6">
            <w:pPr>
              <w:autoSpaceDE w:val="0"/>
              <w:autoSpaceDN w:val="0"/>
              <w:adjustRightInd w:val="0"/>
              <w:spacing w:line="320" w:lineRule="atLeast"/>
              <w:ind w:left="60" w:right="60"/>
              <w:jc w:val="center"/>
              <w:rPr>
                <w:color w:val="000000"/>
              </w:rPr>
            </w:pPr>
            <w:r w:rsidRPr="00C21172">
              <w:rPr>
                <w:color w:val="000000"/>
              </w:rPr>
              <w:t>Sig.</w:t>
            </w:r>
          </w:p>
        </w:tc>
      </w:tr>
      <w:tr w:rsidR="00023090" w:rsidRPr="00896001" w14:paraId="6C84D771" w14:textId="77777777" w:rsidTr="00AB59A6">
        <w:trPr>
          <w:cantSplit/>
          <w:jc w:val="center"/>
        </w:trPr>
        <w:tc>
          <w:tcPr>
            <w:tcW w:w="1481" w:type="dxa"/>
            <w:tcBorders>
              <w:top w:val="single" w:sz="4" w:space="0" w:color="auto"/>
              <w:left w:val="nil"/>
              <w:bottom w:val="single" w:sz="4" w:space="0" w:color="auto"/>
              <w:right w:val="nil"/>
            </w:tcBorders>
            <w:shd w:val="clear" w:color="auto" w:fill="FFFFFF"/>
          </w:tcPr>
          <w:p w14:paraId="3089C3F2" w14:textId="6CDF93FF" w:rsidR="00023090" w:rsidRPr="00E16FDD" w:rsidRDefault="00E16FDD" w:rsidP="00E16FDD">
            <w:pPr>
              <w:autoSpaceDE w:val="0"/>
              <w:autoSpaceDN w:val="0"/>
              <w:adjustRightInd w:val="0"/>
              <w:spacing w:line="320" w:lineRule="atLeast"/>
              <w:ind w:left="60" w:right="60"/>
              <w:jc w:val="center"/>
              <w:rPr>
                <w:color w:val="000000"/>
              </w:rPr>
            </w:pPr>
            <w:r w:rsidRPr="00E16FDD">
              <w:rPr>
                <w:color w:val="000000"/>
                <w:lang w:val="id-ID"/>
              </w:rPr>
              <w:t>0</w:t>
            </w:r>
            <w:r w:rsidR="00023090" w:rsidRPr="00E16FDD">
              <w:rPr>
                <w:color w:val="000000"/>
              </w:rPr>
              <w:t>.027</w:t>
            </w:r>
          </w:p>
        </w:tc>
        <w:tc>
          <w:tcPr>
            <w:tcW w:w="1017" w:type="dxa"/>
            <w:tcBorders>
              <w:top w:val="single" w:sz="4" w:space="0" w:color="auto"/>
              <w:left w:val="nil"/>
              <w:bottom w:val="single" w:sz="4" w:space="0" w:color="auto"/>
              <w:right w:val="nil"/>
            </w:tcBorders>
            <w:shd w:val="clear" w:color="auto" w:fill="FFFFFF"/>
          </w:tcPr>
          <w:p w14:paraId="302EDBA7"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1</w:t>
            </w:r>
          </w:p>
        </w:tc>
        <w:tc>
          <w:tcPr>
            <w:tcW w:w="1017" w:type="dxa"/>
            <w:tcBorders>
              <w:top w:val="single" w:sz="4" w:space="0" w:color="auto"/>
              <w:left w:val="nil"/>
              <w:bottom w:val="single" w:sz="4" w:space="0" w:color="auto"/>
              <w:right w:val="nil"/>
            </w:tcBorders>
            <w:shd w:val="clear" w:color="auto" w:fill="FFFFFF"/>
          </w:tcPr>
          <w:p w14:paraId="10AD6D1D"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76</w:t>
            </w:r>
          </w:p>
        </w:tc>
        <w:tc>
          <w:tcPr>
            <w:tcW w:w="1017" w:type="dxa"/>
            <w:tcBorders>
              <w:top w:val="single" w:sz="4" w:space="0" w:color="auto"/>
              <w:left w:val="nil"/>
              <w:bottom w:val="single" w:sz="4" w:space="0" w:color="auto"/>
              <w:right w:val="nil"/>
            </w:tcBorders>
            <w:shd w:val="clear" w:color="auto" w:fill="FFFFFF"/>
          </w:tcPr>
          <w:p w14:paraId="683FA409" w14:textId="583D9239" w:rsidR="00023090" w:rsidRPr="00E16FDD" w:rsidRDefault="00E16FDD" w:rsidP="00E16FDD">
            <w:pPr>
              <w:autoSpaceDE w:val="0"/>
              <w:autoSpaceDN w:val="0"/>
              <w:adjustRightInd w:val="0"/>
              <w:spacing w:line="320" w:lineRule="atLeast"/>
              <w:ind w:left="60" w:right="60"/>
              <w:jc w:val="center"/>
              <w:rPr>
                <w:color w:val="000000"/>
              </w:rPr>
            </w:pPr>
            <w:r w:rsidRPr="00E16FDD">
              <w:rPr>
                <w:color w:val="000000"/>
                <w:lang w:val="id-ID"/>
              </w:rPr>
              <w:t>0</w:t>
            </w:r>
            <w:r w:rsidR="00023090" w:rsidRPr="00E16FDD">
              <w:rPr>
                <w:color w:val="000000"/>
              </w:rPr>
              <w:t>.871</w:t>
            </w:r>
          </w:p>
        </w:tc>
      </w:tr>
    </w:tbl>
    <w:p w14:paraId="5C11501F" w14:textId="77777777" w:rsidR="00225C0A" w:rsidRDefault="00225C0A" w:rsidP="00225C0A">
      <w:pPr>
        <w:autoSpaceDE w:val="0"/>
        <w:autoSpaceDN w:val="0"/>
        <w:adjustRightInd w:val="0"/>
        <w:jc w:val="both"/>
        <w:rPr>
          <w:lang w:val="id-ID"/>
        </w:rPr>
      </w:pPr>
    </w:p>
    <w:p w14:paraId="224F754C" w14:textId="77777777" w:rsidR="00944089" w:rsidRDefault="00944089" w:rsidP="00944089">
      <w:pPr>
        <w:autoSpaceDE w:val="0"/>
        <w:autoSpaceDN w:val="0"/>
        <w:adjustRightInd w:val="0"/>
        <w:jc w:val="both"/>
        <w:rPr>
          <w:lang w:val="id-ID"/>
        </w:rPr>
      </w:pPr>
      <w:r>
        <w:rPr>
          <w:lang w:val="id-ID"/>
        </w:rPr>
        <w:t>Based on the output of Test of Homogeneity of Variances in Table.2, sig value is 0.871 &gt; 0.05, meaning H</w:t>
      </w:r>
      <w:r w:rsidRPr="000A011E">
        <w:rPr>
          <w:vertAlign w:val="subscript"/>
          <w:lang w:val="id-ID"/>
        </w:rPr>
        <w:t>0</w:t>
      </w:r>
      <w:r>
        <w:rPr>
          <w:lang w:val="id-ID"/>
        </w:rPr>
        <w:t xml:space="preserve"> is accepted because the variance is homogeneous.</w:t>
      </w:r>
    </w:p>
    <w:p w14:paraId="5D53A412" w14:textId="77777777" w:rsidR="00944089" w:rsidRDefault="00944089" w:rsidP="00225C0A">
      <w:pPr>
        <w:autoSpaceDE w:val="0"/>
        <w:autoSpaceDN w:val="0"/>
        <w:adjustRightInd w:val="0"/>
        <w:jc w:val="both"/>
        <w:rPr>
          <w:lang w:val="id-ID"/>
        </w:rPr>
      </w:pPr>
    </w:p>
    <w:p w14:paraId="7E213C40" w14:textId="262B62A8" w:rsidR="00225C0A" w:rsidRDefault="00225C0A" w:rsidP="00225C0A">
      <w:pPr>
        <w:autoSpaceDE w:val="0"/>
        <w:autoSpaceDN w:val="0"/>
        <w:adjustRightInd w:val="0"/>
        <w:jc w:val="both"/>
        <w:rPr>
          <w:lang w:val="id-ID"/>
        </w:rPr>
      </w:pPr>
      <w:r>
        <w:rPr>
          <w:lang w:val="id-ID"/>
        </w:rPr>
        <w:t xml:space="preserve">Sample test is used to test the average value of a sample. In the one-sample T-test there are assumptions that must be met before entering the analysis, namely the sample data is normally distributed. </w:t>
      </w:r>
    </w:p>
    <w:p w14:paraId="6B634B59" w14:textId="0E2E63D4" w:rsidR="00023090" w:rsidRPr="00307E63" w:rsidRDefault="00023090" w:rsidP="00225C0A">
      <w:pPr>
        <w:autoSpaceDE w:val="0"/>
        <w:autoSpaceDN w:val="0"/>
        <w:adjustRightInd w:val="0"/>
        <w:jc w:val="both"/>
      </w:pPr>
    </w:p>
    <w:tbl>
      <w:tblPr>
        <w:tblW w:w="84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000"/>
        <w:gridCol w:w="1000"/>
        <w:gridCol w:w="1379"/>
        <w:gridCol w:w="1456"/>
        <w:gridCol w:w="1456"/>
        <w:gridCol w:w="1456"/>
      </w:tblGrid>
      <w:tr w:rsidR="00023090" w:rsidRPr="00307E63" w14:paraId="256766C3" w14:textId="77777777" w:rsidTr="00944089">
        <w:trPr>
          <w:cantSplit/>
          <w:jc w:val="center"/>
        </w:trPr>
        <w:tc>
          <w:tcPr>
            <w:tcW w:w="8474" w:type="dxa"/>
            <w:gridSpan w:val="7"/>
            <w:tcBorders>
              <w:top w:val="nil"/>
              <w:left w:val="nil"/>
              <w:bottom w:val="single" w:sz="4" w:space="0" w:color="auto"/>
              <w:right w:val="nil"/>
            </w:tcBorders>
            <w:shd w:val="clear" w:color="auto" w:fill="FFFFFF"/>
          </w:tcPr>
          <w:p w14:paraId="1E510632" w14:textId="4AC53955" w:rsidR="00023090" w:rsidRPr="00307E63" w:rsidRDefault="00944089" w:rsidP="00CE76A7">
            <w:pPr>
              <w:autoSpaceDE w:val="0"/>
              <w:autoSpaceDN w:val="0"/>
              <w:adjustRightInd w:val="0"/>
              <w:spacing w:line="320" w:lineRule="atLeast"/>
              <w:ind w:left="60" w:right="60"/>
              <w:jc w:val="center"/>
              <w:rPr>
                <w:color w:val="000000"/>
              </w:rPr>
            </w:pPr>
            <w:r>
              <w:rPr>
                <w:bCs/>
                <w:color w:val="000000"/>
              </w:rPr>
              <w:t>Table 3</w:t>
            </w:r>
            <w:r w:rsidR="00307E63" w:rsidRPr="00307E63">
              <w:rPr>
                <w:bCs/>
                <w:color w:val="000000"/>
              </w:rPr>
              <w:t xml:space="preserve">. One </w:t>
            </w:r>
            <w:r w:rsidR="00023090" w:rsidRPr="00307E63">
              <w:rPr>
                <w:bCs/>
                <w:color w:val="000000"/>
              </w:rPr>
              <w:t xml:space="preserve">Sample </w:t>
            </w:r>
            <w:r w:rsidR="00307E63" w:rsidRPr="00307E63">
              <w:rPr>
                <w:bCs/>
                <w:color w:val="000000"/>
              </w:rPr>
              <w:t>T-</w:t>
            </w:r>
            <w:r w:rsidR="00023090" w:rsidRPr="00307E63">
              <w:rPr>
                <w:bCs/>
                <w:color w:val="000000"/>
              </w:rPr>
              <w:t>Test</w:t>
            </w:r>
          </w:p>
        </w:tc>
      </w:tr>
      <w:tr w:rsidR="00023090" w:rsidRPr="00307E63" w14:paraId="1167FD12" w14:textId="77777777" w:rsidTr="00944089">
        <w:trPr>
          <w:cantSplit/>
          <w:jc w:val="center"/>
        </w:trPr>
        <w:tc>
          <w:tcPr>
            <w:tcW w:w="727" w:type="dxa"/>
            <w:vMerge w:val="restart"/>
            <w:tcBorders>
              <w:top w:val="single" w:sz="4" w:space="0" w:color="auto"/>
              <w:left w:val="nil"/>
              <w:bottom w:val="nil"/>
              <w:right w:val="nil"/>
            </w:tcBorders>
            <w:shd w:val="clear" w:color="auto" w:fill="FFFFFF"/>
          </w:tcPr>
          <w:p w14:paraId="0ADDFBF8" w14:textId="77777777" w:rsidR="00023090" w:rsidRPr="00307E63" w:rsidRDefault="00023090" w:rsidP="00CE76A7">
            <w:pPr>
              <w:autoSpaceDE w:val="0"/>
              <w:autoSpaceDN w:val="0"/>
              <w:adjustRightInd w:val="0"/>
            </w:pPr>
          </w:p>
        </w:tc>
        <w:tc>
          <w:tcPr>
            <w:tcW w:w="7747" w:type="dxa"/>
            <w:gridSpan w:val="6"/>
            <w:tcBorders>
              <w:top w:val="single" w:sz="4" w:space="0" w:color="auto"/>
              <w:left w:val="nil"/>
              <w:bottom w:val="single" w:sz="4" w:space="0" w:color="auto"/>
              <w:right w:val="nil"/>
            </w:tcBorders>
            <w:shd w:val="clear" w:color="auto" w:fill="FFFFFF"/>
          </w:tcPr>
          <w:p w14:paraId="01180442" w14:textId="77777777" w:rsidR="00023090" w:rsidRPr="00307E63" w:rsidRDefault="00023090" w:rsidP="00CE76A7">
            <w:pPr>
              <w:autoSpaceDE w:val="0"/>
              <w:autoSpaceDN w:val="0"/>
              <w:adjustRightInd w:val="0"/>
              <w:spacing w:line="320" w:lineRule="atLeast"/>
              <w:ind w:left="60" w:right="60"/>
              <w:jc w:val="center"/>
              <w:rPr>
                <w:color w:val="000000"/>
              </w:rPr>
            </w:pPr>
            <w:r w:rsidRPr="00307E63">
              <w:rPr>
                <w:color w:val="000000"/>
              </w:rPr>
              <w:t>Test Value = 70</w:t>
            </w:r>
          </w:p>
        </w:tc>
      </w:tr>
      <w:tr w:rsidR="00023090" w:rsidRPr="00307E63" w14:paraId="51E1C282" w14:textId="77777777" w:rsidTr="00944089">
        <w:trPr>
          <w:cantSplit/>
          <w:jc w:val="center"/>
        </w:trPr>
        <w:tc>
          <w:tcPr>
            <w:tcW w:w="727" w:type="dxa"/>
            <w:vMerge/>
            <w:tcBorders>
              <w:top w:val="single" w:sz="4" w:space="0" w:color="auto"/>
              <w:left w:val="nil"/>
              <w:bottom w:val="nil"/>
              <w:right w:val="nil"/>
            </w:tcBorders>
            <w:shd w:val="clear" w:color="auto" w:fill="FFFFFF"/>
          </w:tcPr>
          <w:p w14:paraId="5D644BA5" w14:textId="77777777" w:rsidR="00023090" w:rsidRPr="00307E63" w:rsidRDefault="00023090" w:rsidP="00CE76A7">
            <w:pPr>
              <w:autoSpaceDE w:val="0"/>
              <w:autoSpaceDN w:val="0"/>
              <w:adjustRightInd w:val="0"/>
              <w:rPr>
                <w:color w:val="000000"/>
              </w:rPr>
            </w:pPr>
          </w:p>
        </w:tc>
        <w:tc>
          <w:tcPr>
            <w:tcW w:w="1000" w:type="dxa"/>
            <w:vMerge w:val="restart"/>
            <w:tcBorders>
              <w:top w:val="single" w:sz="4" w:space="0" w:color="auto"/>
              <w:left w:val="nil"/>
              <w:bottom w:val="single" w:sz="4" w:space="0" w:color="auto"/>
              <w:right w:val="nil"/>
            </w:tcBorders>
            <w:shd w:val="clear" w:color="auto" w:fill="FFFFFF"/>
            <w:vAlign w:val="center"/>
          </w:tcPr>
          <w:p w14:paraId="6BB6CF72" w14:textId="77777777" w:rsidR="00023090" w:rsidRPr="00307E63" w:rsidRDefault="00023090" w:rsidP="00AB59A6">
            <w:pPr>
              <w:autoSpaceDE w:val="0"/>
              <w:autoSpaceDN w:val="0"/>
              <w:adjustRightInd w:val="0"/>
              <w:spacing w:line="320" w:lineRule="atLeast"/>
              <w:ind w:left="60" w:right="60"/>
              <w:jc w:val="center"/>
              <w:rPr>
                <w:color w:val="000000"/>
              </w:rPr>
            </w:pPr>
            <w:r w:rsidRPr="00307E63">
              <w:rPr>
                <w:color w:val="000000"/>
              </w:rPr>
              <w:t>t</w:t>
            </w:r>
          </w:p>
        </w:tc>
        <w:tc>
          <w:tcPr>
            <w:tcW w:w="1000" w:type="dxa"/>
            <w:vMerge w:val="restart"/>
            <w:tcBorders>
              <w:top w:val="single" w:sz="4" w:space="0" w:color="auto"/>
              <w:left w:val="nil"/>
              <w:bottom w:val="single" w:sz="4" w:space="0" w:color="auto"/>
              <w:right w:val="nil"/>
            </w:tcBorders>
            <w:shd w:val="clear" w:color="auto" w:fill="FFFFFF"/>
            <w:vAlign w:val="center"/>
          </w:tcPr>
          <w:p w14:paraId="5F412A1E" w14:textId="77777777" w:rsidR="00023090" w:rsidRPr="00307E63" w:rsidRDefault="00023090" w:rsidP="00AB59A6">
            <w:pPr>
              <w:autoSpaceDE w:val="0"/>
              <w:autoSpaceDN w:val="0"/>
              <w:adjustRightInd w:val="0"/>
              <w:spacing w:line="320" w:lineRule="atLeast"/>
              <w:ind w:left="60" w:right="60"/>
              <w:jc w:val="center"/>
              <w:rPr>
                <w:color w:val="000000"/>
              </w:rPr>
            </w:pPr>
            <w:proofErr w:type="spellStart"/>
            <w:r w:rsidRPr="00307E63">
              <w:rPr>
                <w:color w:val="000000"/>
              </w:rPr>
              <w:t>df</w:t>
            </w:r>
            <w:proofErr w:type="spellEnd"/>
          </w:p>
        </w:tc>
        <w:tc>
          <w:tcPr>
            <w:tcW w:w="1379" w:type="dxa"/>
            <w:vMerge w:val="restart"/>
            <w:tcBorders>
              <w:top w:val="single" w:sz="4" w:space="0" w:color="auto"/>
              <w:left w:val="nil"/>
              <w:bottom w:val="single" w:sz="4" w:space="0" w:color="auto"/>
              <w:right w:val="nil"/>
            </w:tcBorders>
            <w:shd w:val="clear" w:color="auto" w:fill="FFFFFF"/>
            <w:vAlign w:val="center"/>
          </w:tcPr>
          <w:p w14:paraId="61F9BBB4" w14:textId="77777777" w:rsidR="00023090" w:rsidRPr="00307E63" w:rsidRDefault="00023090" w:rsidP="00AB59A6">
            <w:pPr>
              <w:autoSpaceDE w:val="0"/>
              <w:autoSpaceDN w:val="0"/>
              <w:adjustRightInd w:val="0"/>
              <w:spacing w:line="320" w:lineRule="atLeast"/>
              <w:ind w:left="60" w:right="60"/>
              <w:jc w:val="center"/>
              <w:rPr>
                <w:color w:val="000000"/>
              </w:rPr>
            </w:pPr>
            <w:r w:rsidRPr="00307E63">
              <w:rPr>
                <w:color w:val="000000"/>
              </w:rPr>
              <w:t>Sig. (2-tailed)</w:t>
            </w:r>
          </w:p>
        </w:tc>
        <w:tc>
          <w:tcPr>
            <w:tcW w:w="1456" w:type="dxa"/>
            <w:vMerge w:val="restart"/>
            <w:tcBorders>
              <w:top w:val="single" w:sz="4" w:space="0" w:color="auto"/>
              <w:left w:val="nil"/>
              <w:bottom w:val="single" w:sz="4" w:space="0" w:color="auto"/>
              <w:right w:val="nil"/>
            </w:tcBorders>
            <w:shd w:val="clear" w:color="auto" w:fill="FFFFFF"/>
            <w:vAlign w:val="center"/>
          </w:tcPr>
          <w:p w14:paraId="44A2DD6E" w14:textId="77777777" w:rsidR="00023090" w:rsidRPr="00307E63" w:rsidRDefault="00023090" w:rsidP="00AB59A6">
            <w:pPr>
              <w:autoSpaceDE w:val="0"/>
              <w:autoSpaceDN w:val="0"/>
              <w:adjustRightInd w:val="0"/>
              <w:spacing w:line="320" w:lineRule="atLeast"/>
              <w:ind w:left="60" w:right="60"/>
              <w:jc w:val="center"/>
              <w:rPr>
                <w:color w:val="000000"/>
              </w:rPr>
            </w:pPr>
            <w:r w:rsidRPr="00307E63">
              <w:rPr>
                <w:color w:val="000000"/>
              </w:rPr>
              <w:t>Mean Difference</w:t>
            </w:r>
          </w:p>
        </w:tc>
        <w:tc>
          <w:tcPr>
            <w:tcW w:w="2912" w:type="dxa"/>
            <w:gridSpan w:val="2"/>
            <w:tcBorders>
              <w:top w:val="single" w:sz="4" w:space="0" w:color="auto"/>
              <w:left w:val="nil"/>
              <w:bottom w:val="single" w:sz="4" w:space="0" w:color="auto"/>
              <w:right w:val="nil"/>
            </w:tcBorders>
            <w:shd w:val="clear" w:color="auto" w:fill="FFFFFF"/>
          </w:tcPr>
          <w:p w14:paraId="37159429" w14:textId="77777777" w:rsidR="00023090" w:rsidRPr="00307E63" w:rsidRDefault="00023090" w:rsidP="00CE76A7">
            <w:pPr>
              <w:autoSpaceDE w:val="0"/>
              <w:autoSpaceDN w:val="0"/>
              <w:adjustRightInd w:val="0"/>
              <w:spacing w:line="320" w:lineRule="atLeast"/>
              <w:ind w:left="60" w:right="60"/>
              <w:jc w:val="center"/>
              <w:rPr>
                <w:color w:val="000000"/>
              </w:rPr>
            </w:pPr>
            <w:r w:rsidRPr="00307E63">
              <w:rPr>
                <w:color w:val="000000"/>
              </w:rPr>
              <w:t>95% Confidence Interval of the Difference</w:t>
            </w:r>
          </w:p>
        </w:tc>
      </w:tr>
      <w:tr w:rsidR="00023090" w:rsidRPr="00307E63" w14:paraId="1E3B02A3" w14:textId="77777777" w:rsidTr="00944089">
        <w:trPr>
          <w:cantSplit/>
          <w:jc w:val="center"/>
        </w:trPr>
        <w:tc>
          <w:tcPr>
            <w:tcW w:w="727" w:type="dxa"/>
            <w:vMerge/>
            <w:tcBorders>
              <w:top w:val="nil"/>
              <w:left w:val="nil"/>
              <w:bottom w:val="single" w:sz="4" w:space="0" w:color="auto"/>
              <w:right w:val="nil"/>
            </w:tcBorders>
            <w:shd w:val="clear" w:color="auto" w:fill="FFFFFF"/>
          </w:tcPr>
          <w:p w14:paraId="5CEFD85B" w14:textId="77777777" w:rsidR="00023090" w:rsidRPr="00307E63" w:rsidRDefault="00023090" w:rsidP="00CE76A7">
            <w:pPr>
              <w:autoSpaceDE w:val="0"/>
              <w:autoSpaceDN w:val="0"/>
              <w:adjustRightInd w:val="0"/>
              <w:rPr>
                <w:color w:val="000000"/>
              </w:rPr>
            </w:pPr>
          </w:p>
        </w:tc>
        <w:tc>
          <w:tcPr>
            <w:tcW w:w="1000" w:type="dxa"/>
            <w:vMerge/>
            <w:tcBorders>
              <w:top w:val="single" w:sz="4" w:space="0" w:color="auto"/>
              <w:left w:val="nil"/>
              <w:bottom w:val="single" w:sz="4" w:space="0" w:color="auto"/>
              <w:right w:val="nil"/>
            </w:tcBorders>
            <w:shd w:val="clear" w:color="auto" w:fill="FFFFFF"/>
          </w:tcPr>
          <w:p w14:paraId="784C00CF" w14:textId="77777777" w:rsidR="00023090" w:rsidRPr="00307E63" w:rsidRDefault="00023090" w:rsidP="00CE76A7">
            <w:pPr>
              <w:autoSpaceDE w:val="0"/>
              <w:autoSpaceDN w:val="0"/>
              <w:adjustRightInd w:val="0"/>
              <w:rPr>
                <w:color w:val="000000"/>
              </w:rPr>
            </w:pPr>
          </w:p>
        </w:tc>
        <w:tc>
          <w:tcPr>
            <w:tcW w:w="1000" w:type="dxa"/>
            <w:vMerge/>
            <w:tcBorders>
              <w:top w:val="single" w:sz="4" w:space="0" w:color="auto"/>
              <w:left w:val="nil"/>
              <w:bottom w:val="single" w:sz="4" w:space="0" w:color="auto"/>
              <w:right w:val="nil"/>
            </w:tcBorders>
            <w:shd w:val="clear" w:color="auto" w:fill="FFFFFF"/>
          </w:tcPr>
          <w:p w14:paraId="16C7F8AB" w14:textId="77777777" w:rsidR="00023090" w:rsidRPr="00307E63" w:rsidRDefault="00023090" w:rsidP="00CE76A7">
            <w:pPr>
              <w:autoSpaceDE w:val="0"/>
              <w:autoSpaceDN w:val="0"/>
              <w:adjustRightInd w:val="0"/>
              <w:rPr>
                <w:color w:val="000000"/>
              </w:rPr>
            </w:pPr>
          </w:p>
        </w:tc>
        <w:tc>
          <w:tcPr>
            <w:tcW w:w="1379" w:type="dxa"/>
            <w:vMerge/>
            <w:tcBorders>
              <w:top w:val="nil"/>
              <w:left w:val="nil"/>
              <w:bottom w:val="single" w:sz="4" w:space="0" w:color="auto"/>
              <w:right w:val="nil"/>
            </w:tcBorders>
            <w:shd w:val="clear" w:color="auto" w:fill="FFFFFF"/>
          </w:tcPr>
          <w:p w14:paraId="109B6827" w14:textId="77777777" w:rsidR="00023090" w:rsidRPr="00307E63" w:rsidRDefault="00023090" w:rsidP="00CE76A7">
            <w:pPr>
              <w:autoSpaceDE w:val="0"/>
              <w:autoSpaceDN w:val="0"/>
              <w:adjustRightInd w:val="0"/>
              <w:rPr>
                <w:color w:val="000000"/>
              </w:rPr>
            </w:pPr>
          </w:p>
        </w:tc>
        <w:tc>
          <w:tcPr>
            <w:tcW w:w="1456" w:type="dxa"/>
            <w:vMerge/>
            <w:tcBorders>
              <w:top w:val="nil"/>
              <w:left w:val="nil"/>
              <w:bottom w:val="single" w:sz="4" w:space="0" w:color="auto"/>
              <w:right w:val="nil"/>
            </w:tcBorders>
            <w:shd w:val="clear" w:color="auto" w:fill="FFFFFF"/>
          </w:tcPr>
          <w:p w14:paraId="34F76434" w14:textId="77777777" w:rsidR="00023090" w:rsidRPr="00307E63" w:rsidRDefault="00023090" w:rsidP="00CE76A7">
            <w:pPr>
              <w:autoSpaceDE w:val="0"/>
              <w:autoSpaceDN w:val="0"/>
              <w:adjustRightInd w:val="0"/>
              <w:rPr>
                <w:color w:val="000000"/>
              </w:rPr>
            </w:pPr>
          </w:p>
        </w:tc>
        <w:tc>
          <w:tcPr>
            <w:tcW w:w="1456" w:type="dxa"/>
            <w:tcBorders>
              <w:top w:val="single" w:sz="4" w:space="0" w:color="auto"/>
              <w:left w:val="nil"/>
              <w:bottom w:val="single" w:sz="4" w:space="0" w:color="auto"/>
              <w:right w:val="nil"/>
            </w:tcBorders>
            <w:shd w:val="clear" w:color="auto" w:fill="FFFFFF"/>
          </w:tcPr>
          <w:p w14:paraId="11CBF609" w14:textId="77777777" w:rsidR="00023090" w:rsidRPr="00307E63" w:rsidRDefault="00023090" w:rsidP="00CE76A7">
            <w:pPr>
              <w:autoSpaceDE w:val="0"/>
              <w:autoSpaceDN w:val="0"/>
              <w:adjustRightInd w:val="0"/>
              <w:spacing w:line="320" w:lineRule="atLeast"/>
              <w:ind w:left="60" w:right="60"/>
              <w:jc w:val="center"/>
              <w:rPr>
                <w:color w:val="000000"/>
              </w:rPr>
            </w:pPr>
            <w:r w:rsidRPr="00307E63">
              <w:rPr>
                <w:color w:val="000000"/>
              </w:rPr>
              <w:t>Lower</w:t>
            </w:r>
          </w:p>
        </w:tc>
        <w:tc>
          <w:tcPr>
            <w:tcW w:w="1456" w:type="dxa"/>
            <w:tcBorders>
              <w:top w:val="single" w:sz="4" w:space="0" w:color="auto"/>
              <w:left w:val="nil"/>
              <w:bottom w:val="single" w:sz="4" w:space="0" w:color="auto"/>
              <w:right w:val="nil"/>
            </w:tcBorders>
            <w:shd w:val="clear" w:color="auto" w:fill="FFFFFF"/>
          </w:tcPr>
          <w:p w14:paraId="58AA7443" w14:textId="77777777" w:rsidR="00023090" w:rsidRPr="00307E63" w:rsidRDefault="00023090" w:rsidP="00CE76A7">
            <w:pPr>
              <w:autoSpaceDE w:val="0"/>
              <w:autoSpaceDN w:val="0"/>
              <w:adjustRightInd w:val="0"/>
              <w:spacing w:line="320" w:lineRule="atLeast"/>
              <w:ind w:left="60" w:right="60"/>
              <w:jc w:val="center"/>
              <w:rPr>
                <w:color w:val="000000"/>
              </w:rPr>
            </w:pPr>
            <w:r w:rsidRPr="00307E63">
              <w:rPr>
                <w:color w:val="000000"/>
              </w:rPr>
              <w:t>Upper</w:t>
            </w:r>
          </w:p>
        </w:tc>
      </w:tr>
      <w:tr w:rsidR="00023090" w:rsidRPr="00E16FDD" w14:paraId="22819C85" w14:textId="77777777" w:rsidTr="00944089">
        <w:trPr>
          <w:cantSplit/>
          <w:jc w:val="center"/>
        </w:trPr>
        <w:tc>
          <w:tcPr>
            <w:tcW w:w="727" w:type="dxa"/>
            <w:tcBorders>
              <w:top w:val="single" w:sz="4" w:space="0" w:color="auto"/>
              <w:left w:val="nil"/>
              <w:bottom w:val="nil"/>
              <w:right w:val="nil"/>
            </w:tcBorders>
            <w:shd w:val="clear" w:color="auto" w:fill="FFFFFF"/>
            <w:vAlign w:val="center"/>
          </w:tcPr>
          <w:p w14:paraId="58E0E7F4" w14:textId="77777777" w:rsidR="00023090" w:rsidRPr="00307E63" w:rsidRDefault="00023090" w:rsidP="00CE76A7">
            <w:pPr>
              <w:autoSpaceDE w:val="0"/>
              <w:autoSpaceDN w:val="0"/>
              <w:adjustRightInd w:val="0"/>
              <w:spacing w:line="320" w:lineRule="atLeast"/>
              <w:ind w:left="60" w:right="60"/>
              <w:rPr>
                <w:color w:val="000000"/>
              </w:rPr>
            </w:pPr>
            <w:r w:rsidRPr="00307E63">
              <w:rPr>
                <w:color w:val="000000"/>
              </w:rPr>
              <w:t>A7</w:t>
            </w:r>
          </w:p>
        </w:tc>
        <w:tc>
          <w:tcPr>
            <w:tcW w:w="1000" w:type="dxa"/>
            <w:tcBorders>
              <w:top w:val="single" w:sz="4" w:space="0" w:color="auto"/>
              <w:left w:val="nil"/>
              <w:bottom w:val="nil"/>
              <w:right w:val="nil"/>
            </w:tcBorders>
            <w:shd w:val="clear" w:color="auto" w:fill="FFFFFF"/>
          </w:tcPr>
          <w:p w14:paraId="472F5315" w14:textId="4D8418A1" w:rsidR="00023090" w:rsidRPr="00E16FDD" w:rsidRDefault="00023090" w:rsidP="00E16FDD">
            <w:pPr>
              <w:autoSpaceDE w:val="0"/>
              <w:autoSpaceDN w:val="0"/>
              <w:adjustRightInd w:val="0"/>
              <w:spacing w:line="320" w:lineRule="atLeast"/>
              <w:ind w:left="60" w:right="60"/>
              <w:jc w:val="center"/>
              <w:rPr>
                <w:color w:val="000000"/>
              </w:rPr>
            </w:pPr>
            <w:commentRangeStart w:id="13"/>
            <w:r w:rsidRPr="00E16FDD">
              <w:rPr>
                <w:color w:val="000000"/>
              </w:rPr>
              <w:t>6</w:t>
            </w:r>
            <w:r w:rsidR="00E16FDD">
              <w:rPr>
                <w:color w:val="000000"/>
                <w:lang w:val="id-ID"/>
              </w:rPr>
              <w:t>.</w:t>
            </w:r>
            <w:r w:rsidRPr="00E16FDD">
              <w:rPr>
                <w:color w:val="000000"/>
              </w:rPr>
              <w:t>704</w:t>
            </w:r>
          </w:p>
        </w:tc>
        <w:tc>
          <w:tcPr>
            <w:tcW w:w="1000" w:type="dxa"/>
            <w:tcBorders>
              <w:top w:val="single" w:sz="4" w:space="0" w:color="auto"/>
              <w:left w:val="nil"/>
              <w:bottom w:val="nil"/>
              <w:right w:val="nil"/>
            </w:tcBorders>
            <w:shd w:val="clear" w:color="auto" w:fill="FFFFFF"/>
          </w:tcPr>
          <w:p w14:paraId="7D93257E"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29</w:t>
            </w:r>
          </w:p>
        </w:tc>
        <w:tc>
          <w:tcPr>
            <w:tcW w:w="1379" w:type="dxa"/>
            <w:tcBorders>
              <w:top w:val="single" w:sz="4" w:space="0" w:color="auto"/>
              <w:left w:val="nil"/>
              <w:bottom w:val="nil"/>
              <w:right w:val="nil"/>
            </w:tcBorders>
            <w:shd w:val="clear" w:color="auto" w:fill="FFFFFF"/>
          </w:tcPr>
          <w:p w14:paraId="11123CF3" w14:textId="5788768C" w:rsidR="00023090"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023090" w:rsidRPr="00E16FDD">
              <w:rPr>
                <w:color w:val="000000"/>
              </w:rPr>
              <w:t>.000</w:t>
            </w:r>
          </w:p>
        </w:tc>
        <w:tc>
          <w:tcPr>
            <w:tcW w:w="1456" w:type="dxa"/>
            <w:tcBorders>
              <w:top w:val="single" w:sz="4" w:space="0" w:color="auto"/>
              <w:left w:val="nil"/>
              <w:bottom w:val="nil"/>
              <w:right w:val="nil"/>
            </w:tcBorders>
            <w:shd w:val="clear" w:color="auto" w:fill="FFFFFF"/>
          </w:tcPr>
          <w:p w14:paraId="03B8F898" w14:textId="12784DFB" w:rsidR="00023090" w:rsidRPr="00E16FDD" w:rsidRDefault="00E16FDD" w:rsidP="00E16FDD">
            <w:pPr>
              <w:autoSpaceDE w:val="0"/>
              <w:autoSpaceDN w:val="0"/>
              <w:adjustRightInd w:val="0"/>
              <w:spacing w:line="320" w:lineRule="atLeast"/>
              <w:ind w:left="60" w:right="60"/>
              <w:jc w:val="center"/>
              <w:rPr>
                <w:color w:val="000000"/>
              </w:rPr>
            </w:pPr>
            <w:r>
              <w:rPr>
                <w:color w:val="000000"/>
              </w:rPr>
              <w:t>12.</w:t>
            </w:r>
            <w:r w:rsidR="00023090" w:rsidRPr="00E16FDD">
              <w:rPr>
                <w:color w:val="000000"/>
              </w:rPr>
              <w:t>933</w:t>
            </w:r>
          </w:p>
        </w:tc>
        <w:tc>
          <w:tcPr>
            <w:tcW w:w="1456" w:type="dxa"/>
            <w:tcBorders>
              <w:top w:val="single" w:sz="4" w:space="0" w:color="auto"/>
              <w:left w:val="nil"/>
              <w:bottom w:val="nil"/>
              <w:right w:val="nil"/>
            </w:tcBorders>
            <w:shd w:val="clear" w:color="auto" w:fill="FFFFFF"/>
          </w:tcPr>
          <w:p w14:paraId="6A25892D"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8.99</w:t>
            </w:r>
          </w:p>
        </w:tc>
        <w:tc>
          <w:tcPr>
            <w:tcW w:w="1456" w:type="dxa"/>
            <w:tcBorders>
              <w:top w:val="single" w:sz="4" w:space="0" w:color="auto"/>
              <w:left w:val="nil"/>
              <w:bottom w:val="nil"/>
              <w:right w:val="nil"/>
            </w:tcBorders>
            <w:shd w:val="clear" w:color="auto" w:fill="FFFFFF"/>
          </w:tcPr>
          <w:p w14:paraId="3D0C78C3"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16.88</w:t>
            </w:r>
            <w:commentRangeEnd w:id="13"/>
            <w:r w:rsidR="007A0D5E" w:rsidRPr="00E16FDD">
              <w:rPr>
                <w:rStyle w:val="CommentReference"/>
              </w:rPr>
              <w:commentReference w:id="13"/>
            </w:r>
          </w:p>
        </w:tc>
      </w:tr>
      <w:tr w:rsidR="00023090" w:rsidRPr="00E16FDD" w14:paraId="7C231B6E" w14:textId="77777777" w:rsidTr="00944089">
        <w:trPr>
          <w:cantSplit/>
          <w:jc w:val="center"/>
        </w:trPr>
        <w:tc>
          <w:tcPr>
            <w:tcW w:w="727" w:type="dxa"/>
            <w:tcBorders>
              <w:top w:val="nil"/>
              <w:left w:val="nil"/>
              <w:bottom w:val="single" w:sz="4" w:space="0" w:color="auto"/>
              <w:right w:val="nil"/>
            </w:tcBorders>
            <w:shd w:val="clear" w:color="auto" w:fill="FFFFFF"/>
            <w:vAlign w:val="center"/>
          </w:tcPr>
          <w:p w14:paraId="615E5F53" w14:textId="77777777" w:rsidR="00023090" w:rsidRPr="00307E63" w:rsidRDefault="00023090" w:rsidP="00CE76A7">
            <w:pPr>
              <w:autoSpaceDE w:val="0"/>
              <w:autoSpaceDN w:val="0"/>
              <w:adjustRightInd w:val="0"/>
              <w:spacing w:line="320" w:lineRule="atLeast"/>
              <w:ind w:left="60" w:right="60"/>
              <w:rPr>
                <w:color w:val="000000"/>
              </w:rPr>
            </w:pPr>
            <w:r w:rsidRPr="00307E63">
              <w:rPr>
                <w:color w:val="000000"/>
              </w:rPr>
              <w:t>A8</w:t>
            </w:r>
          </w:p>
        </w:tc>
        <w:tc>
          <w:tcPr>
            <w:tcW w:w="1000" w:type="dxa"/>
            <w:tcBorders>
              <w:top w:val="nil"/>
              <w:left w:val="nil"/>
              <w:bottom w:val="single" w:sz="4" w:space="0" w:color="auto"/>
              <w:right w:val="nil"/>
            </w:tcBorders>
            <w:shd w:val="clear" w:color="auto" w:fill="FFFFFF"/>
          </w:tcPr>
          <w:p w14:paraId="7C7BD827" w14:textId="40214608" w:rsidR="00023090" w:rsidRPr="00E16FDD" w:rsidRDefault="00E16FDD" w:rsidP="00E16FDD">
            <w:pPr>
              <w:autoSpaceDE w:val="0"/>
              <w:autoSpaceDN w:val="0"/>
              <w:adjustRightInd w:val="0"/>
              <w:spacing w:line="320" w:lineRule="atLeast"/>
              <w:ind w:left="60" w:right="60"/>
              <w:jc w:val="center"/>
              <w:rPr>
                <w:color w:val="000000"/>
              </w:rPr>
            </w:pPr>
            <w:r>
              <w:rPr>
                <w:color w:val="000000"/>
              </w:rPr>
              <w:t>2.</w:t>
            </w:r>
            <w:r w:rsidR="00023090" w:rsidRPr="00E16FDD">
              <w:rPr>
                <w:color w:val="000000"/>
              </w:rPr>
              <w:t>283</w:t>
            </w:r>
          </w:p>
        </w:tc>
        <w:tc>
          <w:tcPr>
            <w:tcW w:w="1000" w:type="dxa"/>
            <w:tcBorders>
              <w:top w:val="nil"/>
              <w:left w:val="nil"/>
              <w:bottom w:val="single" w:sz="4" w:space="0" w:color="auto"/>
              <w:right w:val="nil"/>
            </w:tcBorders>
            <w:shd w:val="clear" w:color="auto" w:fill="FFFFFF"/>
          </w:tcPr>
          <w:p w14:paraId="36204AAD"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32</w:t>
            </w:r>
          </w:p>
        </w:tc>
        <w:tc>
          <w:tcPr>
            <w:tcW w:w="1379" w:type="dxa"/>
            <w:tcBorders>
              <w:top w:val="nil"/>
              <w:left w:val="nil"/>
              <w:bottom w:val="single" w:sz="4" w:space="0" w:color="auto"/>
              <w:right w:val="nil"/>
            </w:tcBorders>
            <w:shd w:val="clear" w:color="auto" w:fill="FFFFFF"/>
          </w:tcPr>
          <w:p w14:paraId="0FDDA817" w14:textId="2938CA4D" w:rsidR="00023090"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023090" w:rsidRPr="00E16FDD">
              <w:rPr>
                <w:color w:val="000000"/>
              </w:rPr>
              <w:t>.029</w:t>
            </w:r>
          </w:p>
        </w:tc>
        <w:tc>
          <w:tcPr>
            <w:tcW w:w="1456" w:type="dxa"/>
            <w:tcBorders>
              <w:top w:val="nil"/>
              <w:left w:val="nil"/>
              <w:bottom w:val="single" w:sz="4" w:space="0" w:color="auto"/>
              <w:right w:val="nil"/>
            </w:tcBorders>
            <w:shd w:val="clear" w:color="auto" w:fill="FFFFFF"/>
          </w:tcPr>
          <w:p w14:paraId="45863AA5"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4030</w:t>
            </w:r>
          </w:p>
        </w:tc>
        <w:tc>
          <w:tcPr>
            <w:tcW w:w="1456" w:type="dxa"/>
            <w:tcBorders>
              <w:top w:val="nil"/>
              <w:left w:val="nil"/>
              <w:bottom w:val="single" w:sz="4" w:space="0" w:color="auto"/>
              <w:right w:val="nil"/>
            </w:tcBorders>
            <w:shd w:val="clear" w:color="auto" w:fill="FFFFFF"/>
          </w:tcPr>
          <w:p w14:paraId="49849FF0" w14:textId="2C5440F9" w:rsidR="00023090"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023090" w:rsidRPr="00E16FDD">
              <w:rPr>
                <w:color w:val="000000"/>
              </w:rPr>
              <w:t>.43</w:t>
            </w:r>
          </w:p>
        </w:tc>
        <w:tc>
          <w:tcPr>
            <w:tcW w:w="1456" w:type="dxa"/>
            <w:tcBorders>
              <w:top w:val="nil"/>
              <w:left w:val="nil"/>
              <w:bottom w:val="single" w:sz="4" w:space="0" w:color="auto"/>
              <w:right w:val="nil"/>
            </w:tcBorders>
            <w:shd w:val="clear" w:color="auto" w:fill="FFFFFF"/>
          </w:tcPr>
          <w:p w14:paraId="7FF88569" w14:textId="77777777" w:rsidR="00023090" w:rsidRPr="00E16FDD" w:rsidRDefault="00023090" w:rsidP="00E16FDD">
            <w:pPr>
              <w:autoSpaceDE w:val="0"/>
              <w:autoSpaceDN w:val="0"/>
              <w:adjustRightInd w:val="0"/>
              <w:spacing w:line="320" w:lineRule="atLeast"/>
              <w:ind w:left="60" w:right="60"/>
              <w:jc w:val="center"/>
              <w:rPr>
                <w:color w:val="000000"/>
              </w:rPr>
            </w:pPr>
            <w:r w:rsidRPr="00E16FDD">
              <w:rPr>
                <w:color w:val="000000"/>
              </w:rPr>
              <w:t>7.63</w:t>
            </w:r>
          </w:p>
        </w:tc>
      </w:tr>
    </w:tbl>
    <w:p w14:paraId="5B4781AC" w14:textId="77777777" w:rsidR="000E0AF9" w:rsidRDefault="000E0AF9" w:rsidP="000E0AF9">
      <w:pPr>
        <w:autoSpaceDE w:val="0"/>
        <w:autoSpaceDN w:val="0"/>
        <w:adjustRightInd w:val="0"/>
        <w:jc w:val="both"/>
        <w:rPr>
          <w:lang w:val="id-ID"/>
        </w:rPr>
      </w:pPr>
    </w:p>
    <w:p w14:paraId="0F50149E" w14:textId="0B3560DA" w:rsidR="00944089" w:rsidRDefault="00944089" w:rsidP="00944089">
      <w:pPr>
        <w:autoSpaceDE w:val="0"/>
        <w:autoSpaceDN w:val="0"/>
        <w:adjustRightInd w:val="0"/>
        <w:jc w:val="both"/>
        <w:rPr>
          <w:lang w:val="id-ID"/>
        </w:rPr>
      </w:pPr>
      <w:r>
        <w:rPr>
          <w:lang w:val="id-ID"/>
        </w:rPr>
        <w:t>From the output in Table 3 obtained sig value of 0.000 and 0.029 &lt;0.05 then H</w:t>
      </w:r>
      <w:r w:rsidRPr="0003161A">
        <w:rPr>
          <w:vertAlign w:val="subscript"/>
          <w:lang w:val="id-ID"/>
        </w:rPr>
        <w:t>0</w:t>
      </w:r>
      <w:r>
        <w:rPr>
          <w:lang w:val="id-ID"/>
        </w:rPr>
        <w:t xml:space="preserve"> is accepted so that the learning average is not better than 70.</w:t>
      </w:r>
    </w:p>
    <w:p w14:paraId="0E33A720" w14:textId="77777777" w:rsidR="00944089" w:rsidRDefault="00944089" w:rsidP="00225C0A">
      <w:pPr>
        <w:autoSpaceDE w:val="0"/>
        <w:autoSpaceDN w:val="0"/>
        <w:adjustRightInd w:val="0"/>
        <w:jc w:val="both"/>
        <w:rPr>
          <w:lang w:val="id-ID"/>
        </w:rPr>
      </w:pPr>
    </w:p>
    <w:p w14:paraId="2BF93639" w14:textId="187B65FA" w:rsidR="00023090" w:rsidRDefault="00225C0A" w:rsidP="00225C0A">
      <w:pPr>
        <w:autoSpaceDE w:val="0"/>
        <w:autoSpaceDN w:val="0"/>
        <w:adjustRightInd w:val="0"/>
        <w:jc w:val="both"/>
        <w:rPr>
          <w:lang w:val="id-ID"/>
        </w:rPr>
      </w:pPr>
      <w:r>
        <w:rPr>
          <w:lang w:val="id-ID"/>
        </w:rPr>
        <w:t xml:space="preserve">Binomial test is used to test the hypothesis if the population consists of two class groups, the data is on a nominal scale, and the sample is small. The probability parameter for both groups or called classical completeness is 75%. The proportion of observations is determined by the number of cases of a dichotomous variable or the number of cases limited by a cut point of 70 in accordance with the Minimum Completeness Criteria set by the school. </w:t>
      </w:r>
    </w:p>
    <w:tbl>
      <w:tblPr>
        <w:tblW w:w="84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6"/>
        <w:gridCol w:w="995"/>
        <w:gridCol w:w="125"/>
        <w:gridCol w:w="23"/>
        <w:gridCol w:w="852"/>
        <w:gridCol w:w="177"/>
        <w:gridCol w:w="23"/>
        <w:gridCol w:w="800"/>
        <w:gridCol w:w="213"/>
        <w:gridCol w:w="23"/>
        <w:gridCol w:w="1174"/>
        <w:gridCol w:w="310"/>
        <w:gridCol w:w="23"/>
        <w:gridCol w:w="1123"/>
        <w:gridCol w:w="15"/>
        <w:gridCol w:w="23"/>
        <w:gridCol w:w="1487"/>
        <w:gridCol w:w="23"/>
      </w:tblGrid>
      <w:tr w:rsidR="00225C0A" w:rsidRPr="00427F30" w14:paraId="0AFCF082" w14:textId="77777777" w:rsidTr="00944089">
        <w:trPr>
          <w:gridAfter w:val="4"/>
          <w:wAfter w:w="1548" w:type="dxa"/>
          <w:cantSplit/>
          <w:jc w:val="center"/>
        </w:trPr>
        <w:tc>
          <w:tcPr>
            <w:tcW w:w="6877" w:type="dxa"/>
            <w:gridSpan w:val="14"/>
            <w:tcBorders>
              <w:top w:val="nil"/>
              <w:left w:val="nil"/>
              <w:bottom w:val="nil"/>
              <w:right w:val="nil"/>
            </w:tcBorders>
            <w:shd w:val="clear" w:color="auto" w:fill="FFFFFF"/>
          </w:tcPr>
          <w:p w14:paraId="1E3FA72B" w14:textId="0B6C7D83" w:rsidR="00225C0A" w:rsidRPr="00427F30" w:rsidRDefault="00427F30" w:rsidP="00944089">
            <w:pPr>
              <w:autoSpaceDE w:val="0"/>
              <w:autoSpaceDN w:val="0"/>
              <w:adjustRightInd w:val="0"/>
              <w:spacing w:line="320" w:lineRule="atLeast"/>
              <w:ind w:right="60"/>
              <w:jc w:val="center"/>
              <w:rPr>
                <w:bCs/>
                <w:color w:val="000000"/>
              </w:rPr>
            </w:pPr>
            <w:r w:rsidRPr="00427F30">
              <w:rPr>
                <w:bCs/>
                <w:color w:val="000000"/>
              </w:rPr>
              <w:t xml:space="preserve">Table </w:t>
            </w:r>
            <w:r w:rsidR="00944089">
              <w:rPr>
                <w:bCs/>
                <w:color w:val="000000"/>
                <w:lang w:val="id-ID"/>
              </w:rPr>
              <w:t>4</w:t>
            </w:r>
            <w:r w:rsidRPr="00427F30">
              <w:rPr>
                <w:bCs/>
                <w:color w:val="000000"/>
              </w:rPr>
              <w:t xml:space="preserve">. </w:t>
            </w:r>
            <w:r w:rsidR="00225C0A" w:rsidRPr="00427F30">
              <w:rPr>
                <w:bCs/>
                <w:color w:val="000000"/>
              </w:rPr>
              <w:t>Binomial Test</w:t>
            </w:r>
          </w:p>
        </w:tc>
      </w:tr>
      <w:tr w:rsidR="00225C0A" w:rsidRPr="00427F30" w14:paraId="6264EB81" w14:textId="77777777" w:rsidTr="00944089">
        <w:trPr>
          <w:cantSplit/>
          <w:trHeight w:val="571"/>
          <w:jc w:val="center"/>
        </w:trPr>
        <w:tc>
          <w:tcPr>
            <w:tcW w:w="2159" w:type="dxa"/>
            <w:gridSpan w:val="4"/>
            <w:tcBorders>
              <w:top w:val="single" w:sz="4" w:space="0" w:color="auto"/>
              <w:left w:val="nil"/>
              <w:bottom w:val="nil"/>
              <w:right w:val="nil"/>
            </w:tcBorders>
            <w:shd w:val="clear" w:color="auto" w:fill="FFFFFF"/>
            <w:vAlign w:val="center"/>
          </w:tcPr>
          <w:p w14:paraId="24A358D3" w14:textId="77777777" w:rsidR="00225C0A" w:rsidRPr="00427F30" w:rsidRDefault="00225C0A" w:rsidP="00AB59A6">
            <w:pPr>
              <w:autoSpaceDE w:val="0"/>
              <w:autoSpaceDN w:val="0"/>
              <w:adjustRightInd w:val="0"/>
              <w:jc w:val="center"/>
            </w:pPr>
          </w:p>
        </w:tc>
        <w:tc>
          <w:tcPr>
            <w:tcW w:w="1052" w:type="dxa"/>
            <w:gridSpan w:val="3"/>
            <w:tcBorders>
              <w:top w:val="single" w:sz="4" w:space="0" w:color="auto"/>
              <w:left w:val="nil"/>
              <w:bottom w:val="single" w:sz="4" w:space="0" w:color="auto"/>
              <w:right w:val="nil"/>
            </w:tcBorders>
            <w:shd w:val="clear" w:color="auto" w:fill="FFFFFF"/>
            <w:vAlign w:val="center"/>
          </w:tcPr>
          <w:p w14:paraId="29934B37" w14:textId="77777777" w:rsidR="00225C0A" w:rsidRPr="00427F30" w:rsidRDefault="00225C0A" w:rsidP="00AB59A6">
            <w:pPr>
              <w:autoSpaceDE w:val="0"/>
              <w:autoSpaceDN w:val="0"/>
              <w:adjustRightInd w:val="0"/>
              <w:spacing w:line="320" w:lineRule="atLeast"/>
              <w:ind w:left="60" w:right="60"/>
              <w:jc w:val="center"/>
              <w:rPr>
                <w:color w:val="000000"/>
              </w:rPr>
            </w:pPr>
            <w:r w:rsidRPr="00427F30">
              <w:rPr>
                <w:color w:val="000000"/>
              </w:rPr>
              <w:t>Category</w:t>
            </w:r>
          </w:p>
        </w:tc>
        <w:tc>
          <w:tcPr>
            <w:tcW w:w="1036" w:type="dxa"/>
            <w:gridSpan w:val="3"/>
            <w:tcBorders>
              <w:top w:val="single" w:sz="4" w:space="0" w:color="auto"/>
              <w:left w:val="nil"/>
              <w:bottom w:val="single" w:sz="4" w:space="0" w:color="auto"/>
              <w:right w:val="nil"/>
            </w:tcBorders>
            <w:shd w:val="clear" w:color="auto" w:fill="FFFFFF"/>
            <w:vAlign w:val="center"/>
          </w:tcPr>
          <w:p w14:paraId="12B953CA" w14:textId="77777777" w:rsidR="00225C0A" w:rsidRPr="00427F30" w:rsidRDefault="00225C0A" w:rsidP="00AB59A6">
            <w:pPr>
              <w:autoSpaceDE w:val="0"/>
              <w:autoSpaceDN w:val="0"/>
              <w:adjustRightInd w:val="0"/>
              <w:spacing w:line="320" w:lineRule="atLeast"/>
              <w:ind w:left="60" w:right="60"/>
              <w:jc w:val="center"/>
              <w:rPr>
                <w:color w:val="000000"/>
              </w:rPr>
            </w:pPr>
            <w:r w:rsidRPr="00427F30">
              <w:rPr>
                <w:color w:val="000000"/>
              </w:rPr>
              <w:t>N</w:t>
            </w:r>
          </w:p>
        </w:tc>
        <w:tc>
          <w:tcPr>
            <w:tcW w:w="1507" w:type="dxa"/>
            <w:gridSpan w:val="3"/>
            <w:tcBorders>
              <w:top w:val="single" w:sz="4" w:space="0" w:color="auto"/>
              <w:left w:val="nil"/>
              <w:bottom w:val="single" w:sz="4" w:space="0" w:color="auto"/>
              <w:right w:val="nil"/>
            </w:tcBorders>
            <w:shd w:val="clear" w:color="auto" w:fill="FFFFFF"/>
            <w:vAlign w:val="center"/>
          </w:tcPr>
          <w:p w14:paraId="6AD01D32" w14:textId="77777777" w:rsidR="00225C0A" w:rsidRPr="00427F30" w:rsidRDefault="00225C0A" w:rsidP="00AB59A6">
            <w:pPr>
              <w:autoSpaceDE w:val="0"/>
              <w:autoSpaceDN w:val="0"/>
              <w:adjustRightInd w:val="0"/>
              <w:spacing w:line="320" w:lineRule="atLeast"/>
              <w:ind w:left="60" w:right="60"/>
              <w:jc w:val="center"/>
              <w:rPr>
                <w:color w:val="000000"/>
              </w:rPr>
            </w:pPr>
            <w:r w:rsidRPr="00427F30">
              <w:rPr>
                <w:color w:val="000000"/>
              </w:rPr>
              <w:t>Observed Prop.</w:t>
            </w:r>
          </w:p>
        </w:tc>
        <w:tc>
          <w:tcPr>
            <w:tcW w:w="1161" w:type="dxa"/>
            <w:gridSpan w:val="3"/>
            <w:tcBorders>
              <w:top w:val="single" w:sz="4" w:space="0" w:color="auto"/>
              <w:left w:val="nil"/>
              <w:bottom w:val="single" w:sz="4" w:space="0" w:color="auto"/>
              <w:right w:val="nil"/>
            </w:tcBorders>
            <w:shd w:val="clear" w:color="auto" w:fill="FFFFFF"/>
            <w:vAlign w:val="center"/>
          </w:tcPr>
          <w:p w14:paraId="4CFD012F" w14:textId="77777777" w:rsidR="00225C0A" w:rsidRPr="00427F30" w:rsidRDefault="00225C0A" w:rsidP="00AB59A6">
            <w:pPr>
              <w:autoSpaceDE w:val="0"/>
              <w:autoSpaceDN w:val="0"/>
              <w:adjustRightInd w:val="0"/>
              <w:spacing w:line="320" w:lineRule="atLeast"/>
              <w:ind w:left="60" w:right="60"/>
              <w:jc w:val="center"/>
              <w:rPr>
                <w:color w:val="000000"/>
              </w:rPr>
            </w:pPr>
            <w:r w:rsidRPr="00427F30">
              <w:rPr>
                <w:color w:val="000000"/>
              </w:rPr>
              <w:t>Test Prop.</w:t>
            </w:r>
          </w:p>
        </w:tc>
        <w:tc>
          <w:tcPr>
            <w:tcW w:w="1510" w:type="dxa"/>
            <w:gridSpan w:val="2"/>
            <w:tcBorders>
              <w:top w:val="single" w:sz="4" w:space="0" w:color="auto"/>
              <w:left w:val="nil"/>
              <w:bottom w:val="single" w:sz="4" w:space="0" w:color="auto"/>
              <w:right w:val="nil"/>
            </w:tcBorders>
            <w:shd w:val="clear" w:color="auto" w:fill="FFFFFF"/>
            <w:vAlign w:val="center"/>
          </w:tcPr>
          <w:p w14:paraId="21234D9B" w14:textId="77777777" w:rsidR="00225C0A" w:rsidRPr="00427F30" w:rsidRDefault="00225C0A" w:rsidP="00AB59A6">
            <w:pPr>
              <w:autoSpaceDE w:val="0"/>
              <w:autoSpaceDN w:val="0"/>
              <w:adjustRightInd w:val="0"/>
              <w:spacing w:line="320" w:lineRule="atLeast"/>
              <w:ind w:left="60" w:right="60"/>
              <w:jc w:val="center"/>
              <w:rPr>
                <w:color w:val="000000"/>
              </w:rPr>
            </w:pPr>
            <w:r w:rsidRPr="00427F30">
              <w:rPr>
                <w:color w:val="000000"/>
              </w:rPr>
              <w:t>Exact Sig. (1-tailed)</w:t>
            </w:r>
          </w:p>
        </w:tc>
      </w:tr>
      <w:tr w:rsidR="00225C0A" w:rsidRPr="00427F30" w14:paraId="03F70E1A" w14:textId="77777777" w:rsidTr="00944089">
        <w:trPr>
          <w:gridAfter w:val="1"/>
          <w:wAfter w:w="23" w:type="dxa"/>
          <w:cantSplit/>
          <w:trHeight w:val="291"/>
          <w:jc w:val="center"/>
        </w:trPr>
        <w:tc>
          <w:tcPr>
            <w:tcW w:w="1016" w:type="dxa"/>
            <w:vMerge w:val="restart"/>
            <w:tcBorders>
              <w:top w:val="single" w:sz="4" w:space="0" w:color="auto"/>
              <w:left w:val="nil"/>
              <w:bottom w:val="nil"/>
              <w:right w:val="nil"/>
            </w:tcBorders>
            <w:shd w:val="clear" w:color="auto" w:fill="FFFFFF"/>
            <w:vAlign w:val="center"/>
          </w:tcPr>
          <w:p w14:paraId="54AB968B"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A7</w:t>
            </w:r>
          </w:p>
        </w:tc>
        <w:tc>
          <w:tcPr>
            <w:tcW w:w="1120" w:type="dxa"/>
            <w:gridSpan w:val="2"/>
            <w:tcBorders>
              <w:top w:val="single" w:sz="4" w:space="0" w:color="auto"/>
              <w:left w:val="nil"/>
              <w:bottom w:val="nil"/>
              <w:right w:val="nil"/>
            </w:tcBorders>
            <w:shd w:val="clear" w:color="auto" w:fill="FFFFFF"/>
            <w:vAlign w:val="center"/>
          </w:tcPr>
          <w:p w14:paraId="55BB34CD"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Group 1</w:t>
            </w:r>
          </w:p>
        </w:tc>
        <w:tc>
          <w:tcPr>
            <w:tcW w:w="1052" w:type="dxa"/>
            <w:gridSpan w:val="3"/>
            <w:tcBorders>
              <w:top w:val="single" w:sz="4" w:space="0" w:color="auto"/>
              <w:left w:val="nil"/>
              <w:bottom w:val="nil"/>
              <w:right w:val="nil"/>
            </w:tcBorders>
            <w:shd w:val="clear" w:color="auto" w:fill="FFFFFF"/>
          </w:tcPr>
          <w:p w14:paraId="09E5824E"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&lt;= 70</w:t>
            </w:r>
          </w:p>
        </w:tc>
        <w:tc>
          <w:tcPr>
            <w:tcW w:w="1036" w:type="dxa"/>
            <w:gridSpan w:val="3"/>
            <w:tcBorders>
              <w:top w:val="single" w:sz="4" w:space="0" w:color="auto"/>
              <w:left w:val="nil"/>
              <w:bottom w:val="nil"/>
              <w:right w:val="nil"/>
            </w:tcBorders>
            <w:shd w:val="clear" w:color="auto" w:fill="FFFFFF"/>
          </w:tcPr>
          <w:p w14:paraId="44C4980B"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5</w:t>
            </w:r>
          </w:p>
        </w:tc>
        <w:tc>
          <w:tcPr>
            <w:tcW w:w="1507" w:type="dxa"/>
            <w:gridSpan w:val="3"/>
            <w:tcBorders>
              <w:top w:val="single" w:sz="4" w:space="0" w:color="auto"/>
              <w:left w:val="nil"/>
              <w:bottom w:val="nil"/>
              <w:right w:val="nil"/>
            </w:tcBorders>
            <w:shd w:val="clear" w:color="auto" w:fill="FFFFFF"/>
          </w:tcPr>
          <w:p w14:paraId="4509B031" w14:textId="374D5012"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.17</w:t>
            </w:r>
          </w:p>
        </w:tc>
        <w:tc>
          <w:tcPr>
            <w:tcW w:w="1161" w:type="dxa"/>
            <w:gridSpan w:val="3"/>
            <w:tcBorders>
              <w:top w:val="single" w:sz="4" w:space="0" w:color="auto"/>
              <w:left w:val="nil"/>
              <w:bottom w:val="nil"/>
              <w:right w:val="nil"/>
            </w:tcBorders>
            <w:shd w:val="clear" w:color="auto" w:fill="FFFFFF"/>
          </w:tcPr>
          <w:p w14:paraId="1FB92B9C" w14:textId="6BE637BE"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.75</w:t>
            </w:r>
          </w:p>
        </w:tc>
        <w:tc>
          <w:tcPr>
            <w:tcW w:w="1510" w:type="dxa"/>
            <w:gridSpan w:val="2"/>
            <w:tcBorders>
              <w:top w:val="single" w:sz="4" w:space="0" w:color="auto"/>
              <w:left w:val="nil"/>
              <w:bottom w:val="nil"/>
              <w:right w:val="nil"/>
            </w:tcBorders>
            <w:shd w:val="clear" w:color="auto" w:fill="FFFFFF"/>
          </w:tcPr>
          <w:p w14:paraId="1DCAB10D" w14:textId="586A478A"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.000a</w:t>
            </w:r>
          </w:p>
        </w:tc>
      </w:tr>
      <w:tr w:rsidR="00225C0A" w:rsidRPr="00427F30" w14:paraId="2D8E00EC" w14:textId="77777777" w:rsidTr="00944089">
        <w:trPr>
          <w:gridAfter w:val="1"/>
          <w:wAfter w:w="23" w:type="dxa"/>
          <w:cantSplit/>
          <w:trHeight w:val="314"/>
          <w:jc w:val="center"/>
        </w:trPr>
        <w:tc>
          <w:tcPr>
            <w:tcW w:w="1016" w:type="dxa"/>
            <w:vMerge/>
            <w:tcBorders>
              <w:top w:val="nil"/>
              <w:left w:val="nil"/>
              <w:bottom w:val="nil"/>
              <w:right w:val="nil"/>
            </w:tcBorders>
            <w:shd w:val="clear" w:color="auto" w:fill="FFFFFF"/>
            <w:vAlign w:val="center"/>
          </w:tcPr>
          <w:p w14:paraId="37E4AEC6" w14:textId="77777777" w:rsidR="00225C0A" w:rsidRPr="00427F30" w:rsidRDefault="00225C0A" w:rsidP="00CE76A7">
            <w:pPr>
              <w:autoSpaceDE w:val="0"/>
              <w:autoSpaceDN w:val="0"/>
              <w:adjustRightInd w:val="0"/>
              <w:rPr>
                <w:color w:val="000000"/>
              </w:rPr>
            </w:pPr>
          </w:p>
        </w:tc>
        <w:tc>
          <w:tcPr>
            <w:tcW w:w="1120" w:type="dxa"/>
            <w:gridSpan w:val="2"/>
            <w:tcBorders>
              <w:top w:val="nil"/>
              <w:left w:val="nil"/>
              <w:bottom w:val="nil"/>
              <w:right w:val="nil"/>
            </w:tcBorders>
            <w:shd w:val="clear" w:color="auto" w:fill="FFFFFF"/>
            <w:vAlign w:val="center"/>
          </w:tcPr>
          <w:p w14:paraId="5B11A5AA"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Group 2</w:t>
            </w:r>
          </w:p>
        </w:tc>
        <w:tc>
          <w:tcPr>
            <w:tcW w:w="1052" w:type="dxa"/>
            <w:gridSpan w:val="3"/>
            <w:tcBorders>
              <w:top w:val="nil"/>
              <w:left w:val="nil"/>
              <w:bottom w:val="nil"/>
              <w:right w:val="nil"/>
            </w:tcBorders>
            <w:shd w:val="clear" w:color="auto" w:fill="FFFFFF"/>
          </w:tcPr>
          <w:p w14:paraId="4F0D4C64"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&gt; 70</w:t>
            </w:r>
          </w:p>
        </w:tc>
        <w:tc>
          <w:tcPr>
            <w:tcW w:w="1036" w:type="dxa"/>
            <w:gridSpan w:val="3"/>
            <w:tcBorders>
              <w:top w:val="nil"/>
              <w:left w:val="nil"/>
              <w:bottom w:val="nil"/>
              <w:right w:val="nil"/>
            </w:tcBorders>
            <w:shd w:val="clear" w:color="auto" w:fill="FFFFFF"/>
          </w:tcPr>
          <w:p w14:paraId="4C3865CE"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25</w:t>
            </w:r>
          </w:p>
        </w:tc>
        <w:tc>
          <w:tcPr>
            <w:tcW w:w="1507" w:type="dxa"/>
            <w:gridSpan w:val="3"/>
            <w:tcBorders>
              <w:top w:val="nil"/>
              <w:left w:val="nil"/>
              <w:bottom w:val="nil"/>
              <w:right w:val="nil"/>
            </w:tcBorders>
            <w:shd w:val="clear" w:color="auto" w:fill="FFFFFF"/>
          </w:tcPr>
          <w:p w14:paraId="2AA662A2" w14:textId="2C05A48C"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.83</w:t>
            </w:r>
          </w:p>
        </w:tc>
        <w:tc>
          <w:tcPr>
            <w:tcW w:w="1161" w:type="dxa"/>
            <w:gridSpan w:val="3"/>
            <w:tcBorders>
              <w:top w:val="nil"/>
              <w:left w:val="nil"/>
              <w:bottom w:val="nil"/>
              <w:right w:val="nil"/>
            </w:tcBorders>
            <w:shd w:val="clear" w:color="auto" w:fill="FFFFFF"/>
          </w:tcPr>
          <w:p w14:paraId="4C22AFAD" w14:textId="77777777" w:rsidR="00225C0A" w:rsidRPr="00E16FDD" w:rsidRDefault="00225C0A" w:rsidP="00CE76A7">
            <w:pPr>
              <w:autoSpaceDE w:val="0"/>
              <w:autoSpaceDN w:val="0"/>
              <w:adjustRightInd w:val="0"/>
            </w:pPr>
          </w:p>
        </w:tc>
        <w:tc>
          <w:tcPr>
            <w:tcW w:w="1510" w:type="dxa"/>
            <w:gridSpan w:val="2"/>
            <w:tcBorders>
              <w:top w:val="nil"/>
              <w:left w:val="nil"/>
              <w:bottom w:val="nil"/>
              <w:right w:val="nil"/>
            </w:tcBorders>
            <w:shd w:val="clear" w:color="auto" w:fill="FFFFFF"/>
          </w:tcPr>
          <w:p w14:paraId="69BA5CFB" w14:textId="77777777" w:rsidR="00225C0A" w:rsidRPr="00E16FDD" w:rsidRDefault="00225C0A" w:rsidP="00CE76A7">
            <w:pPr>
              <w:autoSpaceDE w:val="0"/>
              <w:autoSpaceDN w:val="0"/>
              <w:adjustRightInd w:val="0"/>
            </w:pPr>
          </w:p>
        </w:tc>
      </w:tr>
      <w:tr w:rsidR="00225C0A" w:rsidRPr="00427F30" w14:paraId="6BB3C49B" w14:textId="77777777" w:rsidTr="00944089">
        <w:trPr>
          <w:gridAfter w:val="1"/>
          <w:wAfter w:w="23" w:type="dxa"/>
          <w:cantSplit/>
          <w:trHeight w:val="324"/>
          <w:jc w:val="center"/>
        </w:trPr>
        <w:tc>
          <w:tcPr>
            <w:tcW w:w="1016" w:type="dxa"/>
            <w:vMerge/>
            <w:tcBorders>
              <w:top w:val="nil"/>
              <w:left w:val="nil"/>
              <w:bottom w:val="nil"/>
              <w:right w:val="nil"/>
            </w:tcBorders>
            <w:shd w:val="clear" w:color="auto" w:fill="FFFFFF"/>
            <w:vAlign w:val="center"/>
          </w:tcPr>
          <w:p w14:paraId="3BC61B40" w14:textId="77777777" w:rsidR="00225C0A" w:rsidRPr="00427F30" w:rsidRDefault="00225C0A" w:rsidP="00CE76A7">
            <w:pPr>
              <w:autoSpaceDE w:val="0"/>
              <w:autoSpaceDN w:val="0"/>
              <w:adjustRightInd w:val="0"/>
            </w:pPr>
          </w:p>
        </w:tc>
        <w:tc>
          <w:tcPr>
            <w:tcW w:w="1120" w:type="dxa"/>
            <w:gridSpan w:val="2"/>
            <w:tcBorders>
              <w:top w:val="nil"/>
              <w:left w:val="nil"/>
              <w:bottom w:val="nil"/>
              <w:right w:val="nil"/>
            </w:tcBorders>
            <w:shd w:val="clear" w:color="auto" w:fill="FFFFFF"/>
            <w:vAlign w:val="center"/>
          </w:tcPr>
          <w:p w14:paraId="3A1044F6"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Total</w:t>
            </w:r>
          </w:p>
        </w:tc>
        <w:tc>
          <w:tcPr>
            <w:tcW w:w="1052" w:type="dxa"/>
            <w:gridSpan w:val="3"/>
            <w:tcBorders>
              <w:top w:val="nil"/>
              <w:left w:val="nil"/>
              <w:bottom w:val="nil"/>
              <w:right w:val="nil"/>
            </w:tcBorders>
            <w:shd w:val="clear" w:color="auto" w:fill="FFFFFF"/>
          </w:tcPr>
          <w:p w14:paraId="1D325BA0" w14:textId="77777777" w:rsidR="00225C0A" w:rsidRPr="00427F30" w:rsidRDefault="00225C0A" w:rsidP="00CE76A7">
            <w:pPr>
              <w:autoSpaceDE w:val="0"/>
              <w:autoSpaceDN w:val="0"/>
              <w:adjustRightInd w:val="0"/>
            </w:pPr>
          </w:p>
        </w:tc>
        <w:tc>
          <w:tcPr>
            <w:tcW w:w="1036" w:type="dxa"/>
            <w:gridSpan w:val="3"/>
            <w:tcBorders>
              <w:top w:val="nil"/>
              <w:left w:val="nil"/>
              <w:bottom w:val="nil"/>
              <w:right w:val="nil"/>
            </w:tcBorders>
            <w:shd w:val="clear" w:color="auto" w:fill="FFFFFF"/>
          </w:tcPr>
          <w:p w14:paraId="2FF1BCD4"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30</w:t>
            </w:r>
          </w:p>
        </w:tc>
        <w:tc>
          <w:tcPr>
            <w:tcW w:w="1507" w:type="dxa"/>
            <w:gridSpan w:val="3"/>
            <w:tcBorders>
              <w:top w:val="nil"/>
              <w:left w:val="nil"/>
              <w:bottom w:val="nil"/>
              <w:right w:val="nil"/>
            </w:tcBorders>
            <w:shd w:val="clear" w:color="auto" w:fill="FFFFFF"/>
          </w:tcPr>
          <w:p w14:paraId="67E5D13A" w14:textId="77777777" w:rsidR="00225C0A" w:rsidRPr="00E16FDD" w:rsidRDefault="00225C0A" w:rsidP="00E16FDD">
            <w:pPr>
              <w:autoSpaceDE w:val="0"/>
              <w:autoSpaceDN w:val="0"/>
              <w:adjustRightInd w:val="0"/>
              <w:spacing w:line="320" w:lineRule="atLeast"/>
              <w:ind w:left="60" w:right="60"/>
              <w:jc w:val="center"/>
              <w:rPr>
                <w:color w:val="000000"/>
              </w:rPr>
            </w:pPr>
            <w:r w:rsidRPr="00E16FDD">
              <w:rPr>
                <w:color w:val="000000"/>
              </w:rPr>
              <w:t>1.00</w:t>
            </w:r>
          </w:p>
        </w:tc>
        <w:tc>
          <w:tcPr>
            <w:tcW w:w="1161" w:type="dxa"/>
            <w:gridSpan w:val="3"/>
            <w:tcBorders>
              <w:top w:val="nil"/>
              <w:left w:val="nil"/>
              <w:bottom w:val="nil"/>
              <w:right w:val="nil"/>
            </w:tcBorders>
            <w:shd w:val="clear" w:color="auto" w:fill="FFFFFF"/>
          </w:tcPr>
          <w:p w14:paraId="76989175" w14:textId="77777777" w:rsidR="00225C0A" w:rsidRPr="00E16FDD" w:rsidRDefault="00225C0A" w:rsidP="00CE76A7">
            <w:pPr>
              <w:autoSpaceDE w:val="0"/>
              <w:autoSpaceDN w:val="0"/>
              <w:adjustRightInd w:val="0"/>
            </w:pPr>
          </w:p>
        </w:tc>
        <w:tc>
          <w:tcPr>
            <w:tcW w:w="1510" w:type="dxa"/>
            <w:gridSpan w:val="2"/>
            <w:tcBorders>
              <w:top w:val="nil"/>
              <w:left w:val="nil"/>
              <w:bottom w:val="nil"/>
              <w:right w:val="nil"/>
            </w:tcBorders>
            <w:shd w:val="clear" w:color="auto" w:fill="FFFFFF"/>
          </w:tcPr>
          <w:p w14:paraId="56112B37" w14:textId="77777777" w:rsidR="00225C0A" w:rsidRPr="00E16FDD" w:rsidRDefault="00225C0A" w:rsidP="00CE76A7">
            <w:pPr>
              <w:autoSpaceDE w:val="0"/>
              <w:autoSpaceDN w:val="0"/>
              <w:adjustRightInd w:val="0"/>
            </w:pPr>
          </w:p>
        </w:tc>
      </w:tr>
      <w:tr w:rsidR="00225C0A" w:rsidRPr="00427F30" w14:paraId="4242999B" w14:textId="77777777" w:rsidTr="00944089">
        <w:trPr>
          <w:gridAfter w:val="1"/>
          <w:wAfter w:w="23" w:type="dxa"/>
          <w:cantSplit/>
          <w:trHeight w:val="291"/>
          <w:jc w:val="center"/>
        </w:trPr>
        <w:tc>
          <w:tcPr>
            <w:tcW w:w="1016" w:type="dxa"/>
            <w:vMerge w:val="restart"/>
            <w:tcBorders>
              <w:top w:val="nil"/>
              <w:left w:val="nil"/>
              <w:bottom w:val="nil"/>
              <w:right w:val="nil"/>
            </w:tcBorders>
            <w:shd w:val="clear" w:color="auto" w:fill="FFFFFF"/>
            <w:vAlign w:val="center"/>
          </w:tcPr>
          <w:p w14:paraId="6A8A502A"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A8</w:t>
            </w:r>
          </w:p>
        </w:tc>
        <w:tc>
          <w:tcPr>
            <w:tcW w:w="1120" w:type="dxa"/>
            <w:gridSpan w:val="2"/>
            <w:tcBorders>
              <w:top w:val="nil"/>
              <w:left w:val="nil"/>
              <w:bottom w:val="nil"/>
              <w:right w:val="nil"/>
            </w:tcBorders>
            <w:shd w:val="clear" w:color="auto" w:fill="FFFFFF"/>
            <w:vAlign w:val="center"/>
          </w:tcPr>
          <w:p w14:paraId="57323DCA"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Group 1</w:t>
            </w:r>
          </w:p>
        </w:tc>
        <w:tc>
          <w:tcPr>
            <w:tcW w:w="1052" w:type="dxa"/>
            <w:gridSpan w:val="3"/>
            <w:tcBorders>
              <w:top w:val="nil"/>
              <w:left w:val="nil"/>
              <w:bottom w:val="nil"/>
              <w:right w:val="nil"/>
            </w:tcBorders>
            <w:shd w:val="clear" w:color="auto" w:fill="FFFFFF"/>
          </w:tcPr>
          <w:p w14:paraId="3D7942C1"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&lt;= 70</w:t>
            </w:r>
          </w:p>
        </w:tc>
        <w:tc>
          <w:tcPr>
            <w:tcW w:w="1036" w:type="dxa"/>
            <w:gridSpan w:val="3"/>
            <w:tcBorders>
              <w:top w:val="nil"/>
              <w:left w:val="nil"/>
              <w:bottom w:val="nil"/>
              <w:right w:val="nil"/>
            </w:tcBorders>
            <w:shd w:val="clear" w:color="auto" w:fill="FFFFFF"/>
          </w:tcPr>
          <w:p w14:paraId="7002ADD1"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15</w:t>
            </w:r>
          </w:p>
        </w:tc>
        <w:tc>
          <w:tcPr>
            <w:tcW w:w="1507" w:type="dxa"/>
            <w:gridSpan w:val="3"/>
            <w:tcBorders>
              <w:top w:val="nil"/>
              <w:left w:val="nil"/>
              <w:bottom w:val="nil"/>
              <w:right w:val="nil"/>
            </w:tcBorders>
            <w:shd w:val="clear" w:color="auto" w:fill="FFFFFF"/>
          </w:tcPr>
          <w:p w14:paraId="31D3249C" w14:textId="6F8658D0"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.45</w:t>
            </w:r>
          </w:p>
        </w:tc>
        <w:tc>
          <w:tcPr>
            <w:tcW w:w="1161" w:type="dxa"/>
            <w:gridSpan w:val="3"/>
            <w:tcBorders>
              <w:top w:val="nil"/>
              <w:left w:val="nil"/>
              <w:bottom w:val="nil"/>
              <w:right w:val="nil"/>
            </w:tcBorders>
            <w:shd w:val="clear" w:color="auto" w:fill="FFFFFF"/>
          </w:tcPr>
          <w:p w14:paraId="0C304DEA" w14:textId="79F573D9"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.75</w:t>
            </w:r>
          </w:p>
        </w:tc>
        <w:tc>
          <w:tcPr>
            <w:tcW w:w="1510" w:type="dxa"/>
            <w:gridSpan w:val="2"/>
            <w:tcBorders>
              <w:top w:val="nil"/>
              <w:left w:val="nil"/>
              <w:bottom w:val="nil"/>
              <w:right w:val="nil"/>
            </w:tcBorders>
            <w:shd w:val="clear" w:color="auto" w:fill="FFFFFF"/>
          </w:tcPr>
          <w:p w14:paraId="3429CA4C" w14:textId="00474EC8"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.000a</w:t>
            </w:r>
          </w:p>
        </w:tc>
      </w:tr>
      <w:tr w:rsidR="00225C0A" w:rsidRPr="00427F30" w14:paraId="31B9C99D" w14:textId="77777777" w:rsidTr="00944089">
        <w:trPr>
          <w:gridAfter w:val="1"/>
          <w:wAfter w:w="23" w:type="dxa"/>
          <w:cantSplit/>
          <w:trHeight w:val="314"/>
          <w:jc w:val="center"/>
        </w:trPr>
        <w:tc>
          <w:tcPr>
            <w:tcW w:w="1016" w:type="dxa"/>
            <w:vMerge/>
            <w:tcBorders>
              <w:top w:val="nil"/>
              <w:left w:val="nil"/>
              <w:bottom w:val="nil"/>
              <w:right w:val="nil"/>
            </w:tcBorders>
            <w:shd w:val="clear" w:color="auto" w:fill="FFFFFF"/>
            <w:vAlign w:val="center"/>
          </w:tcPr>
          <w:p w14:paraId="100B9A8A" w14:textId="77777777" w:rsidR="00225C0A" w:rsidRPr="00427F30" w:rsidRDefault="00225C0A" w:rsidP="00CE76A7">
            <w:pPr>
              <w:autoSpaceDE w:val="0"/>
              <w:autoSpaceDN w:val="0"/>
              <w:adjustRightInd w:val="0"/>
              <w:rPr>
                <w:color w:val="000000"/>
              </w:rPr>
            </w:pPr>
          </w:p>
        </w:tc>
        <w:tc>
          <w:tcPr>
            <w:tcW w:w="1120" w:type="dxa"/>
            <w:gridSpan w:val="2"/>
            <w:tcBorders>
              <w:top w:val="nil"/>
              <w:left w:val="nil"/>
              <w:bottom w:val="nil"/>
              <w:right w:val="nil"/>
            </w:tcBorders>
            <w:shd w:val="clear" w:color="auto" w:fill="FFFFFF"/>
            <w:vAlign w:val="center"/>
          </w:tcPr>
          <w:p w14:paraId="283461B2"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Group 2</w:t>
            </w:r>
          </w:p>
        </w:tc>
        <w:tc>
          <w:tcPr>
            <w:tcW w:w="1052" w:type="dxa"/>
            <w:gridSpan w:val="3"/>
            <w:tcBorders>
              <w:top w:val="nil"/>
              <w:left w:val="nil"/>
              <w:bottom w:val="nil"/>
              <w:right w:val="nil"/>
            </w:tcBorders>
            <w:shd w:val="clear" w:color="auto" w:fill="FFFFFF"/>
          </w:tcPr>
          <w:p w14:paraId="7C94C107"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&gt; 70</w:t>
            </w:r>
          </w:p>
        </w:tc>
        <w:tc>
          <w:tcPr>
            <w:tcW w:w="1036" w:type="dxa"/>
            <w:gridSpan w:val="3"/>
            <w:tcBorders>
              <w:top w:val="nil"/>
              <w:left w:val="nil"/>
              <w:bottom w:val="nil"/>
              <w:right w:val="nil"/>
            </w:tcBorders>
            <w:shd w:val="clear" w:color="auto" w:fill="FFFFFF"/>
          </w:tcPr>
          <w:p w14:paraId="71BE21CD"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18</w:t>
            </w:r>
          </w:p>
        </w:tc>
        <w:tc>
          <w:tcPr>
            <w:tcW w:w="1507" w:type="dxa"/>
            <w:gridSpan w:val="3"/>
            <w:tcBorders>
              <w:top w:val="nil"/>
              <w:left w:val="nil"/>
              <w:bottom w:val="nil"/>
              <w:right w:val="nil"/>
            </w:tcBorders>
            <w:shd w:val="clear" w:color="auto" w:fill="FFFFFF"/>
          </w:tcPr>
          <w:p w14:paraId="2623A3D8" w14:textId="100A081F" w:rsidR="00225C0A" w:rsidRPr="00E16FDD" w:rsidRDefault="00E16FDD" w:rsidP="00E16FDD">
            <w:pPr>
              <w:autoSpaceDE w:val="0"/>
              <w:autoSpaceDN w:val="0"/>
              <w:adjustRightInd w:val="0"/>
              <w:spacing w:line="320" w:lineRule="atLeast"/>
              <w:ind w:left="60" w:right="60"/>
              <w:jc w:val="center"/>
              <w:rPr>
                <w:color w:val="000000"/>
              </w:rPr>
            </w:pPr>
            <w:r>
              <w:rPr>
                <w:color w:val="000000"/>
                <w:lang w:val="id-ID"/>
              </w:rPr>
              <w:t>0</w:t>
            </w:r>
            <w:r w:rsidR="00225C0A" w:rsidRPr="00E16FDD">
              <w:rPr>
                <w:color w:val="000000"/>
              </w:rPr>
              <w:t>.55</w:t>
            </w:r>
          </w:p>
        </w:tc>
        <w:tc>
          <w:tcPr>
            <w:tcW w:w="1161" w:type="dxa"/>
            <w:gridSpan w:val="3"/>
            <w:tcBorders>
              <w:top w:val="nil"/>
              <w:left w:val="nil"/>
              <w:bottom w:val="nil"/>
              <w:right w:val="nil"/>
            </w:tcBorders>
            <w:shd w:val="clear" w:color="auto" w:fill="FFFFFF"/>
          </w:tcPr>
          <w:p w14:paraId="40515E60" w14:textId="77777777" w:rsidR="00225C0A" w:rsidRPr="00E16FDD" w:rsidRDefault="00225C0A" w:rsidP="00CE76A7">
            <w:pPr>
              <w:autoSpaceDE w:val="0"/>
              <w:autoSpaceDN w:val="0"/>
              <w:adjustRightInd w:val="0"/>
            </w:pPr>
          </w:p>
        </w:tc>
        <w:tc>
          <w:tcPr>
            <w:tcW w:w="1510" w:type="dxa"/>
            <w:gridSpan w:val="2"/>
            <w:tcBorders>
              <w:top w:val="nil"/>
              <w:left w:val="nil"/>
              <w:bottom w:val="nil"/>
              <w:right w:val="nil"/>
            </w:tcBorders>
            <w:shd w:val="clear" w:color="auto" w:fill="FFFFFF"/>
          </w:tcPr>
          <w:p w14:paraId="0C9E589A" w14:textId="77777777" w:rsidR="00225C0A" w:rsidRPr="00E16FDD" w:rsidRDefault="00225C0A" w:rsidP="00CE76A7">
            <w:pPr>
              <w:autoSpaceDE w:val="0"/>
              <w:autoSpaceDN w:val="0"/>
              <w:adjustRightInd w:val="0"/>
            </w:pPr>
          </w:p>
        </w:tc>
      </w:tr>
      <w:tr w:rsidR="00225C0A" w:rsidRPr="00427F30" w14:paraId="3DB65849" w14:textId="77777777" w:rsidTr="00944089">
        <w:trPr>
          <w:gridAfter w:val="1"/>
          <w:wAfter w:w="23" w:type="dxa"/>
          <w:cantSplit/>
          <w:trHeight w:val="324"/>
          <w:jc w:val="center"/>
        </w:trPr>
        <w:tc>
          <w:tcPr>
            <w:tcW w:w="1016" w:type="dxa"/>
            <w:vMerge/>
            <w:tcBorders>
              <w:top w:val="nil"/>
              <w:left w:val="nil"/>
              <w:bottom w:val="single" w:sz="4" w:space="0" w:color="auto"/>
              <w:right w:val="nil"/>
            </w:tcBorders>
            <w:shd w:val="clear" w:color="auto" w:fill="FFFFFF"/>
            <w:vAlign w:val="center"/>
          </w:tcPr>
          <w:p w14:paraId="3F785251" w14:textId="77777777" w:rsidR="00225C0A" w:rsidRPr="00427F30" w:rsidRDefault="00225C0A" w:rsidP="00CE76A7">
            <w:pPr>
              <w:autoSpaceDE w:val="0"/>
              <w:autoSpaceDN w:val="0"/>
              <w:adjustRightInd w:val="0"/>
            </w:pPr>
          </w:p>
        </w:tc>
        <w:tc>
          <w:tcPr>
            <w:tcW w:w="1120" w:type="dxa"/>
            <w:gridSpan w:val="2"/>
            <w:tcBorders>
              <w:top w:val="nil"/>
              <w:left w:val="nil"/>
              <w:bottom w:val="single" w:sz="4" w:space="0" w:color="auto"/>
              <w:right w:val="nil"/>
            </w:tcBorders>
            <w:shd w:val="clear" w:color="auto" w:fill="FFFFFF"/>
            <w:vAlign w:val="center"/>
          </w:tcPr>
          <w:p w14:paraId="05FAD5CE" w14:textId="77777777" w:rsidR="00225C0A" w:rsidRPr="00427F30" w:rsidRDefault="00225C0A" w:rsidP="00CE76A7">
            <w:pPr>
              <w:autoSpaceDE w:val="0"/>
              <w:autoSpaceDN w:val="0"/>
              <w:adjustRightInd w:val="0"/>
              <w:spacing w:line="320" w:lineRule="atLeast"/>
              <w:ind w:left="60" w:right="60"/>
              <w:rPr>
                <w:color w:val="000000"/>
              </w:rPr>
            </w:pPr>
            <w:r w:rsidRPr="00427F30">
              <w:rPr>
                <w:color w:val="000000"/>
              </w:rPr>
              <w:t>Total</w:t>
            </w:r>
          </w:p>
        </w:tc>
        <w:tc>
          <w:tcPr>
            <w:tcW w:w="1052" w:type="dxa"/>
            <w:gridSpan w:val="3"/>
            <w:tcBorders>
              <w:top w:val="nil"/>
              <w:left w:val="nil"/>
              <w:bottom w:val="single" w:sz="4" w:space="0" w:color="auto"/>
              <w:right w:val="nil"/>
            </w:tcBorders>
            <w:shd w:val="clear" w:color="auto" w:fill="FFFFFF"/>
          </w:tcPr>
          <w:p w14:paraId="02E8F44A" w14:textId="77777777" w:rsidR="00225C0A" w:rsidRPr="00427F30" w:rsidRDefault="00225C0A" w:rsidP="00CE76A7">
            <w:pPr>
              <w:autoSpaceDE w:val="0"/>
              <w:autoSpaceDN w:val="0"/>
              <w:adjustRightInd w:val="0"/>
            </w:pPr>
          </w:p>
        </w:tc>
        <w:tc>
          <w:tcPr>
            <w:tcW w:w="1036" w:type="dxa"/>
            <w:gridSpan w:val="3"/>
            <w:tcBorders>
              <w:top w:val="nil"/>
              <w:left w:val="nil"/>
              <w:bottom w:val="single" w:sz="4" w:space="0" w:color="auto"/>
              <w:right w:val="nil"/>
            </w:tcBorders>
            <w:shd w:val="clear" w:color="auto" w:fill="FFFFFF"/>
          </w:tcPr>
          <w:p w14:paraId="3DF0740E" w14:textId="77777777" w:rsidR="00225C0A" w:rsidRPr="00427F30" w:rsidRDefault="00225C0A" w:rsidP="00E16FDD">
            <w:pPr>
              <w:autoSpaceDE w:val="0"/>
              <w:autoSpaceDN w:val="0"/>
              <w:adjustRightInd w:val="0"/>
              <w:spacing w:line="320" w:lineRule="atLeast"/>
              <w:ind w:left="60" w:right="60"/>
              <w:jc w:val="center"/>
              <w:rPr>
                <w:color w:val="000000"/>
              </w:rPr>
            </w:pPr>
            <w:r w:rsidRPr="00427F30">
              <w:rPr>
                <w:color w:val="000000"/>
              </w:rPr>
              <w:t>33</w:t>
            </w:r>
          </w:p>
        </w:tc>
        <w:tc>
          <w:tcPr>
            <w:tcW w:w="1507" w:type="dxa"/>
            <w:gridSpan w:val="3"/>
            <w:tcBorders>
              <w:top w:val="nil"/>
              <w:left w:val="nil"/>
              <w:bottom w:val="single" w:sz="4" w:space="0" w:color="auto"/>
              <w:right w:val="nil"/>
            </w:tcBorders>
            <w:shd w:val="clear" w:color="auto" w:fill="FFFFFF"/>
          </w:tcPr>
          <w:p w14:paraId="4CA10744" w14:textId="77777777" w:rsidR="00225C0A" w:rsidRPr="00E16FDD" w:rsidRDefault="00225C0A" w:rsidP="00E16FDD">
            <w:pPr>
              <w:autoSpaceDE w:val="0"/>
              <w:autoSpaceDN w:val="0"/>
              <w:adjustRightInd w:val="0"/>
              <w:spacing w:line="320" w:lineRule="atLeast"/>
              <w:ind w:left="60" w:right="60"/>
              <w:jc w:val="center"/>
              <w:rPr>
                <w:color w:val="000000"/>
              </w:rPr>
            </w:pPr>
            <w:r w:rsidRPr="00E16FDD">
              <w:rPr>
                <w:color w:val="000000"/>
              </w:rPr>
              <w:t>1.00</w:t>
            </w:r>
          </w:p>
        </w:tc>
        <w:tc>
          <w:tcPr>
            <w:tcW w:w="1161" w:type="dxa"/>
            <w:gridSpan w:val="3"/>
            <w:tcBorders>
              <w:top w:val="nil"/>
              <w:left w:val="nil"/>
              <w:bottom w:val="single" w:sz="4" w:space="0" w:color="auto"/>
              <w:right w:val="nil"/>
            </w:tcBorders>
            <w:shd w:val="clear" w:color="auto" w:fill="FFFFFF"/>
          </w:tcPr>
          <w:p w14:paraId="58A0A5CD" w14:textId="77777777" w:rsidR="00225C0A" w:rsidRPr="00E16FDD" w:rsidRDefault="00225C0A" w:rsidP="00CE76A7">
            <w:pPr>
              <w:autoSpaceDE w:val="0"/>
              <w:autoSpaceDN w:val="0"/>
              <w:adjustRightInd w:val="0"/>
            </w:pPr>
          </w:p>
        </w:tc>
        <w:tc>
          <w:tcPr>
            <w:tcW w:w="1510" w:type="dxa"/>
            <w:gridSpan w:val="2"/>
            <w:tcBorders>
              <w:top w:val="nil"/>
              <w:left w:val="nil"/>
              <w:bottom w:val="single" w:sz="4" w:space="0" w:color="auto"/>
              <w:right w:val="nil"/>
            </w:tcBorders>
            <w:shd w:val="clear" w:color="auto" w:fill="FFFFFF"/>
          </w:tcPr>
          <w:p w14:paraId="26058B1B" w14:textId="77777777" w:rsidR="00225C0A" w:rsidRPr="00E16FDD" w:rsidRDefault="00225C0A" w:rsidP="00CE76A7">
            <w:pPr>
              <w:autoSpaceDE w:val="0"/>
              <w:autoSpaceDN w:val="0"/>
              <w:adjustRightInd w:val="0"/>
            </w:pPr>
          </w:p>
        </w:tc>
      </w:tr>
      <w:tr w:rsidR="00E77D70" w:rsidRPr="00427F30" w14:paraId="218DE784" w14:textId="77777777" w:rsidTr="004873DF">
        <w:trPr>
          <w:cantSplit/>
          <w:trHeight w:val="291"/>
          <w:jc w:val="center"/>
        </w:trPr>
        <w:tc>
          <w:tcPr>
            <w:tcW w:w="8425" w:type="dxa"/>
            <w:gridSpan w:val="18"/>
            <w:tcBorders>
              <w:top w:val="single" w:sz="4" w:space="0" w:color="auto"/>
              <w:left w:val="nil"/>
              <w:bottom w:val="nil"/>
              <w:right w:val="nil"/>
            </w:tcBorders>
            <w:shd w:val="clear" w:color="auto" w:fill="FFFFFF"/>
          </w:tcPr>
          <w:p w14:paraId="0EA315F4" w14:textId="55C4EB74" w:rsidR="00E77D70" w:rsidRPr="00944089" w:rsidRDefault="00E77D70" w:rsidP="00E16FDD">
            <w:pPr>
              <w:autoSpaceDE w:val="0"/>
              <w:autoSpaceDN w:val="0"/>
              <w:adjustRightInd w:val="0"/>
              <w:jc w:val="both"/>
              <w:rPr>
                <w:lang w:val="id-ID"/>
              </w:rPr>
            </w:pPr>
            <w:r>
              <w:rPr>
                <w:lang w:val="id-ID"/>
              </w:rPr>
              <w:t xml:space="preserve">In the experimental class, it was found that </w:t>
            </w:r>
            <w:r w:rsidR="00E16FDD">
              <w:rPr>
                <w:lang w:val="id-ID"/>
              </w:rPr>
              <w:t xml:space="preserve">as 25 students or </w:t>
            </w:r>
            <w:r>
              <w:rPr>
                <w:lang w:val="id-ID"/>
              </w:rPr>
              <w:t xml:space="preserve">83% of students exceeded the cut </w:t>
            </w:r>
            <w:r w:rsidR="00E16FDD">
              <w:rPr>
                <w:lang w:val="id-ID"/>
              </w:rPr>
              <w:t>score</w:t>
            </w:r>
            <w:r>
              <w:rPr>
                <w:lang w:val="id-ID"/>
              </w:rPr>
              <w:t xml:space="preserve"> </w:t>
            </w:r>
            <w:commentRangeStart w:id="14"/>
            <w:commentRangeStart w:id="15"/>
            <w:r>
              <w:rPr>
                <w:lang w:val="id-ID"/>
              </w:rPr>
              <w:t xml:space="preserve">and exceeded the classical completeness score </w:t>
            </w:r>
            <w:r w:rsidR="00E16FDD">
              <w:rPr>
                <w:lang w:val="id-ID"/>
              </w:rPr>
              <w:t>of</w:t>
            </w:r>
            <w:r>
              <w:rPr>
                <w:lang w:val="id-ID"/>
              </w:rPr>
              <w:t xml:space="preserve"> 75%</w:t>
            </w:r>
            <w:commentRangeEnd w:id="14"/>
            <w:r w:rsidR="007A0D5E">
              <w:rPr>
                <w:rStyle w:val="CommentReference"/>
              </w:rPr>
              <w:commentReference w:id="14"/>
            </w:r>
            <w:commentRangeEnd w:id="15"/>
            <w:r w:rsidR="00E16FDD">
              <w:rPr>
                <w:rStyle w:val="CommentReference"/>
              </w:rPr>
              <w:commentReference w:id="15"/>
            </w:r>
            <w:r>
              <w:rPr>
                <w:lang w:val="id-ID"/>
              </w:rPr>
              <w:t xml:space="preserve">. </w:t>
            </w:r>
            <w:commentRangeStart w:id="16"/>
            <w:commentRangeStart w:id="17"/>
            <w:r>
              <w:rPr>
                <w:lang w:val="id-ID"/>
              </w:rPr>
              <w:t xml:space="preserve">In the control class, it was found that </w:t>
            </w:r>
            <w:r w:rsidR="00E16FDD">
              <w:rPr>
                <w:lang w:val="id-ID"/>
              </w:rPr>
              <w:t xml:space="preserve">as 18 students or </w:t>
            </w:r>
            <w:r>
              <w:rPr>
                <w:lang w:val="id-ID"/>
              </w:rPr>
              <w:t xml:space="preserve">55% of students exceeded the cut point </w:t>
            </w:r>
            <w:r w:rsidR="00E16FDD">
              <w:rPr>
                <w:lang w:val="id-ID"/>
              </w:rPr>
              <w:t>score</w:t>
            </w:r>
            <w:r>
              <w:rPr>
                <w:lang w:val="id-ID"/>
              </w:rPr>
              <w:t>, and did not exceed the classical completeness score of 75%.</w:t>
            </w:r>
            <w:commentRangeEnd w:id="16"/>
            <w:r w:rsidR="007A0D5E">
              <w:rPr>
                <w:rStyle w:val="CommentReference"/>
              </w:rPr>
              <w:commentReference w:id="16"/>
            </w:r>
            <w:commentRangeEnd w:id="17"/>
            <w:r w:rsidR="00E16FDD">
              <w:rPr>
                <w:rStyle w:val="CommentReference"/>
              </w:rPr>
              <w:commentReference w:id="17"/>
            </w:r>
          </w:p>
        </w:tc>
      </w:tr>
      <w:tr w:rsidR="00E77D70" w:rsidRPr="00427F30" w14:paraId="6820F661" w14:textId="77777777" w:rsidTr="00944089">
        <w:trPr>
          <w:gridAfter w:val="4"/>
          <w:wAfter w:w="1548" w:type="dxa"/>
          <w:cantSplit/>
          <w:jc w:val="center"/>
        </w:trPr>
        <w:tc>
          <w:tcPr>
            <w:tcW w:w="6877" w:type="dxa"/>
            <w:gridSpan w:val="14"/>
            <w:tcBorders>
              <w:top w:val="nil"/>
              <w:left w:val="nil"/>
              <w:bottom w:val="single" w:sz="4" w:space="0" w:color="auto"/>
              <w:right w:val="nil"/>
            </w:tcBorders>
            <w:shd w:val="clear" w:color="auto" w:fill="FFFFFF"/>
          </w:tcPr>
          <w:p w14:paraId="12A1E6D3" w14:textId="572F2FF1" w:rsidR="00E77D70" w:rsidRPr="0082581F" w:rsidRDefault="00E77D70" w:rsidP="00E77D70">
            <w:pPr>
              <w:autoSpaceDE w:val="0"/>
              <w:autoSpaceDN w:val="0"/>
              <w:adjustRightInd w:val="0"/>
              <w:spacing w:line="320" w:lineRule="atLeast"/>
              <w:ind w:left="60" w:right="60"/>
              <w:jc w:val="center"/>
              <w:rPr>
                <w:color w:val="000000"/>
              </w:rPr>
            </w:pPr>
            <w:r>
              <w:rPr>
                <w:bCs/>
                <w:color w:val="000000"/>
              </w:rPr>
              <w:lastRenderedPageBreak/>
              <w:t>Table 5</w:t>
            </w:r>
            <w:r w:rsidRPr="0082581F">
              <w:rPr>
                <w:bCs/>
                <w:color w:val="000000"/>
              </w:rPr>
              <w:t>. Group Statistics</w:t>
            </w:r>
          </w:p>
        </w:tc>
      </w:tr>
      <w:tr w:rsidR="00E77D70" w:rsidRPr="00427F30" w14:paraId="787C5D45" w14:textId="77777777" w:rsidTr="00944089">
        <w:trPr>
          <w:gridAfter w:val="4"/>
          <w:wAfter w:w="1548" w:type="dxa"/>
          <w:cantSplit/>
          <w:jc w:val="center"/>
        </w:trPr>
        <w:tc>
          <w:tcPr>
            <w:tcW w:w="1016" w:type="dxa"/>
            <w:tcBorders>
              <w:top w:val="single" w:sz="4" w:space="0" w:color="auto"/>
              <w:left w:val="nil"/>
              <w:bottom w:val="single" w:sz="4" w:space="0" w:color="auto"/>
              <w:right w:val="nil"/>
            </w:tcBorders>
            <w:vAlign w:val="center"/>
          </w:tcPr>
          <w:p w14:paraId="5398DD40" w14:textId="77777777" w:rsidR="00E77D70" w:rsidRPr="00427F30" w:rsidRDefault="00E77D70" w:rsidP="00E77D70">
            <w:pPr>
              <w:autoSpaceDE w:val="0"/>
              <w:autoSpaceDN w:val="0"/>
              <w:adjustRightInd w:val="0"/>
              <w:rPr>
                <w:color w:val="000000"/>
              </w:rPr>
            </w:pPr>
          </w:p>
        </w:tc>
        <w:tc>
          <w:tcPr>
            <w:tcW w:w="995" w:type="dxa"/>
            <w:tcBorders>
              <w:top w:val="single" w:sz="4" w:space="0" w:color="auto"/>
              <w:left w:val="nil"/>
              <w:bottom w:val="single" w:sz="4" w:space="0" w:color="auto"/>
              <w:right w:val="nil"/>
            </w:tcBorders>
            <w:shd w:val="clear" w:color="auto" w:fill="FFFFFF"/>
          </w:tcPr>
          <w:p w14:paraId="2A6CBD50" w14:textId="77777777" w:rsidR="00E77D70" w:rsidRPr="00427F30" w:rsidRDefault="00E77D70" w:rsidP="00E77D70">
            <w:pPr>
              <w:autoSpaceDE w:val="0"/>
              <w:autoSpaceDN w:val="0"/>
              <w:adjustRightInd w:val="0"/>
              <w:spacing w:line="320" w:lineRule="atLeast"/>
              <w:ind w:left="60" w:right="60"/>
              <w:rPr>
                <w:color w:val="000000"/>
              </w:rPr>
            </w:pPr>
            <w:r w:rsidRPr="00427F30">
              <w:rPr>
                <w:color w:val="000000"/>
              </w:rPr>
              <w:t>CLASS</w:t>
            </w:r>
          </w:p>
        </w:tc>
        <w:tc>
          <w:tcPr>
            <w:tcW w:w="1000" w:type="dxa"/>
            <w:gridSpan w:val="3"/>
            <w:tcBorders>
              <w:top w:val="single" w:sz="4" w:space="0" w:color="auto"/>
              <w:left w:val="nil"/>
              <w:bottom w:val="single" w:sz="4" w:space="0" w:color="auto"/>
              <w:right w:val="nil"/>
            </w:tcBorders>
            <w:shd w:val="clear" w:color="auto" w:fill="FFFFFF"/>
          </w:tcPr>
          <w:p w14:paraId="28A77078"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N</w:t>
            </w:r>
          </w:p>
        </w:tc>
        <w:tc>
          <w:tcPr>
            <w:tcW w:w="1000" w:type="dxa"/>
            <w:gridSpan w:val="3"/>
            <w:tcBorders>
              <w:top w:val="single" w:sz="4" w:space="0" w:color="auto"/>
              <w:left w:val="nil"/>
              <w:bottom w:val="single" w:sz="4" w:space="0" w:color="auto"/>
              <w:right w:val="nil"/>
            </w:tcBorders>
            <w:shd w:val="clear" w:color="auto" w:fill="FFFFFF"/>
          </w:tcPr>
          <w:p w14:paraId="3A926D3B" w14:textId="367F2885" w:rsidR="00E77D70" w:rsidRPr="00427F30" w:rsidRDefault="00E77D70" w:rsidP="00E77D70">
            <w:pPr>
              <w:autoSpaceDE w:val="0"/>
              <w:autoSpaceDN w:val="0"/>
              <w:adjustRightInd w:val="0"/>
              <w:spacing w:line="320" w:lineRule="atLeast"/>
              <w:ind w:left="60" w:right="60"/>
              <w:jc w:val="center"/>
              <w:rPr>
                <w:color w:val="000000"/>
              </w:rPr>
            </w:pPr>
            <w:r>
              <w:rPr>
                <w:color w:val="000000"/>
              </w:rPr>
              <w:t>M</w:t>
            </w:r>
            <w:r w:rsidRPr="00427F30">
              <w:rPr>
                <w:color w:val="000000"/>
              </w:rPr>
              <w:t>ean</w:t>
            </w:r>
          </w:p>
        </w:tc>
        <w:tc>
          <w:tcPr>
            <w:tcW w:w="1410" w:type="dxa"/>
            <w:gridSpan w:val="3"/>
            <w:tcBorders>
              <w:top w:val="single" w:sz="4" w:space="0" w:color="auto"/>
              <w:left w:val="nil"/>
              <w:bottom w:val="single" w:sz="4" w:space="0" w:color="auto"/>
              <w:right w:val="nil"/>
            </w:tcBorders>
            <w:shd w:val="clear" w:color="auto" w:fill="FFFFFF"/>
          </w:tcPr>
          <w:p w14:paraId="1E754EC5"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Std. Deviation</w:t>
            </w:r>
          </w:p>
        </w:tc>
        <w:tc>
          <w:tcPr>
            <w:tcW w:w="1456" w:type="dxa"/>
            <w:gridSpan w:val="3"/>
            <w:tcBorders>
              <w:top w:val="single" w:sz="4" w:space="0" w:color="auto"/>
              <w:left w:val="nil"/>
              <w:bottom w:val="single" w:sz="4" w:space="0" w:color="auto"/>
              <w:right w:val="nil"/>
            </w:tcBorders>
            <w:shd w:val="clear" w:color="auto" w:fill="FFFFFF"/>
          </w:tcPr>
          <w:p w14:paraId="155BA958"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Std. Error Mean</w:t>
            </w:r>
          </w:p>
        </w:tc>
      </w:tr>
      <w:tr w:rsidR="00E77D70" w:rsidRPr="00427F30" w14:paraId="02C97F46" w14:textId="77777777" w:rsidTr="00944089">
        <w:trPr>
          <w:gridAfter w:val="4"/>
          <w:wAfter w:w="1548" w:type="dxa"/>
          <w:cantSplit/>
          <w:trHeight w:val="70"/>
          <w:jc w:val="center"/>
        </w:trPr>
        <w:tc>
          <w:tcPr>
            <w:tcW w:w="1016" w:type="dxa"/>
            <w:vMerge w:val="restart"/>
            <w:tcBorders>
              <w:top w:val="single" w:sz="4" w:space="0" w:color="auto"/>
              <w:left w:val="nil"/>
              <w:bottom w:val="nil"/>
              <w:right w:val="nil"/>
            </w:tcBorders>
            <w:shd w:val="clear" w:color="auto" w:fill="FFFFFF"/>
            <w:vAlign w:val="center"/>
          </w:tcPr>
          <w:p w14:paraId="56132B22" w14:textId="77777777" w:rsidR="00E77D70" w:rsidRPr="00427F30" w:rsidRDefault="00E77D70" w:rsidP="00E77D70">
            <w:pPr>
              <w:autoSpaceDE w:val="0"/>
              <w:autoSpaceDN w:val="0"/>
              <w:adjustRightInd w:val="0"/>
              <w:spacing w:line="320" w:lineRule="atLeast"/>
              <w:ind w:left="60" w:right="60"/>
              <w:rPr>
                <w:color w:val="000000"/>
              </w:rPr>
            </w:pPr>
            <w:r w:rsidRPr="00427F30">
              <w:rPr>
                <w:color w:val="000000"/>
              </w:rPr>
              <w:t>DATA</w:t>
            </w:r>
          </w:p>
        </w:tc>
        <w:tc>
          <w:tcPr>
            <w:tcW w:w="995" w:type="dxa"/>
            <w:tcBorders>
              <w:top w:val="single" w:sz="4" w:space="0" w:color="auto"/>
              <w:left w:val="nil"/>
              <w:bottom w:val="nil"/>
              <w:right w:val="nil"/>
            </w:tcBorders>
            <w:shd w:val="clear" w:color="auto" w:fill="FFFFFF"/>
            <w:vAlign w:val="center"/>
          </w:tcPr>
          <w:p w14:paraId="386A95FD"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1</w:t>
            </w:r>
          </w:p>
        </w:tc>
        <w:tc>
          <w:tcPr>
            <w:tcW w:w="1000" w:type="dxa"/>
            <w:gridSpan w:val="3"/>
            <w:tcBorders>
              <w:top w:val="single" w:sz="4" w:space="0" w:color="auto"/>
              <w:left w:val="nil"/>
              <w:bottom w:val="nil"/>
              <w:right w:val="nil"/>
            </w:tcBorders>
            <w:shd w:val="clear" w:color="auto" w:fill="FFFFFF"/>
          </w:tcPr>
          <w:p w14:paraId="6C08CE32"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45</w:t>
            </w:r>
          </w:p>
        </w:tc>
        <w:tc>
          <w:tcPr>
            <w:tcW w:w="1000" w:type="dxa"/>
            <w:gridSpan w:val="3"/>
            <w:tcBorders>
              <w:top w:val="single" w:sz="4" w:space="0" w:color="auto"/>
              <w:left w:val="nil"/>
              <w:bottom w:val="nil"/>
              <w:right w:val="nil"/>
            </w:tcBorders>
            <w:shd w:val="clear" w:color="auto" w:fill="FFFFFF"/>
          </w:tcPr>
          <w:p w14:paraId="28DB325A" w14:textId="77777777" w:rsidR="00E77D70" w:rsidRPr="00F81C4B" w:rsidRDefault="00E77D70" w:rsidP="00E77D70">
            <w:pPr>
              <w:autoSpaceDE w:val="0"/>
              <w:autoSpaceDN w:val="0"/>
              <w:adjustRightInd w:val="0"/>
              <w:spacing w:line="320" w:lineRule="atLeast"/>
              <w:ind w:left="60" w:right="60"/>
              <w:jc w:val="center"/>
              <w:rPr>
                <w:color w:val="000000"/>
              </w:rPr>
            </w:pPr>
            <w:r w:rsidRPr="00F81C4B">
              <w:rPr>
                <w:color w:val="000000"/>
              </w:rPr>
              <w:t>83.11</w:t>
            </w:r>
          </w:p>
        </w:tc>
        <w:tc>
          <w:tcPr>
            <w:tcW w:w="1410" w:type="dxa"/>
            <w:gridSpan w:val="3"/>
            <w:tcBorders>
              <w:top w:val="single" w:sz="4" w:space="0" w:color="auto"/>
              <w:left w:val="nil"/>
              <w:bottom w:val="nil"/>
              <w:right w:val="nil"/>
            </w:tcBorders>
            <w:shd w:val="clear" w:color="auto" w:fill="FFFFFF"/>
          </w:tcPr>
          <w:p w14:paraId="7C27669B" w14:textId="56BEB34E" w:rsidR="00E77D70" w:rsidRPr="00F81C4B" w:rsidRDefault="00E77D70" w:rsidP="00F81C4B">
            <w:pPr>
              <w:autoSpaceDE w:val="0"/>
              <w:autoSpaceDN w:val="0"/>
              <w:adjustRightInd w:val="0"/>
              <w:spacing w:line="320" w:lineRule="atLeast"/>
              <w:ind w:left="60" w:right="60"/>
              <w:jc w:val="center"/>
              <w:rPr>
                <w:color w:val="000000"/>
              </w:rPr>
            </w:pPr>
            <w:r w:rsidRPr="00F81C4B">
              <w:rPr>
                <w:color w:val="000000"/>
              </w:rPr>
              <w:t>9</w:t>
            </w:r>
            <w:r w:rsidR="00F81C4B">
              <w:rPr>
                <w:color w:val="000000"/>
                <w:lang w:val="id-ID"/>
              </w:rPr>
              <w:t>.</w:t>
            </w:r>
            <w:r w:rsidRPr="00F81C4B">
              <w:rPr>
                <w:color w:val="000000"/>
              </w:rPr>
              <w:t>895</w:t>
            </w:r>
          </w:p>
        </w:tc>
        <w:tc>
          <w:tcPr>
            <w:tcW w:w="1456" w:type="dxa"/>
            <w:gridSpan w:val="3"/>
            <w:tcBorders>
              <w:top w:val="single" w:sz="4" w:space="0" w:color="auto"/>
              <w:left w:val="nil"/>
              <w:bottom w:val="nil"/>
              <w:right w:val="nil"/>
            </w:tcBorders>
            <w:shd w:val="clear" w:color="auto" w:fill="FFFFFF"/>
          </w:tcPr>
          <w:p w14:paraId="0E984631" w14:textId="77777777" w:rsidR="00E77D70" w:rsidRPr="00F81C4B" w:rsidRDefault="00E77D70" w:rsidP="00E77D70">
            <w:pPr>
              <w:autoSpaceDE w:val="0"/>
              <w:autoSpaceDN w:val="0"/>
              <w:adjustRightInd w:val="0"/>
              <w:spacing w:line="320" w:lineRule="atLeast"/>
              <w:ind w:left="60" w:right="60"/>
              <w:jc w:val="center"/>
              <w:rPr>
                <w:color w:val="000000"/>
              </w:rPr>
            </w:pPr>
            <w:r w:rsidRPr="00F81C4B">
              <w:rPr>
                <w:color w:val="000000"/>
              </w:rPr>
              <w:t>1.475</w:t>
            </w:r>
          </w:p>
        </w:tc>
      </w:tr>
      <w:tr w:rsidR="00E77D70" w:rsidRPr="00427F30" w14:paraId="1AC1D3F8" w14:textId="77777777" w:rsidTr="00944089">
        <w:trPr>
          <w:gridAfter w:val="4"/>
          <w:wAfter w:w="1548" w:type="dxa"/>
          <w:cantSplit/>
          <w:jc w:val="center"/>
        </w:trPr>
        <w:tc>
          <w:tcPr>
            <w:tcW w:w="1016" w:type="dxa"/>
            <w:vMerge/>
            <w:tcBorders>
              <w:top w:val="nil"/>
              <w:left w:val="nil"/>
              <w:bottom w:val="single" w:sz="4" w:space="0" w:color="auto"/>
              <w:right w:val="nil"/>
            </w:tcBorders>
            <w:shd w:val="clear" w:color="auto" w:fill="FFFFFF"/>
            <w:vAlign w:val="center"/>
          </w:tcPr>
          <w:p w14:paraId="0724601F" w14:textId="77777777" w:rsidR="00E77D70" w:rsidRPr="00427F30" w:rsidRDefault="00E77D70" w:rsidP="00E77D70">
            <w:pPr>
              <w:autoSpaceDE w:val="0"/>
              <w:autoSpaceDN w:val="0"/>
              <w:adjustRightInd w:val="0"/>
              <w:rPr>
                <w:color w:val="000000"/>
              </w:rPr>
            </w:pPr>
          </w:p>
        </w:tc>
        <w:tc>
          <w:tcPr>
            <w:tcW w:w="995" w:type="dxa"/>
            <w:tcBorders>
              <w:top w:val="nil"/>
              <w:left w:val="nil"/>
              <w:bottom w:val="single" w:sz="4" w:space="0" w:color="auto"/>
              <w:right w:val="nil"/>
            </w:tcBorders>
            <w:shd w:val="clear" w:color="auto" w:fill="FFFFFF"/>
            <w:vAlign w:val="center"/>
          </w:tcPr>
          <w:p w14:paraId="198847E1"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2</w:t>
            </w:r>
          </w:p>
        </w:tc>
        <w:tc>
          <w:tcPr>
            <w:tcW w:w="1000" w:type="dxa"/>
            <w:gridSpan w:val="3"/>
            <w:tcBorders>
              <w:top w:val="nil"/>
              <w:left w:val="nil"/>
              <w:bottom w:val="single" w:sz="4" w:space="0" w:color="auto"/>
              <w:right w:val="nil"/>
            </w:tcBorders>
            <w:shd w:val="clear" w:color="auto" w:fill="FFFFFF"/>
          </w:tcPr>
          <w:p w14:paraId="1C3A3934" w14:textId="77777777" w:rsidR="00E77D70" w:rsidRPr="00427F30" w:rsidRDefault="00E77D70" w:rsidP="00E77D70">
            <w:pPr>
              <w:autoSpaceDE w:val="0"/>
              <w:autoSpaceDN w:val="0"/>
              <w:adjustRightInd w:val="0"/>
              <w:spacing w:line="320" w:lineRule="atLeast"/>
              <w:ind w:left="60" w:right="60"/>
              <w:jc w:val="center"/>
              <w:rPr>
                <w:color w:val="000000"/>
              </w:rPr>
            </w:pPr>
            <w:r w:rsidRPr="00427F30">
              <w:rPr>
                <w:color w:val="000000"/>
              </w:rPr>
              <w:t>33</w:t>
            </w:r>
          </w:p>
        </w:tc>
        <w:tc>
          <w:tcPr>
            <w:tcW w:w="1000" w:type="dxa"/>
            <w:gridSpan w:val="3"/>
            <w:tcBorders>
              <w:top w:val="nil"/>
              <w:left w:val="nil"/>
              <w:bottom w:val="single" w:sz="4" w:space="0" w:color="auto"/>
              <w:right w:val="nil"/>
            </w:tcBorders>
            <w:shd w:val="clear" w:color="auto" w:fill="FFFFFF"/>
          </w:tcPr>
          <w:p w14:paraId="00B14C82" w14:textId="77777777" w:rsidR="00E77D70" w:rsidRPr="00F81C4B" w:rsidRDefault="00E77D70" w:rsidP="00E77D70">
            <w:pPr>
              <w:autoSpaceDE w:val="0"/>
              <w:autoSpaceDN w:val="0"/>
              <w:adjustRightInd w:val="0"/>
              <w:spacing w:line="320" w:lineRule="atLeast"/>
              <w:ind w:left="60" w:right="60"/>
              <w:jc w:val="center"/>
              <w:rPr>
                <w:color w:val="000000"/>
              </w:rPr>
            </w:pPr>
            <w:r w:rsidRPr="00F81C4B">
              <w:rPr>
                <w:color w:val="000000"/>
              </w:rPr>
              <w:t>74.03</w:t>
            </w:r>
          </w:p>
        </w:tc>
        <w:tc>
          <w:tcPr>
            <w:tcW w:w="1410" w:type="dxa"/>
            <w:gridSpan w:val="3"/>
            <w:tcBorders>
              <w:top w:val="nil"/>
              <w:left w:val="nil"/>
              <w:bottom w:val="single" w:sz="4" w:space="0" w:color="auto"/>
              <w:right w:val="nil"/>
            </w:tcBorders>
            <w:shd w:val="clear" w:color="auto" w:fill="FFFFFF"/>
          </w:tcPr>
          <w:p w14:paraId="2CD0D36F" w14:textId="0E3AF068" w:rsidR="00E77D70" w:rsidRPr="00F81C4B" w:rsidRDefault="00F81C4B" w:rsidP="00E77D70">
            <w:pPr>
              <w:autoSpaceDE w:val="0"/>
              <w:autoSpaceDN w:val="0"/>
              <w:adjustRightInd w:val="0"/>
              <w:spacing w:line="320" w:lineRule="atLeast"/>
              <w:ind w:left="60" w:right="60"/>
              <w:jc w:val="center"/>
              <w:rPr>
                <w:color w:val="000000"/>
              </w:rPr>
            </w:pPr>
            <w:r>
              <w:rPr>
                <w:color w:val="000000"/>
              </w:rPr>
              <w:t>10.</w:t>
            </w:r>
            <w:r w:rsidR="00E77D70" w:rsidRPr="00F81C4B">
              <w:rPr>
                <w:color w:val="000000"/>
              </w:rPr>
              <w:t>141</w:t>
            </w:r>
          </w:p>
        </w:tc>
        <w:tc>
          <w:tcPr>
            <w:tcW w:w="1456" w:type="dxa"/>
            <w:gridSpan w:val="3"/>
            <w:tcBorders>
              <w:top w:val="nil"/>
              <w:left w:val="nil"/>
              <w:bottom w:val="single" w:sz="4" w:space="0" w:color="auto"/>
              <w:right w:val="nil"/>
            </w:tcBorders>
            <w:shd w:val="clear" w:color="auto" w:fill="FFFFFF"/>
          </w:tcPr>
          <w:p w14:paraId="624C0DFF" w14:textId="66422F4D" w:rsidR="00E77D70" w:rsidRPr="00F81C4B" w:rsidRDefault="00F81C4B" w:rsidP="00E77D70">
            <w:pPr>
              <w:autoSpaceDE w:val="0"/>
              <w:autoSpaceDN w:val="0"/>
              <w:adjustRightInd w:val="0"/>
              <w:spacing w:line="320" w:lineRule="atLeast"/>
              <w:ind w:left="60" w:right="60"/>
              <w:jc w:val="center"/>
              <w:rPr>
                <w:color w:val="000000"/>
              </w:rPr>
            </w:pPr>
            <w:r>
              <w:rPr>
                <w:color w:val="000000"/>
              </w:rPr>
              <w:t>1.</w:t>
            </w:r>
            <w:r w:rsidR="00E77D70" w:rsidRPr="00F81C4B">
              <w:rPr>
                <w:color w:val="000000"/>
              </w:rPr>
              <w:t>765</w:t>
            </w:r>
          </w:p>
        </w:tc>
      </w:tr>
    </w:tbl>
    <w:p w14:paraId="18ED8CE4" w14:textId="77777777" w:rsidR="00023090" w:rsidRDefault="00023090" w:rsidP="00023090">
      <w:pPr>
        <w:autoSpaceDE w:val="0"/>
        <w:autoSpaceDN w:val="0"/>
        <w:adjustRightInd w:val="0"/>
        <w:spacing w:line="400" w:lineRule="atLeast"/>
      </w:pPr>
    </w:p>
    <w:p w14:paraId="140A8246" w14:textId="58A93133" w:rsidR="00225C0A" w:rsidRDefault="00225C0A" w:rsidP="00225C0A">
      <w:pPr>
        <w:autoSpaceDE w:val="0"/>
        <w:autoSpaceDN w:val="0"/>
        <w:adjustRightInd w:val="0"/>
        <w:jc w:val="both"/>
        <w:rPr>
          <w:lang w:val="id-ID"/>
        </w:rPr>
      </w:pPr>
      <w:r>
        <w:rPr>
          <w:lang w:val="id-ID"/>
        </w:rPr>
        <w:t>Comparative test of two samples between the two samples are independent. This means that the two samples do not have th</w:t>
      </w:r>
      <w:r w:rsidR="00944089">
        <w:rPr>
          <w:lang w:val="id-ID"/>
        </w:rPr>
        <w:t>e same number of sample members</w:t>
      </w:r>
      <w:r>
        <w:rPr>
          <w:lang w:val="id-ID"/>
        </w:rPr>
        <w:t>. In order to be able to distinguish whether the experimental results of the new method are better than the previous method (conventional method), then another equal group is taken and subjected to the conventional learning.</w:t>
      </w:r>
    </w:p>
    <w:tbl>
      <w:tblPr>
        <w:tblW w:w="9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445"/>
        <w:gridCol w:w="262"/>
        <w:gridCol w:w="1000"/>
        <w:gridCol w:w="224"/>
        <w:gridCol w:w="776"/>
        <w:gridCol w:w="115"/>
        <w:gridCol w:w="892"/>
        <w:gridCol w:w="372"/>
        <w:gridCol w:w="240"/>
        <w:gridCol w:w="612"/>
        <w:gridCol w:w="604"/>
        <w:gridCol w:w="240"/>
        <w:gridCol w:w="891"/>
        <w:gridCol w:w="325"/>
        <w:gridCol w:w="566"/>
        <w:gridCol w:w="891"/>
        <w:gridCol w:w="881"/>
        <w:gridCol w:w="13"/>
      </w:tblGrid>
      <w:tr w:rsidR="00023090" w:rsidRPr="00892711" w14:paraId="56A7575F" w14:textId="77777777" w:rsidTr="00944089">
        <w:trPr>
          <w:gridBefore w:val="1"/>
          <w:wBefore w:w="20" w:type="dxa"/>
          <w:cantSplit/>
          <w:trHeight w:val="221"/>
        </w:trPr>
        <w:tc>
          <w:tcPr>
            <w:tcW w:w="9349" w:type="dxa"/>
            <w:gridSpan w:val="18"/>
            <w:tcBorders>
              <w:top w:val="nil"/>
              <w:left w:val="nil"/>
              <w:bottom w:val="single" w:sz="4" w:space="0" w:color="auto"/>
              <w:right w:val="nil"/>
            </w:tcBorders>
            <w:shd w:val="clear" w:color="auto" w:fill="FFFFFF"/>
          </w:tcPr>
          <w:p w14:paraId="6C846FB2" w14:textId="77777777" w:rsidR="00892711" w:rsidRPr="00892711" w:rsidRDefault="00892711" w:rsidP="00CE76A7">
            <w:pPr>
              <w:autoSpaceDE w:val="0"/>
              <w:autoSpaceDN w:val="0"/>
              <w:adjustRightInd w:val="0"/>
              <w:spacing w:line="320" w:lineRule="atLeast"/>
              <w:ind w:left="60" w:right="60"/>
              <w:jc w:val="center"/>
              <w:rPr>
                <w:b/>
                <w:bCs/>
                <w:color w:val="000000"/>
                <w:lang w:val="id-ID"/>
              </w:rPr>
            </w:pPr>
          </w:p>
          <w:p w14:paraId="6C42B85A" w14:textId="4EA0017C" w:rsidR="00023090" w:rsidRPr="00D76996" w:rsidRDefault="00D76996" w:rsidP="00CE76A7">
            <w:pPr>
              <w:autoSpaceDE w:val="0"/>
              <w:autoSpaceDN w:val="0"/>
              <w:adjustRightInd w:val="0"/>
              <w:spacing w:line="320" w:lineRule="atLeast"/>
              <w:ind w:left="60" w:right="60"/>
              <w:jc w:val="center"/>
              <w:rPr>
                <w:color w:val="000000"/>
              </w:rPr>
            </w:pPr>
            <w:r w:rsidRPr="00D76996">
              <w:rPr>
                <w:bCs/>
                <w:color w:val="000000"/>
                <w:lang w:val="id-ID"/>
              </w:rPr>
              <w:t>Table 6</w:t>
            </w:r>
            <w:r w:rsidR="00892711" w:rsidRPr="00D76996">
              <w:rPr>
                <w:bCs/>
                <w:color w:val="000000"/>
                <w:lang w:val="id-ID"/>
              </w:rPr>
              <w:t xml:space="preserve">. </w:t>
            </w:r>
            <w:r w:rsidR="00023090" w:rsidRPr="00D76996">
              <w:rPr>
                <w:bCs/>
                <w:color w:val="000000"/>
              </w:rPr>
              <w:t>Independent Samples Test</w:t>
            </w:r>
          </w:p>
        </w:tc>
      </w:tr>
      <w:tr w:rsidR="00023090" w:rsidRPr="00892711" w14:paraId="2C9AAB77" w14:textId="77777777" w:rsidTr="00944089">
        <w:trPr>
          <w:gridBefore w:val="1"/>
          <w:wBefore w:w="20" w:type="dxa"/>
          <w:cantSplit/>
          <w:trHeight w:val="204"/>
        </w:trPr>
        <w:tc>
          <w:tcPr>
            <w:tcW w:w="1931" w:type="dxa"/>
            <w:gridSpan w:val="4"/>
            <w:vMerge w:val="restart"/>
            <w:tcBorders>
              <w:top w:val="single" w:sz="4" w:space="0" w:color="auto"/>
              <w:left w:val="nil"/>
              <w:bottom w:val="single" w:sz="4" w:space="0" w:color="auto"/>
              <w:right w:val="nil"/>
            </w:tcBorders>
            <w:shd w:val="clear" w:color="auto" w:fill="FFFFFF"/>
          </w:tcPr>
          <w:p w14:paraId="0533749C" w14:textId="77777777" w:rsidR="00023090" w:rsidRPr="00892711" w:rsidRDefault="00023090" w:rsidP="00CE76A7">
            <w:pPr>
              <w:autoSpaceDE w:val="0"/>
              <w:autoSpaceDN w:val="0"/>
              <w:adjustRightInd w:val="0"/>
              <w:rPr>
                <w:sz w:val="20"/>
              </w:rPr>
            </w:pPr>
          </w:p>
          <w:p w14:paraId="6CCFA8F5" w14:textId="77777777" w:rsidR="00427F30" w:rsidRPr="00892711" w:rsidRDefault="00427F30" w:rsidP="00CE76A7">
            <w:pPr>
              <w:autoSpaceDE w:val="0"/>
              <w:autoSpaceDN w:val="0"/>
              <w:adjustRightInd w:val="0"/>
              <w:rPr>
                <w:sz w:val="20"/>
              </w:rPr>
            </w:pPr>
          </w:p>
        </w:tc>
        <w:tc>
          <w:tcPr>
            <w:tcW w:w="1783" w:type="dxa"/>
            <w:gridSpan w:val="3"/>
            <w:tcBorders>
              <w:top w:val="single" w:sz="4" w:space="0" w:color="auto"/>
              <w:left w:val="nil"/>
              <w:bottom w:val="single" w:sz="4" w:space="0" w:color="auto"/>
              <w:right w:val="nil"/>
            </w:tcBorders>
            <w:shd w:val="clear" w:color="auto" w:fill="FFFFFF"/>
          </w:tcPr>
          <w:p w14:paraId="7591A9D9" w14:textId="77777777" w:rsidR="00023090" w:rsidRPr="00892711" w:rsidRDefault="00023090" w:rsidP="00CE76A7">
            <w:pPr>
              <w:autoSpaceDE w:val="0"/>
              <w:autoSpaceDN w:val="0"/>
              <w:adjustRightInd w:val="0"/>
              <w:spacing w:line="320" w:lineRule="atLeast"/>
              <w:ind w:left="60" w:right="60"/>
              <w:jc w:val="center"/>
              <w:rPr>
                <w:color w:val="000000"/>
                <w:sz w:val="20"/>
              </w:rPr>
            </w:pPr>
            <w:proofErr w:type="spellStart"/>
            <w:r w:rsidRPr="00892711">
              <w:rPr>
                <w:color w:val="000000"/>
                <w:sz w:val="20"/>
              </w:rPr>
              <w:t>Levene's</w:t>
            </w:r>
            <w:proofErr w:type="spellEnd"/>
            <w:r w:rsidRPr="00892711">
              <w:rPr>
                <w:color w:val="000000"/>
                <w:sz w:val="20"/>
              </w:rPr>
              <w:t xml:space="preserve"> Test for Equality of Variances</w:t>
            </w:r>
          </w:p>
        </w:tc>
        <w:tc>
          <w:tcPr>
            <w:tcW w:w="5635" w:type="dxa"/>
            <w:gridSpan w:val="11"/>
            <w:tcBorders>
              <w:top w:val="single" w:sz="4" w:space="0" w:color="auto"/>
              <w:left w:val="nil"/>
              <w:bottom w:val="single" w:sz="4" w:space="0" w:color="auto"/>
              <w:right w:val="nil"/>
            </w:tcBorders>
            <w:shd w:val="clear" w:color="auto" w:fill="FFFFFF"/>
          </w:tcPr>
          <w:p w14:paraId="702DEAEE"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t-test for Equality of Means</w:t>
            </w:r>
          </w:p>
        </w:tc>
      </w:tr>
      <w:tr w:rsidR="000E0AF9" w:rsidRPr="00892711" w14:paraId="23D620D5" w14:textId="77777777" w:rsidTr="00944089">
        <w:trPr>
          <w:gridBefore w:val="1"/>
          <w:wBefore w:w="20" w:type="dxa"/>
          <w:cantSplit/>
          <w:trHeight w:val="477"/>
        </w:trPr>
        <w:tc>
          <w:tcPr>
            <w:tcW w:w="1931" w:type="dxa"/>
            <w:gridSpan w:val="4"/>
            <w:vMerge/>
            <w:tcBorders>
              <w:top w:val="single" w:sz="4" w:space="0" w:color="auto"/>
              <w:left w:val="nil"/>
              <w:bottom w:val="nil"/>
              <w:right w:val="nil"/>
            </w:tcBorders>
            <w:shd w:val="clear" w:color="auto" w:fill="FFFFFF"/>
          </w:tcPr>
          <w:p w14:paraId="44B0C993" w14:textId="77777777" w:rsidR="00023090" w:rsidRPr="00892711" w:rsidRDefault="00023090" w:rsidP="00CE76A7">
            <w:pPr>
              <w:autoSpaceDE w:val="0"/>
              <w:autoSpaceDN w:val="0"/>
              <w:adjustRightInd w:val="0"/>
              <w:rPr>
                <w:color w:val="000000"/>
                <w:sz w:val="20"/>
              </w:rPr>
            </w:pPr>
          </w:p>
        </w:tc>
        <w:tc>
          <w:tcPr>
            <w:tcW w:w="891" w:type="dxa"/>
            <w:gridSpan w:val="2"/>
            <w:vMerge w:val="restart"/>
            <w:tcBorders>
              <w:top w:val="single" w:sz="4" w:space="0" w:color="auto"/>
              <w:left w:val="nil"/>
              <w:bottom w:val="single" w:sz="4" w:space="0" w:color="auto"/>
              <w:right w:val="nil"/>
            </w:tcBorders>
            <w:shd w:val="clear" w:color="auto" w:fill="FFFFFF"/>
          </w:tcPr>
          <w:p w14:paraId="4D31E1F8"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F</w:t>
            </w:r>
          </w:p>
        </w:tc>
        <w:tc>
          <w:tcPr>
            <w:tcW w:w="892" w:type="dxa"/>
            <w:vMerge w:val="restart"/>
            <w:tcBorders>
              <w:top w:val="single" w:sz="4" w:space="0" w:color="auto"/>
              <w:left w:val="nil"/>
              <w:bottom w:val="single" w:sz="4" w:space="0" w:color="auto"/>
              <w:right w:val="nil"/>
            </w:tcBorders>
            <w:shd w:val="clear" w:color="auto" w:fill="FFFFFF"/>
          </w:tcPr>
          <w:p w14:paraId="0DB6D192"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Sig.</w:t>
            </w:r>
          </w:p>
        </w:tc>
        <w:tc>
          <w:tcPr>
            <w:tcW w:w="612" w:type="dxa"/>
            <w:gridSpan w:val="2"/>
            <w:vMerge w:val="restart"/>
            <w:tcBorders>
              <w:top w:val="single" w:sz="4" w:space="0" w:color="auto"/>
              <w:left w:val="nil"/>
              <w:bottom w:val="single" w:sz="4" w:space="0" w:color="auto"/>
              <w:right w:val="nil"/>
            </w:tcBorders>
            <w:shd w:val="clear" w:color="auto" w:fill="FFFFFF"/>
          </w:tcPr>
          <w:p w14:paraId="399285C9" w14:textId="48A7B858" w:rsidR="00023090" w:rsidRPr="00892711" w:rsidRDefault="00AB59A6" w:rsidP="00CE76A7">
            <w:pPr>
              <w:autoSpaceDE w:val="0"/>
              <w:autoSpaceDN w:val="0"/>
              <w:adjustRightInd w:val="0"/>
              <w:spacing w:line="320" w:lineRule="atLeast"/>
              <w:ind w:left="60" w:right="60"/>
              <w:jc w:val="center"/>
              <w:rPr>
                <w:color w:val="000000"/>
                <w:sz w:val="20"/>
              </w:rPr>
            </w:pPr>
            <w:r w:rsidRPr="00892711">
              <w:rPr>
                <w:color w:val="000000"/>
                <w:sz w:val="20"/>
              </w:rPr>
              <w:t>T</w:t>
            </w:r>
          </w:p>
        </w:tc>
        <w:tc>
          <w:tcPr>
            <w:tcW w:w="612" w:type="dxa"/>
            <w:vMerge w:val="restart"/>
            <w:tcBorders>
              <w:top w:val="single" w:sz="4" w:space="0" w:color="auto"/>
              <w:left w:val="nil"/>
              <w:bottom w:val="single" w:sz="4" w:space="0" w:color="auto"/>
              <w:right w:val="nil"/>
            </w:tcBorders>
            <w:shd w:val="clear" w:color="auto" w:fill="FFFFFF"/>
          </w:tcPr>
          <w:p w14:paraId="45234F41" w14:textId="77777777" w:rsidR="00023090" w:rsidRPr="00892711" w:rsidRDefault="00023090" w:rsidP="00CE76A7">
            <w:pPr>
              <w:autoSpaceDE w:val="0"/>
              <w:autoSpaceDN w:val="0"/>
              <w:adjustRightInd w:val="0"/>
              <w:spacing w:line="320" w:lineRule="atLeast"/>
              <w:ind w:left="60" w:right="60"/>
              <w:jc w:val="center"/>
              <w:rPr>
                <w:color w:val="000000"/>
                <w:sz w:val="20"/>
              </w:rPr>
            </w:pPr>
            <w:proofErr w:type="spellStart"/>
            <w:r w:rsidRPr="00892711">
              <w:rPr>
                <w:color w:val="000000"/>
                <w:sz w:val="20"/>
              </w:rPr>
              <w:t>df</w:t>
            </w:r>
            <w:proofErr w:type="spellEnd"/>
          </w:p>
        </w:tc>
        <w:tc>
          <w:tcPr>
            <w:tcW w:w="844" w:type="dxa"/>
            <w:gridSpan w:val="2"/>
            <w:vMerge w:val="restart"/>
            <w:tcBorders>
              <w:top w:val="single" w:sz="4" w:space="0" w:color="auto"/>
              <w:left w:val="nil"/>
              <w:bottom w:val="single" w:sz="4" w:space="0" w:color="auto"/>
              <w:right w:val="nil"/>
            </w:tcBorders>
            <w:shd w:val="clear" w:color="auto" w:fill="FFFFFF"/>
          </w:tcPr>
          <w:p w14:paraId="76A44547"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Sig. (2-tailed)</w:t>
            </w:r>
          </w:p>
        </w:tc>
        <w:tc>
          <w:tcPr>
            <w:tcW w:w="891" w:type="dxa"/>
            <w:vMerge w:val="restart"/>
            <w:tcBorders>
              <w:top w:val="single" w:sz="4" w:space="0" w:color="auto"/>
              <w:left w:val="nil"/>
              <w:bottom w:val="single" w:sz="4" w:space="0" w:color="auto"/>
              <w:right w:val="nil"/>
            </w:tcBorders>
            <w:shd w:val="clear" w:color="auto" w:fill="FFFFFF"/>
          </w:tcPr>
          <w:p w14:paraId="1702BEBD"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Mean Difference</w:t>
            </w:r>
          </w:p>
        </w:tc>
        <w:tc>
          <w:tcPr>
            <w:tcW w:w="891" w:type="dxa"/>
            <w:gridSpan w:val="2"/>
            <w:vMerge w:val="restart"/>
            <w:tcBorders>
              <w:top w:val="single" w:sz="4" w:space="0" w:color="auto"/>
              <w:left w:val="nil"/>
              <w:bottom w:val="single" w:sz="4" w:space="0" w:color="auto"/>
              <w:right w:val="nil"/>
            </w:tcBorders>
            <w:shd w:val="clear" w:color="auto" w:fill="FFFFFF"/>
          </w:tcPr>
          <w:p w14:paraId="5F5C1B92"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Std. Error Difference</w:t>
            </w:r>
          </w:p>
        </w:tc>
        <w:tc>
          <w:tcPr>
            <w:tcW w:w="1785" w:type="dxa"/>
            <w:gridSpan w:val="3"/>
            <w:tcBorders>
              <w:top w:val="single" w:sz="4" w:space="0" w:color="auto"/>
              <w:left w:val="nil"/>
              <w:bottom w:val="single" w:sz="4" w:space="0" w:color="auto"/>
              <w:right w:val="nil"/>
            </w:tcBorders>
            <w:shd w:val="clear" w:color="auto" w:fill="FFFFFF"/>
          </w:tcPr>
          <w:p w14:paraId="6B9A91BE"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95% Confidence Interval of the Difference</w:t>
            </w:r>
          </w:p>
        </w:tc>
      </w:tr>
      <w:tr w:rsidR="000E0AF9" w:rsidRPr="00892711" w14:paraId="691781E5" w14:textId="77777777" w:rsidTr="00944089">
        <w:trPr>
          <w:gridBefore w:val="1"/>
          <w:wBefore w:w="20" w:type="dxa"/>
          <w:cantSplit/>
          <w:trHeight w:val="221"/>
        </w:trPr>
        <w:tc>
          <w:tcPr>
            <w:tcW w:w="1931" w:type="dxa"/>
            <w:gridSpan w:val="4"/>
            <w:vMerge/>
            <w:tcBorders>
              <w:top w:val="nil"/>
              <w:left w:val="nil"/>
              <w:bottom w:val="single" w:sz="4" w:space="0" w:color="auto"/>
              <w:right w:val="nil"/>
            </w:tcBorders>
            <w:shd w:val="clear" w:color="auto" w:fill="FFFFFF"/>
          </w:tcPr>
          <w:p w14:paraId="68B65A20" w14:textId="77777777" w:rsidR="00023090" w:rsidRPr="00892711" w:rsidRDefault="00023090" w:rsidP="00CE76A7">
            <w:pPr>
              <w:autoSpaceDE w:val="0"/>
              <w:autoSpaceDN w:val="0"/>
              <w:adjustRightInd w:val="0"/>
              <w:rPr>
                <w:color w:val="000000"/>
                <w:sz w:val="20"/>
              </w:rPr>
            </w:pPr>
          </w:p>
        </w:tc>
        <w:tc>
          <w:tcPr>
            <w:tcW w:w="891" w:type="dxa"/>
            <w:gridSpan w:val="2"/>
            <w:vMerge/>
            <w:tcBorders>
              <w:top w:val="single" w:sz="4" w:space="0" w:color="auto"/>
              <w:left w:val="nil"/>
              <w:bottom w:val="single" w:sz="4" w:space="0" w:color="auto"/>
              <w:right w:val="nil"/>
            </w:tcBorders>
            <w:shd w:val="clear" w:color="auto" w:fill="FFFFFF"/>
          </w:tcPr>
          <w:p w14:paraId="36AC7A28" w14:textId="77777777" w:rsidR="00023090" w:rsidRPr="00892711" w:rsidRDefault="00023090" w:rsidP="00CE76A7">
            <w:pPr>
              <w:autoSpaceDE w:val="0"/>
              <w:autoSpaceDN w:val="0"/>
              <w:adjustRightInd w:val="0"/>
              <w:rPr>
                <w:color w:val="000000"/>
                <w:sz w:val="20"/>
              </w:rPr>
            </w:pPr>
          </w:p>
        </w:tc>
        <w:tc>
          <w:tcPr>
            <w:tcW w:w="892" w:type="dxa"/>
            <w:vMerge/>
            <w:tcBorders>
              <w:top w:val="single" w:sz="4" w:space="0" w:color="auto"/>
              <w:left w:val="nil"/>
              <w:bottom w:val="single" w:sz="4" w:space="0" w:color="auto"/>
              <w:right w:val="nil"/>
            </w:tcBorders>
            <w:shd w:val="clear" w:color="auto" w:fill="FFFFFF"/>
          </w:tcPr>
          <w:p w14:paraId="11D72607" w14:textId="77777777" w:rsidR="00023090" w:rsidRPr="00892711" w:rsidRDefault="00023090" w:rsidP="00CE76A7">
            <w:pPr>
              <w:autoSpaceDE w:val="0"/>
              <w:autoSpaceDN w:val="0"/>
              <w:adjustRightInd w:val="0"/>
              <w:rPr>
                <w:color w:val="000000"/>
                <w:sz w:val="20"/>
              </w:rPr>
            </w:pPr>
          </w:p>
        </w:tc>
        <w:tc>
          <w:tcPr>
            <w:tcW w:w="612" w:type="dxa"/>
            <w:gridSpan w:val="2"/>
            <w:vMerge/>
            <w:tcBorders>
              <w:top w:val="single" w:sz="4" w:space="0" w:color="auto"/>
              <w:left w:val="nil"/>
              <w:bottom w:val="single" w:sz="4" w:space="0" w:color="auto"/>
              <w:right w:val="nil"/>
            </w:tcBorders>
            <w:shd w:val="clear" w:color="auto" w:fill="FFFFFF"/>
          </w:tcPr>
          <w:p w14:paraId="05DA97B0" w14:textId="77777777" w:rsidR="00023090" w:rsidRPr="00892711" w:rsidRDefault="00023090" w:rsidP="00CE76A7">
            <w:pPr>
              <w:autoSpaceDE w:val="0"/>
              <w:autoSpaceDN w:val="0"/>
              <w:adjustRightInd w:val="0"/>
              <w:rPr>
                <w:color w:val="000000"/>
                <w:sz w:val="20"/>
              </w:rPr>
            </w:pPr>
          </w:p>
        </w:tc>
        <w:tc>
          <w:tcPr>
            <w:tcW w:w="612" w:type="dxa"/>
            <w:vMerge/>
            <w:tcBorders>
              <w:top w:val="single" w:sz="4" w:space="0" w:color="auto"/>
              <w:left w:val="nil"/>
              <w:bottom w:val="single" w:sz="4" w:space="0" w:color="auto"/>
              <w:right w:val="nil"/>
            </w:tcBorders>
            <w:shd w:val="clear" w:color="auto" w:fill="FFFFFF"/>
          </w:tcPr>
          <w:p w14:paraId="2DF9F6CE" w14:textId="77777777" w:rsidR="00023090" w:rsidRPr="00892711" w:rsidRDefault="00023090" w:rsidP="00CE76A7">
            <w:pPr>
              <w:autoSpaceDE w:val="0"/>
              <w:autoSpaceDN w:val="0"/>
              <w:adjustRightInd w:val="0"/>
              <w:rPr>
                <w:color w:val="000000"/>
                <w:sz w:val="20"/>
              </w:rPr>
            </w:pPr>
          </w:p>
        </w:tc>
        <w:tc>
          <w:tcPr>
            <w:tcW w:w="844" w:type="dxa"/>
            <w:gridSpan w:val="2"/>
            <w:vMerge/>
            <w:tcBorders>
              <w:top w:val="single" w:sz="4" w:space="0" w:color="auto"/>
              <w:left w:val="nil"/>
              <w:bottom w:val="single" w:sz="4" w:space="0" w:color="auto"/>
              <w:right w:val="nil"/>
            </w:tcBorders>
            <w:shd w:val="clear" w:color="auto" w:fill="FFFFFF"/>
          </w:tcPr>
          <w:p w14:paraId="697E1BB1" w14:textId="77777777" w:rsidR="00023090" w:rsidRPr="00892711" w:rsidRDefault="00023090" w:rsidP="00CE76A7">
            <w:pPr>
              <w:autoSpaceDE w:val="0"/>
              <w:autoSpaceDN w:val="0"/>
              <w:adjustRightInd w:val="0"/>
              <w:rPr>
                <w:color w:val="000000"/>
                <w:sz w:val="20"/>
              </w:rPr>
            </w:pPr>
          </w:p>
        </w:tc>
        <w:tc>
          <w:tcPr>
            <w:tcW w:w="891" w:type="dxa"/>
            <w:vMerge/>
            <w:tcBorders>
              <w:top w:val="single" w:sz="4" w:space="0" w:color="auto"/>
              <w:left w:val="nil"/>
              <w:bottom w:val="single" w:sz="4" w:space="0" w:color="auto"/>
              <w:right w:val="nil"/>
            </w:tcBorders>
            <w:shd w:val="clear" w:color="auto" w:fill="FFFFFF"/>
          </w:tcPr>
          <w:p w14:paraId="25F953DB" w14:textId="77777777" w:rsidR="00023090" w:rsidRPr="00892711" w:rsidRDefault="00023090" w:rsidP="00CE76A7">
            <w:pPr>
              <w:autoSpaceDE w:val="0"/>
              <w:autoSpaceDN w:val="0"/>
              <w:adjustRightInd w:val="0"/>
              <w:rPr>
                <w:color w:val="000000"/>
                <w:sz w:val="20"/>
              </w:rPr>
            </w:pPr>
          </w:p>
        </w:tc>
        <w:tc>
          <w:tcPr>
            <w:tcW w:w="891" w:type="dxa"/>
            <w:gridSpan w:val="2"/>
            <w:vMerge/>
            <w:tcBorders>
              <w:top w:val="single" w:sz="4" w:space="0" w:color="auto"/>
              <w:left w:val="nil"/>
              <w:bottom w:val="single" w:sz="4" w:space="0" w:color="auto"/>
              <w:right w:val="nil"/>
            </w:tcBorders>
            <w:shd w:val="clear" w:color="auto" w:fill="FFFFFF"/>
          </w:tcPr>
          <w:p w14:paraId="6912CA61" w14:textId="77777777" w:rsidR="00023090" w:rsidRPr="00892711" w:rsidRDefault="00023090" w:rsidP="00CE76A7">
            <w:pPr>
              <w:autoSpaceDE w:val="0"/>
              <w:autoSpaceDN w:val="0"/>
              <w:adjustRightInd w:val="0"/>
              <w:rPr>
                <w:color w:val="000000"/>
                <w:sz w:val="20"/>
              </w:rPr>
            </w:pPr>
          </w:p>
        </w:tc>
        <w:tc>
          <w:tcPr>
            <w:tcW w:w="891" w:type="dxa"/>
            <w:tcBorders>
              <w:top w:val="single" w:sz="4" w:space="0" w:color="auto"/>
              <w:left w:val="nil"/>
              <w:bottom w:val="single" w:sz="4" w:space="0" w:color="auto"/>
              <w:right w:val="nil"/>
            </w:tcBorders>
            <w:shd w:val="clear" w:color="auto" w:fill="FFFFFF"/>
          </w:tcPr>
          <w:p w14:paraId="10EAD291"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Lower</w:t>
            </w:r>
          </w:p>
        </w:tc>
        <w:tc>
          <w:tcPr>
            <w:tcW w:w="894" w:type="dxa"/>
            <w:gridSpan w:val="2"/>
            <w:tcBorders>
              <w:top w:val="single" w:sz="4" w:space="0" w:color="auto"/>
              <w:left w:val="nil"/>
              <w:bottom w:val="single" w:sz="4" w:space="0" w:color="auto"/>
              <w:right w:val="nil"/>
            </w:tcBorders>
            <w:shd w:val="clear" w:color="auto" w:fill="FFFFFF"/>
          </w:tcPr>
          <w:p w14:paraId="1B9CCAA9" w14:textId="77777777" w:rsidR="00023090" w:rsidRPr="00892711" w:rsidRDefault="00023090" w:rsidP="00CE76A7">
            <w:pPr>
              <w:autoSpaceDE w:val="0"/>
              <w:autoSpaceDN w:val="0"/>
              <w:adjustRightInd w:val="0"/>
              <w:spacing w:line="320" w:lineRule="atLeast"/>
              <w:ind w:left="60" w:right="60"/>
              <w:jc w:val="center"/>
              <w:rPr>
                <w:color w:val="000000"/>
                <w:sz w:val="20"/>
              </w:rPr>
            </w:pPr>
            <w:r w:rsidRPr="00892711">
              <w:rPr>
                <w:color w:val="000000"/>
                <w:sz w:val="20"/>
              </w:rPr>
              <w:t>Upper</w:t>
            </w:r>
          </w:p>
        </w:tc>
      </w:tr>
      <w:tr w:rsidR="000E0AF9" w:rsidRPr="00892711" w14:paraId="010B374F" w14:textId="77777777" w:rsidTr="00944089">
        <w:trPr>
          <w:gridBefore w:val="1"/>
          <w:wBefore w:w="20" w:type="dxa"/>
          <w:cantSplit/>
          <w:trHeight w:val="221"/>
        </w:trPr>
        <w:tc>
          <w:tcPr>
            <w:tcW w:w="445" w:type="dxa"/>
            <w:vMerge w:val="restart"/>
            <w:tcBorders>
              <w:top w:val="single" w:sz="4" w:space="0" w:color="auto"/>
              <w:left w:val="nil"/>
              <w:bottom w:val="nil"/>
              <w:right w:val="nil"/>
            </w:tcBorders>
            <w:shd w:val="clear" w:color="auto" w:fill="FFFFFF"/>
            <w:vAlign w:val="center"/>
          </w:tcPr>
          <w:p w14:paraId="45DF197D" w14:textId="77777777" w:rsidR="00023090" w:rsidRPr="00892711" w:rsidRDefault="00023090" w:rsidP="00CE76A7">
            <w:pPr>
              <w:autoSpaceDE w:val="0"/>
              <w:autoSpaceDN w:val="0"/>
              <w:adjustRightInd w:val="0"/>
              <w:spacing w:line="320" w:lineRule="atLeast"/>
              <w:ind w:left="60" w:right="60"/>
              <w:rPr>
                <w:color w:val="000000"/>
                <w:sz w:val="20"/>
              </w:rPr>
            </w:pPr>
            <w:r w:rsidRPr="00892711">
              <w:rPr>
                <w:color w:val="000000"/>
                <w:sz w:val="20"/>
              </w:rPr>
              <w:t>DATA</w:t>
            </w:r>
          </w:p>
        </w:tc>
        <w:tc>
          <w:tcPr>
            <w:tcW w:w="1486" w:type="dxa"/>
            <w:gridSpan w:val="3"/>
            <w:tcBorders>
              <w:top w:val="single" w:sz="4" w:space="0" w:color="auto"/>
              <w:left w:val="nil"/>
              <w:bottom w:val="nil"/>
              <w:right w:val="nil"/>
            </w:tcBorders>
            <w:shd w:val="clear" w:color="auto" w:fill="FFFFFF"/>
            <w:vAlign w:val="center"/>
          </w:tcPr>
          <w:p w14:paraId="1AE1AE73" w14:textId="77777777" w:rsidR="00023090" w:rsidRPr="00F81C4B" w:rsidRDefault="00023090" w:rsidP="00CE76A7">
            <w:pPr>
              <w:autoSpaceDE w:val="0"/>
              <w:autoSpaceDN w:val="0"/>
              <w:adjustRightInd w:val="0"/>
              <w:spacing w:line="320" w:lineRule="atLeast"/>
              <w:ind w:left="60" w:right="60"/>
              <w:rPr>
                <w:color w:val="000000"/>
                <w:sz w:val="20"/>
              </w:rPr>
            </w:pPr>
            <w:r w:rsidRPr="00F81C4B">
              <w:rPr>
                <w:color w:val="000000"/>
                <w:sz w:val="20"/>
              </w:rPr>
              <w:t>Equal variances assumed</w:t>
            </w:r>
          </w:p>
        </w:tc>
        <w:tc>
          <w:tcPr>
            <w:tcW w:w="891" w:type="dxa"/>
            <w:gridSpan w:val="2"/>
            <w:tcBorders>
              <w:top w:val="single" w:sz="4" w:space="0" w:color="auto"/>
              <w:left w:val="nil"/>
              <w:bottom w:val="nil"/>
              <w:right w:val="nil"/>
            </w:tcBorders>
            <w:shd w:val="clear" w:color="auto" w:fill="FFFFFF"/>
          </w:tcPr>
          <w:p w14:paraId="5EEE23AE" w14:textId="141D97A2"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lang w:val="id-ID"/>
              </w:rPr>
              <w:t>0</w:t>
            </w:r>
            <w:r w:rsidR="00023090" w:rsidRPr="00F81C4B">
              <w:rPr>
                <w:color w:val="000000"/>
                <w:sz w:val="20"/>
              </w:rPr>
              <w:t>.027</w:t>
            </w:r>
          </w:p>
        </w:tc>
        <w:tc>
          <w:tcPr>
            <w:tcW w:w="892" w:type="dxa"/>
            <w:tcBorders>
              <w:top w:val="single" w:sz="4" w:space="0" w:color="auto"/>
              <w:left w:val="nil"/>
              <w:bottom w:val="nil"/>
              <w:right w:val="nil"/>
            </w:tcBorders>
            <w:shd w:val="clear" w:color="auto" w:fill="FFFFFF"/>
          </w:tcPr>
          <w:p w14:paraId="70DBA300" w14:textId="4E4EE297"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lang w:val="id-ID"/>
              </w:rPr>
              <w:t>0</w:t>
            </w:r>
            <w:r w:rsidR="00023090" w:rsidRPr="00F81C4B">
              <w:rPr>
                <w:color w:val="000000"/>
                <w:sz w:val="20"/>
              </w:rPr>
              <w:t>.871</w:t>
            </w:r>
          </w:p>
        </w:tc>
        <w:tc>
          <w:tcPr>
            <w:tcW w:w="612" w:type="dxa"/>
            <w:gridSpan w:val="2"/>
            <w:tcBorders>
              <w:top w:val="single" w:sz="4" w:space="0" w:color="auto"/>
              <w:left w:val="nil"/>
              <w:bottom w:val="nil"/>
              <w:right w:val="nil"/>
            </w:tcBorders>
            <w:shd w:val="clear" w:color="auto" w:fill="FFFFFF"/>
          </w:tcPr>
          <w:p w14:paraId="35091A35"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3.962</w:t>
            </w:r>
          </w:p>
        </w:tc>
        <w:tc>
          <w:tcPr>
            <w:tcW w:w="612" w:type="dxa"/>
            <w:tcBorders>
              <w:top w:val="single" w:sz="4" w:space="0" w:color="auto"/>
              <w:left w:val="nil"/>
              <w:bottom w:val="nil"/>
              <w:right w:val="nil"/>
            </w:tcBorders>
            <w:shd w:val="clear" w:color="auto" w:fill="FFFFFF"/>
          </w:tcPr>
          <w:p w14:paraId="393F299D"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76</w:t>
            </w:r>
          </w:p>
        </w:tc>
        <w:tc>
          <w:tcPr>
            <w:tcW w:w="844" w:type="dxa"/>
            <w:gridSpan w:val="2"/>
            <w:tcBorders>
              <w:top w:val="single" w:sz="4" w:space="0" w:color="auto"/>
              <w:left w:val="nil"/>
              <w:bottom w:val="nil"/>
              <w:right w:val="nil"/>
            </w:tcBorders>
            <w:shd w:val="clear" w:color="auto" w:fill="FFFFFF"/>
          </w:tcPr>
          <w:p w14:paraId="472C3504" w14:textId="00607A22"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lang w:val="id-ID"/>
              </w:rPr>
              <w:t>0</w:t>
            </w:r>
            <w:r w:rsidR="00023090" w:rsidRPr="00F81C4B">
              <w:rPr>
                <w:color w:val="000000"/>
                <w:sz w:val="20"/>
              </w:rPr>
              <w:t>.000</w:t>
            </w:r>
          </w:p>
        </w:tc>
        <w:tc>
          <w:tcPr>
            <w:tcW w:w="891" w:type="dxa"/>
            <w:tcBorders>
              <w:top w:val="single" w:sz="4" w:space="0" w:color="auto"/>
              <w:left w:val="nil"/>
              <w:bottom w:val="nil"/>
              <w:right w:val="nil"/>
            </w:tcBorders>
            <w:shd w:val="clear" w:color="auto" w:fill="FFFFFF"/>
          </w:tcPr>
          <w:p w14:paraId="05FAB126"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9.081</w:t>
            </w:r>
          </w:p>
        </w:tc>
        <w:tc>
          <w:tcPr>
            <w:tcW w:w="891" w:type="dxa"/>
            <w:gridSpan w:val="2"/>
            <w:tcBorders>
              <w:top w:val="single" w:sz="4" w:space="0" w:color="auto"/>
              <w:left w:val="nil"/>
              <w:bottom w:val="nil"/>
              <w:right w:val="nil"/>
            </w:tcBorders>
            <w:shd w:val="clear" w:color="auto" w:fill="FFFFFF"/>
          </w:tcPr>
          <w:p w14:paraId="7D6AB859"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2.292</w:t>
            </w:r>
          </w:p>
        </w:tc>
        <w:tc>
          <w:tcPr>
            <w:tcW w:w="891" w:type="dxa"/>
            <w:tcBorders>
              <w:top w:val="single" w:sz="4" w:space="0" w:color="auto"/>
              <w:left w:val="nil"/>
              <w:bottom w:val="nil"/>
              <w:right w:val="nil"/>
            </w:tcBorders>
            <w:shd w:val="clear" w:color="auto" w:fill="FFFFFF"/>
          </w:tcPr>
          <w:p w14:paraId="022F1B5B" w14:textId="794B38F8"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rPr>
              <w:t>4.</w:t>
            </w:r>
            <w:r w:rsidR="00023090" w:rsidRPr="00F81C4B">
              <w:rPr>
                <w:color w:val="000000"/>
                <w:sz w:val="20"/>
              </w:rPr>
              <w:t>516</w:t>
            </w:r>
          </w:p>
        </w:tc>
        <w:tc>
          <w:tcPr>
            <w:tcW w:w="894" w:type="dxa"/>
            <w:gridSpan w:val="2"/>
            <w:tcBorders>
              <w:top w:val="single" w:sz="4" w:space="0" w:color="auto"/>
              <w:left w:val="nil"/>
              <w:bottom w:val="nil"/>
              <w:right w:val="nil"/>
            </w:tcBorders>
            <w:shd w:val="clear" w:color="auto" w:fill="FFFFFF"/>
          </w:tcPr>
          <w:p w14:paraId="6439309F" w14:textId="77A4756E"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rPr>
              <w:t>13.</w:t>
            </w:r>
            <w:r w:rsidR="00023090" w:rsidRPr="00F81C4B">
              <w:rPr>
                <w:color w:val="000000"/>
                <w:sz w:val="20"/>
              </w:rPr>
              <w:t>645</w:t>
            </w:r>
          </w:p>
        </w:tc>
      </w:tr>
      <w:tr w:rsidR="000E0AF9" w:rsidRPr="00892711" w14:paraId="06794A40" w14:textId="77777777" w:rsidTr="00944089">
        <w:trPr>
          <w:gridBefore w:val="1"/>
          <w:wBefore w:w="20" w:type="dxa"/>
          <w:cantSplit/>
          <w:trHeight w:val="239"/>
        </w:trPr>
        <w:tc>
          <w:tcPr>
            <w:tcW w:w="445" w:type="dxa"/>
            <w:vMerge/>
            <w:tcBorders>
              <w:top w:val="nil"/>
              <w:left w:val="nil"/>
              <w:bottom w:val="single" w:sz="4" w:space="0" w:color="auto"/>
              <w:right w:val="nil"/>
            </w:tcBorders>
            <w:shd w:val="clear" w:color="auto" w:fill="FFFFFF"/>
            <w:vAlign w:val="center"/>
          </w:tcPr>
          <w:p w14:paraId="26557943" w14:textId="77777777" w:rsidR="00023090" w:rsidRPr="00892711" w:rsidRDefault="00023090" w:rsidP="00CE76A7">
            <w:pPr>
              <w:autoSpaceDE w:val="0"/>
              <w:autoSpaceDN w:val="0"/>
              <w:adjustRightInd w:val="0"/>
              <w:rPr>
                <w:color w:val="000000"/>
                <w:sz w:val="20"/>
              </w:rPr>
            </w:pPr>
          </w:p>
        </w:tc>
        <w:tc>
          <w:tcPr>
            <w:tcW w:w="1486" w:type="dxa"/>
            <w:gridSpan w:val="3"/>
            <w:tcBorders>
              <w:top w:val="nil"/>
              <w:left w:val="nil"/>
              <w:bottom w:val="single" w:sz="4" w:space="0" w:color="auto"/>
              <w:right w:val="nil"/>
            </w:tcBorders>
            <w:shd w:val="clear" w:color="auto" w:fill="FFFFFF"/>
            <w:vAlign w:val="center"/>
          </w:tcPr>
          <w:p w14:paraId="3819D596" w14:textId="77777777" w:rsidR="00023090" w:rsidRPr="00F81C4B" w:rsidRDefault="00023090" w:rsidP="00CE76A7">
            <w:pPr>
              <w:autoSpaceDE w:val="0"/>
              <w:autoSpaceDN w:val="0"/>
              <w:adjustRightInd w:val="0"/>
              <w:spacing w:line="320" w:lineRule="atLeast"/>
              <w:ind w:left="60" w:right="60"/>
              <w:rPr>
                <w:color w:val="000000"/>
                <w:sz w:val="20"/>
              </w:rPr>
            </w:pPr>
            <w:r w:rsidRPr="00F81C4B">
              <w:rPr>
                <w:color w:val="000000"/>
                <w:sz w:val="20"/>
              </w:rPr>
              <w:t>Equal variances not assumed</w:t>
            </w:r>
          </w:p>
        </w:tc>
        <w:tc>
          <w:tcPr>
            <w:tcW w:w="891" w:type="dxa"/>
            <w:gridSpan w:val="2"/>
            <w:tcBorders>
              <w:top w:val="nil"/>
              <w:left w:val="nil"/>
              <w:bottom w:val="single" w:sz="4" w:space="0" w:color="auto"/>
              <w:right w:val="nil"/>
            </w:tcBorders>
            <w:shd w:val="clear" w:color="auto" w:fill="FFFFFF"/>
          </w:tcPr>
          <w:p w14:paraId="52239D17" w14:textId="77777777" w:rsidR="00023090" w:rsidRPr="00F81C4B" w:rsidRDefault="00023090" w:rsidP="00CE76A7">
            <w:pPr>
              <w:autoSpaceDE w:val="0"/>
              <w:autoSpaceDN w:val="0"/>
              <w:adjustRightInd w:val="0"/>
              <w:rPr>
                <w:sz w:val="20"/>
              </w:rPr>
            </w:pPr>
          </w:p>
        </w:tc>
        <w:tc>
          <w:tcPr>
            <w:tcW w:w="892" w:type="dxa"/>
            <w:tcBorders>
              <w:top w:val="nil"/>
              <w:left w:val="nil"/>
              <w:bottom w:val="single" w:sz="4" w:space="0" w:color="auto"/>
              <w:right w:val="nil"/>
            </w:tcBorders>
            <w:shd w:val="clear" w:color="auto" w:fill="FFFFFF"/>
          </w:tcPr>
          <w:p w14:paraId="3B4E695A" w14:textId="77777777" w:rsidR="00023090" w:rsidRPr="00F81C4B" w:rsidRDefault="00023090" w:rsidP="00CE76A7">
            <w:pPr>
              <w:autoSpaceDE w:val="0"/>
              <w:autoSpaceDN w:val="0"/>
              <w:adjustRightInd w:val="0"/>
              <w:rPr>
                <w:sz w:val="20"/>
              </w:rPr>
            </w:pPr>
          </w:p>
        </w:tc>
        <w:tc>
          <w:tcPr>
            <w:tcW w:w="612" w:type="dxa"/>
            <w:gridSpan w:val="2"/>
            <w:tcBorders>
              <w:top w:val="nil"/>
              <w:left w:val="nil"/>
              <w:bottom w:val="single" w:sz="4" w:space="0" w:color="auto"/>
              <w:right w:val="nil"/>
            </w:tcBorders>
            <w:shd w:val="clear" w:color="auto" w:fill="FFFFFF"/>
          </w:tcPr>
          <w:p w14:paraId="4A2C6E0C" w14:textId="1194467A"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3</w:t>
            </w:r>
            <w:r w:rsidR="00F81C4B" w:rsidRPr="00F81C4B">
              <w:rPr>
                <w:color w:val="000000"/>
                <w:sz w:val="20"/>
                <w:lang w:val="id-ID"/>
              </w:rPr>
              <w:t>.</w:t>
            </w:r>
            <w:r w:rsidRPr="00F81C4B">
              <w:rPr>
                <w:color w:val="000000"/>
                <w:sz w:val="20"/>
              </w:rPr>
              <w:t>947</w:t>
            </w:r>
          </w:p>
        </w:tc>
        <w:tc>
          <w:tcPr>
            <w:tcW w:w="612" w:type="dxa"/>
            <w:tcBorders>
              <w:top w:val="nil"/>
              <w:left w:val="nil"/>
              <w:bottom w:val="single" w:sz="4" w:space="0" w:color="auto"/>
              <w:right w:val="nil"/>
            </w:tcBorders>
            <w:shd w:val="clear" w:color="auto" w:fill="FFFFFF"/>
          </w:tcPr>
          <w:p w14:paraId="25869FB9" w14:textId="220D4783" w:rsidR="00023090" w:rsidRPr="00F81C4B" w:rsidRDefault="00023090" w:rsidP="00427F30">
            <w:pPr>
              <w:autoSpaceDE w:val="0"/>
              <w:autoSpaceDN w:val="0"/>
              <w:adjustRightInd w:val="0"/>
              <w:spacing w:line="320" w:lineRule="atLeast"/>
              <w:ind w:left="60" w:right="60"/>
              <w:jc w:val="right"/>
              <w:rPr>
                <w:color w:val="000000"/>
                <w:sz w:val="20"/>
              </w:rPr>
            </w:pPr>
            <w:r w:rsidRPr="00F81C4B">
              <w:rPr>
                <w:color w:val="000000"/>
                <w:sz w:val="20"/>
              </w:rPr>
              <w:t>68.13</w:t>
            </w:r>
          </w:p>
        </w:tc>
        <w:tc>
          <w:tcPr>
            <w:tcW w:w="844" w:type="dxa"/>
            <w:gridSpan w:val="2"/>
            <w:tcBorders>
              <w:top w:val="nil"/>
              <w:left w:val="nil"/>
              <w:bottom w:val="single" w:sz="4" w:space="0" w:color="auto"/>
              <w:right w:val="nil"/>
            </w:tcBorders>
            <w:shd w:val="clear" w:color="auto" w:fill="FFFFFF"/>
          </w:tcPr>
          <w:p w14:paraId="38AA3C1F" w14:textId="103A2C97" w:rsidR="00023090" w:rsidRPr="00F81C4B" w:rsidRDefault="00F81C4B" w:rsidP="00F81C4B">
            <w:pPr>
              <w:autoSpaceDE w:val="0"/>
              <w:autoSpaceDN w:val="0"/>
              <w:adjustRightInd w:val="0"/>
              <w:spacing w:line="320" w:lineRule="atLeast"/>
              <w:ind w:left="60" w:right="60"/>
              <w:jc w:val="center"/>
              <w:rPr>
                <w:color w:val="000000"/>
                <w:sz w:val="20"/>
              </w:rPr>
            </w:pPr>
            <w:r w:rsidRPr="00F81C4B">
              <w:rPr>
                <w:color w:val="000000"/>
                <w:sz w:val="20"/>
                <w:lang w:val="id-ID"/>
              </w:rPr>
              <w:t>0</w:t>
            </w:r>
            <w:r w:rsidR="00023090" w:rsidRPr="00F81C4B">
              <w:rPr>
                <w:color w:val="000000"/>
                <w:sz w:val="20"/>
              </w:rPr>
              <w:t>.000</w:t>
            </w:r>
          </w:p>
        </w:tc>
        <w:tc>
          <w:tcPr>
            <w:tcW w:w="891" w:type="dxa"/>
            <w:tcBorders>
              <w:top w:val="nil"/>
              <w:left w:val="nil"/>
              <w:bottom w:val="single" w:sz="4" w:space="0" w:color="auto"/>
              <w:right w:val="nil"/>
            </w:tcBorders>
            <w:shd w:val="clear" w:color="auto" w:fill="FFFFFF"/>
          </w:tcPr>
          <w:p w14:paraId="75D148C6"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9.081</w:t>
            </w:r>
          </w:p>
        </w:tc>
        <w:tc>
          <w:tcPr>
            <w:tcW w:w="891" w:type="dxa"/>
            <w:gridSpan w:val="2"/>
            <w:tcBorders>
              <w:top w:val="nil"/>
              <w:left w:val="nil"/>
              <w:bottom w:val="single" w:sz="4" w:space="0" w:color="auto"/>
              <w:right w:val="nil"/>
            </w:tcBorders>
            <w:shd w:val="clear" w:color="auto" w:fill="FFFFFF"/>
          </w:tcPr>
          <w:p w14:paraId="78E1DA20" w14:textId="3CD70728"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2</w:t>
            </w:r>
            <w:r w:rsidR="00F81C4B" w:rsidRPr="00F81C4B">
              <w:rPr>
                <w:color w:val="000000"/>
                <w:sz w:val="20"/>
                <w:lang w:val="id-ID"/>
              </w:rPr>
              <w:t>.</w:t>
            </w:r>
            <w:r w:rsidRPr="00F81C4B">
              <w:rPr>
                <w:color w:val="000000"/>
                <w:sz w:val="20"/>
              </w:rPr>
              <w:t>301</w:t>
            </w:r>
          </w:p>
        </w:tc>
        <w:tc>
          <w:tcPr>
            <w:tcW w:w="891" w:type="dxa"/>
            <w:tcBorders>
              <w:top w:val="nil"/>
              <w:left w:val="nil"/>
              <w:bottom w:val="single" w:sz="4" w:space="0" w:color="auto"/>
              <w:right w:val="nil"/>
            </w:tcBorders>
            <w:shd w:val="clear" w:color="auto" w:fill="FFFFFF"/>
          </w:tcPr>
          <w:p w14:paraId="0B79E3C1" w14:textId="77777777"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4.490</w:t>
            </w:r>
          </w:p>
        </w:tc>
        <w:tc>
          <w:tcPr>
            <w:tcW w:w="894" w:type="dxa"/>
            <w:gridSpan w:val="2"/>
            <w:tcBorders>
              <w:top w:val="nil"/>
              <w:left w:val="nil"/>
              <w:bottom w:val="single" w:sz="4" w:space="0" w:color="auto"/>
              <w:right w:val="nil"/>
            </w:tcBorders>
            <w:shd w:val="clear" w:color="auto" w:fill="FFFFFF"/>
          </w:tcPr>
          <w:p w14:paraId="5E232CC4" w14:textId="78D7BB6A" w:rsidR="00023090" w:rsidRPr="00F81C4B" w:rsidRDefault="00023090" w:rsidP="00F81C4B">
            <w:pPr>
              <w:autoSpaceDE w:val="0"/>
              <w:autoSpaceDN w:val="0"/>
              <w:adjustRightInd w:val="0"/>
              <w:spacing w:line="320" w:lineRule="atLeast"/>
              <w:ind w:left="60" w:right="60"/>
              <w:jc w:val="center"/>
              <w:rPr>
                <w:color w:val="000000"/>
                <w:sz w:val="20"/>
              </w:rPr>
            </w:pPr>
            <w:r w:rsidRPr="00F81C4B">
              <w:rPr>
                <w:color w:val="000000"/>
                <w:sz w:val="20"/>
              </w:rPr>
              <w:t>13</w:t>
            </w:r>
            <w:r w:rsidR="00F81C4B" w:rsidRPr="00F81C4B">
              <w:rPr>
                <w:color w:val="000000"/>
                <w:sz w:val="20"/>
                <w:lang w:val="id-ID"/>
              </w:rPr>
              <w:t>.</w:t>
            </w:r>
            <w:r w:rsidRPr="00F81C4B">
              <w:rPr>
                <w:color w:val="000000"/>
                <w:sz w:val="20"/>
              </w:rPr>
              <w:t>671</w:t>
            </w:r>
          </w:p>
        </w:tc>
      </w:tr>
      <w:tr w:rsidR="00023090" w:rsidRPr="00892711" w14:paraId="02EDF0B1" w14:textId="77777777" w:rsidTr="00944089">
        <w:trPr>
          <w:gridAfter w:val="1"/>
          <w:wAfter w:w="13" w:type="dxa"/>
          <w:cantSplit/>
        </w:trPr>
        <w:tc>
          <w:tcPr>
            <w:tcW w:w="9356" w:type="dxa"/>
            <w:gridSpan w:val="18"/>
            <w:tcBorders>
              <w:top w:val="nil"/>
              <w:left w:val="nil"/>
              <w:bottom w:val="single" w:sz="4" w:space="0" w:color="auto"/>
              <w:right w:val="nil"/>
            </w:tcBorders>
            <w:shd w:val="clear" w:color="auto" w:fill="FFFFFF"/>
          </w:tcPr>
          <w:p w14:paraId="31C3395E" w14:textId="4E7BCC3C" w:rsidR="000E0AF9" w:rsidRPr="00892711" w:rsidRDefault="00CF39D1" w:rsidP="00CF39D1">
            <w:pPr>
              <w:autoSpaceDE w:val="0"/>
              <w:autoSpaceDN w:val="0"/>
              <w:adjustRightInd w:val="0"/>
              <w:spacing w:line="320" w:lineRule="atLeast"/>
              <w:ind w:left="60" w:right="60"/>
              <w:jc w:val="both"/>
              <w:rPr>
                <w:b/>
                <w:bCs/>
                <w:color w:val="000000"/>
              </w:rPr>
            </w:pPr>
            <w:r>
              <w:rPr>
                <w:lang w:val="id-ID"/>
              </w:rPr>
              <w:t>According Table 7. Independent Sample Test obtained a sig value of 0.871 &gt; 0.05, then H</w:t>
            </w:r>
            <w:r w:rsidRPr="0082581F">
              <w:rPr>
                <w:vertAlign w:val="subscript"/>
                <w:lang w:val="id-ID"/>
              </w:rPr>
              <w:t>0</w:t>
            </w:r>
            <w:r>
              <w:rPr>
                <w:lang w:val="id-ID"/>
              </w:rPr>
              <w:t xml:space="preserve"> is accepted. This means that both groups have the same variance (homogeneous). While the test criteria obtained sig value 0.000 &lt;0.05, which means H</w:t>
            </w:r>
            <w:r w:rsidRPr="0082581F">
              <w:rPr>
                <w:vertAlign w:val="subscript"/>
                <w:lang w:val="id-ID"/>
              </w:rPr>
              <w:t>0</w:t>
            </w:r>
            <w:r>
              <w:rPr>
                <w:lang w:val="id-ID"/>
              </w:rPr>
              <w:t xml:space="preserve"> is rejected. </w:t>
            </w:r>
          </w:p>
          <w:p w14:paraId="0622F9E4" w14:textId="77777777" w:rsidR="00D76996" w:rsidRDefault="00D76996" w:rsidP="00CE76A7">
            <w:pPr>
              <w:autoSpaceDE w:val="0"/>
              <w:autoSpaceDN w:val="0"/>
              <w:adjustRightInd w:val="0"/>
              <w:spacing w:line="320" w:lineRule="atLeast"/>
              <w:ind w:left="60" w:right="60"/>
              <w:jc w:val="center"/>
              <w:rPr>
                <w:b/>
                <w:bCs/>
                <w:color w:val="000000"/>
                <w:lang w:val="id-ID"/>
              </w:rPr>
            </w:pPr>
          </w:p>
          <w:p w14:paraId="57340D45" w14:textId="3662F683" w:rsidR="00023090" w:rsidRPr="00892711" w:rsidRDefault="00892711" w:rsidP="00CE76A7">
            <w:pPr>
              <w:autoSpaceDE w:val="0"/>
              <w:autoSpaceDN w:val="0"/>
              <w:adjustRightInd w:val="0"/>
              <w:spacing w:line="320" w:lineRule="atLeast"/>
              <w:ind w:left="60" w:right="60"/>
              <w:jc w:val="center"/>
              <w:rPr>
                <w:color w:val="000000"/>
              </w:rPr>
            </w:pPr>
            <w:r w:rsidRPr="00892711">
              <w:rPr>
                <w:b/>
                <w:bCs/>
                <w:color w:val="000000"/>
                <w:lang w:val="id-ID"/>
              </w:rPr>
              <w:t xml:space="preserve">Table 8. </w:t>
            </w:r>
            <w:r w:rsidR="00023090" w:rsidRPr="00892711">
              <w:rPr>
                <w:b/>
                <w:bCs/>
                <w:color w:val="000000"/>
              </w:rPr>
              <w:t>One-Sample Test</w:t>
            </w:r>
          </w:p>
        </w:tc>
      </w:tr>
      <w:tr w:rsidR="00023090" w:rsidRPr="00892711" w14:paraId="211F498B" w14:textId="77777777" w:rsidTr="00944089">
        <w:trPr>
          <w:gridAfter w:val="1"/>
          <w:wAfter w:w="13" w:type="dxa"/>
          <w:cantSplit/>
        </w:trPr>
        <w:tc>
          <w:tcPr>
            <w:tcW w:w="727" w:type="dxa"/>
            <w:gridSpan w:val="3"/>
            <w:vMerge w:val="restart"/>
            <w:tcBorders>
              <w:top w:val="single" w:sz="4" w:space="0" w:color="auto"/>
              <w:left w:val="nil"/>
              <w:bottom w:val="nil"/>
              <w:right w:val="nil"/>
            </w:tcBorders>
            <w:shd w:val="clear" w:color="auto" w:fill="FFFFFF"/>
          </w:tcPr>
          <w:p w14:paraId="7D375F35" w14:textId="77777777" w:rsidR="00023090" w:rsidRPr="00892711" w:rsidRDefault="00023090" w:rsidP="00CE76A7">
            <w:pPr>
              <w:autoSpaceDE w:val="0"/>
              <w:autoSpaceDN w:val="0"/>
              <w:adjustRightInd w:val="0"/>
            </w:pPr>
          </w:p>
        </w:tc>
        <w:tc>
          <w:tcPr>
            <w:tcW w:w="8629" w:type="dxa"/>
            <w:gridSpan w:val="15"/>
            <w:tcBorders>
              <w:top w:val="single" w:sz="4" w:space="0" w:color="auto"/>
              <w:left w:val="nil"/>
              <w:bottom w:val="single" w:sz="4" w:space="0" w:color="auto"/>
              <w:right w:val="nil"/>
            </w:tcBorders>
            <w:shd w:val="clear" w:color="auto" w:fill="FFFFFF"/>
          </w:tcPr>
          <w:p w14:paraId="504C7B34" w14:textId="77777777" w:rsidR="00023090" w:rsidRPr="00892711" w:rsidRDefault="00023090" w:rsidP="00CE76A7">
            <w:pPr>
              <w:autoSpaceDE w:val="0"/>
              <w:autoSpaceDN w:val="0"/>
              <w:adjustRightInd w:val="0"/>
              <w:spacing w:line="320" w:lineRule="atLeast"/>
              <w:ind w:left="60" w:right="60"/>
              <w:jc w:val="center"/>
              <w:rPr>
                <w:color w:val="000000"/>
              </w:rPr>
            </w:pPr>
            <w:r w:rsidRPr="00892711">
              <w:rPr>
                <w:color w:val="000000"/>
              </w:rPr>
              <w:t>Test Value = 70</w:t>
            </w:r>
          </w:p>
        </w:tc>
      </w:tr>
      <w:tr w:rsidR="00023090" w:rsidRPr="00892711" w14:paraId="6AF5DFA3" w14:textId="77777777" w:rsidTr="00944089">
        <w:trPr>
          <w:gridAfter w:val="1"/>
          <w:wAfter w:w="13" w:type="dxa"/>
          <w:cantSplit/>
        </w:trPr>
        <w:tc>
          <w:tcPr>
            <w:tcW w:w="727" w:type="dxa"/>
            <w:gridSpan w:val="3"/>
            <w:vMerge/>
            <w:tcBorders>
              <w:top w:val="single" w:sz="4" w:space="0" w:color="auto"/>
              <w:left w:val="nil"/>
              <w:bottom w:val="nil"/>
              <w:right w:val="nil"/>
            </w:tcBorders>
            <w:shd w:val="clear" w:color="auto" w:fill="FFFFFF"/>
          </w:tcPr>
          <w:p w14:paraId="48551032" w14:textId="77777777" w:rsidR="00023090" w:rsidRPr="00892711" w:rsidRDefault="00023090" w:rsidP="00CE76A7">
            <w:pPr>
              <w:autoSpaceDE w:val="0"/>
              <w:autoSpaceDN w:val="0"/>
              <w:adjustRightInd w:val="0"/>
              <w:rPr>
                <w:color w:val="000000"/>
              </w:rPr>
            </w:pPr>
          </w:p>
        </w:tc>
        <w:tc>
          <w:tcPr>
            <w:tcW w:w="1000" w:type="dxa"/>
            <w:vMerge w:val="restart"/>
            <w:tcBorders>
              <w:top w:val="single" w:sz="4" w:space="0" w:color="auto"/>
              <w:left w:val="nil"/>
              <w:bottom w:val="single" w:sz="4" w:space="0" w:color="auto"/>
              <w:right w:val="nil"/>
            </w:tcBorders>
            <w:shd w:val="clear" w:color="auto" w:fill="FFFFFF"/>
            <w:vAlign w:val="center"/>
          </w:tcPr>
          <w:p w14:paraId="025B1892" w14:textId="200B29EC" w:rsidR="00023090" w:rsidRPr="00892711" w:rsidRDefault="00880F24" w:rsidP="00427F30">
            <w:pPr>
              <w:autoSpaceDE w:val="0"/>
              <w:autoSpaceDN w:val="0"/>
              <w:adjustRightInd w:val="0"/>
              <w:spacing w:line="320" w:lineRule="atLeast"/>
              <w:ind w:left="60" w:right="60"/>
              <w:jc w:val="center"/>
              <w:rPr>
                <w:color w:val="000000"/>
              </w:rPr>
            </w:pPr>
            <w:r w:rsidRPr="00892711">
              <w:rPr>
                <w:color w:val="000000"/>
              </w:rPr>
              <w:t>T</w:t>
            </w:r>
          </w:p>
        </w:tc>
        <w:tc>
          <w:tcPr>
            <w:tcW w:w="1000" w:type="dxa"/>
            <w:gridSpan w:val="2"/>
            <w:vMerge w:val="restart"/>
            <w:tcBorders>
              <w:top w:val="single" w:sz="4" w:space="0" w:color="auto"/>
              <w:left w:val="nil"/>
              <w:bottom w:val="single" w:sz="4" w:space="0" w:color="auto"/>
              <w:right w:val="nil"/>
            </w:tcBorders>
            <w:shd w:val="clear" w:color="auto" w:fill="FFFFFF"/>
            <w:vAlign w:val="center"/>
          </w:tcPr>
          <w:p w14:paraId="7BCA5AAC" w14:textId="77777777" w:rsidR="00023090" w:rsidRPr="00892711" w:rsidRDefault="00023090" w:rsidP="00427F30">
            <w:pPr>
              <w:autoSpaceDE w:val="0"/>
              <w:autoSpaceDN w:val="0"/>
              <w:adjustRightInd w:val="0"/>
              <w:spacing w:line="320" w:lineRule="atLeast"/>
              <w:ind w:left="60" w:right="60"/>
              <w:jc w:val="center"/>
              <w:rPr>
                <w:color w:val="000000"/>
              </w:rPr>
            </w:pPr>
            <w:proofErr w:type="spellStart"/>
            <w:r w:rsidRPr="00892711">
              <w:rPr>
                <w:color w:val="000000"/>
              </w:rPr>
              <w:t>df</w:t>
            </w:r>
            <w:proofErr w:type="spellEnd"/>
          </w:p>
        </w:tc>
        <w:tc>
          <w:tcPr>
            <w:tcW w:w="1379" w:type="dxa"/>
            <w:gridSpan w:val="3"/>
            <w:vMerge w:val="restart"/>
            <w:tcBorders>
              <w:top w:val="single" w:sz="4" w:space="0" w:color="auto"/>
              <w:left w:val="nil"/>
              <w:bottom w:val="single" w:sz="4" w:space="0" w:color="auto"/>
              <w:right w:val="nil"/>
            </w:tcBorders>
            <w:shd w:val="clear" w:color="auto" w:fill="FFFFFF"/>
            <w:vAlign w:val="center"/>
          </w:tcPr>
          <w:p w14:paraId="1D057D30" w14:textId="77777777" w:rsidR="00023090" w:rsidRPr="00892711" w:rsidRDefault="00023090" w:rsidP="00427F30">
            <w:pPr>
              <w:autoSpaceDE w:val="0"/>
              <w:autoSpaceDN w:val="0"/>
              <w:adjustRightInd w:val="0"/>
              <w:spacing w:line="320" w:lineRule="atLeast"/>
              <w:ind w:left="60" w:right="60"/>
              <w:jc w:val="center"/>
              <w:rPr>
                <w:color w:val="000000"/>
              </w:rPr>
            </w:pPr>
            <w:r w:rsidRPr="00892711">
              <w:rPr>
                <w:color w:val="000000"/>
              </w:rPr>
              <w:t>Sig. (2-tailed)</w:t>
            </w:r>
          </w:p>
        </w:tc>
        <w:tc>
          <w:tcPr>
            <w:tcW w:w="1456" w:type="dxa"/>
            <w:gridSpan w:val="3"/>
            <w:vMerge w:val="restart"/>
            <w:tcBorders>
              <w:top w:val="single" w:sz="4" w:space="0" w:color="auto"/>
              <w:left w:val="nil"/>
              <w:bottom w:val="single" w:sz="4" w:space="0" w:color="auto"/>
              <w:right w:val="nil"/>
            </w:tcBorders>
            <w:shd w:val="clear" w:color="auto" w:fill="FFFFFF"/>
            <w:vAlign w:val="center"/>
          </w:tcPr>
          <w:p w14:paraId="76A058DA" w14:textId="77777777" w:rsidR="00023090" w:rsidRPr="00892711" w:rsidRDefault="00023090" w:rsidP="00427F30">
            <w:pPr>
              <w:autoSpaceDE w:val="0"/>
              <w:autoSpaceDN w:val="0"/>
              <w:adjustRightInd w:val="0"/>
              <w:spacing w:line="320" w:lineRule="atLeast"/>
              <w:ind w:left="60" w:right="60"/>
              <w:jc w:val="center"/>
              <w:rPr>
                <w:color w:val="000000"/>
              </w:rPr>
            </w:pPr>
            <w:r w:rsidRPr="00892711">
              <w:rPr>
                <w:color w:val="000000"/>
              </w:rPr>
              <w:t>Mean Difference</w:t>
            </w:r>
          </w:p>
        </w:tc>
        <w:tc>
          <w:tcPr>
            <w:tcW w:w="3794" w:type="dxa"/>
            <w:gridSpan w:val="6"/>
            <w:tcBorders>
              <w:top w:val="single" w:sz="4" w:space="0" w:color="auto"/>
              <w:left w:val="nil"/>
              <w:bottom w:val="single" w:sz="4" w:space="0" w:color="auto"/>
              <w:right w:val="nil"/>
            </w:tcBorders>
            <w:shd w:val="clear" w:color="auto" w:fill="FFFFFF"/>
          </w:tcPr>
          <w:p w14:paraId="007D88CD" w14:textId="77777777" w:rsidR="00023090" w:rsidRPr="00892711" w:rsidRDefault="00023090" w:rsidP="00CE76A7">
            <w:pPr>
              <w:autoSpaceDE w:val="0"/>
              <w:autoSpaceDN w:val="0"/>
              <w:adjustRightInd w:val="0"/>
              <w:spacing w:line="320" w:lineRule="atLeast"/>
              <w:ind w:left="60" w:right="60"/>
              <w:jc w:val="center"/>
              <w:rPr>
                <w:color w:val="000000"/>
              </w:rPr>
            </w:pPr>
            <w:r w:rsidRPr="00892711">
              <w:rPr>
                <w:color w:val="000000"/>
              </w:rPr>
              <w:t>95% Confidence Interval of the Difference</w:t>
            </w:r>
          </w:p>
        </w:tc>
      </w:tr>
      <w:tr w:rsidR="00023090" w:rsidRPr="00F81C4B" w14:paraId="53B9654B" w14:textId="77777777" w:rsidTr="00944089">
        <w:trPr>
          <w:gridAfter w:val="1"/>
          <w:wAfter w:w="13" w:type="dxa"/>
          <w:cantSplit/>
        </w:trPr>
        <w:tc>
          <w:tcPr>
            <w:tcW w:w="727" w:type="dxa"/>
            <w:gridSpan w:val="3"/>
            <w:vMerge/>
            <w:tcBorders>
              <w:top w:val="nil"/>
              <w:left w:val="nil"/>
              <w:bottom w:val="nil"/>
              <w:right w:val="nil"/>
            </w:tcBorders>
            <w:shd w:val="clear" w:color="auto" w:fill="FFFFFF"/>
          </w:tcPr>
          <w:p w14:paraId="75914EC6" w14:textId="77777777" w:rsidR="00023090" w:rsidRPr="00892711" w:rsidRDefault="00023090" w:rsidP="00CE76A7">
            <w:pPr>
              <w:autoSpaceDE w:val="0"/>
              <w:autoSpaceDN w:val="0"/>
              <w:adjustRightInd w:val="0"/>
              <w:rPr>
                <w:color w:val="000000"/>
              </w:rPr>
            </w:pPr>
          </w:p>
        </w:tc>
        <w:tc>
          <w:tcPr>
            <w:tcW w:w="1000" w:type="dxa"/>
            <w:vMerge/>
            <w:tcBorders>
              <w:top w:val="single" w:sz="4" w:space="0" w:color="auto"/>
              <w:left w:val="nil"/>
              <w:bottom w:val="single" w:sz="4" w:space="0" w:color="auto"/>
              <w:right w:val="nil"/>
            </w:tcBorders>
            <w:shd w:val="clear" w:color="auto" w:fill="FFFFFF"/>
          </w:tcPr>
          <w:p w14:paraId="6287F026" w14:textId="77777777" w:rsidR="00023090" w:rsidRPr="00F81C4B" w:rsidRDefault="00023090" w:rsidP="00CE76A7">
            <w:pPr>
              <w:autoSpaceDE w:val="0"/>
              <w:autoSpaceDN w:val="0"/>
              <w:adjustRightInd w:val="0"/>
              <w:rPr>
                <w:color w:val="000000"/>
              </w:rPr>
            </w:pPr>
          </w:p>
        </w:tc>
        <w:tc>
          <w:tcPr>
            <w:tcW w:w="1000" w:type="dxa"/>
            <w:gridSpan w:val="2"/>
            <w:vMerge/>
            <w:tcBorders>
              <w:top w:val="single" w:sz="4" w:space="0" w:color="auto"/>
              <w:left w:val="nil"/>
              <w:bottom w:val="single" w:sz="4" w:space="0" w:color="auto"/>
              <w:right w:val="nil"/>
            </w:tcBorders>
            <w:shd w:val="clear" w:color="auto" w:fill="FFFFFF"/>
          </w:tcPr>
          <w:p w14:paraId="1414C324" w14:textId="77777777" w:rsidR="00023090" w:rsidRPr="00F81C4B" w:rsidRDefault="00023090" w:rsidP="00CE76A7">
            <w:pPr>
              <w:autoSpaceDE w:val="0"/>
              <w:autoSpaceDN w:val="0"/>
              <w:adjustRightInd w:val="0"/>
              <w:rPr>
                <w:color w:val="000000"/>
              </w:rPr>
            </w:pPr>
          </w:p>
        </w:tc>
        <w:tc>
          <w:tcPr>
            <w:tcW w:w="1379" w:type="dxa"/>
            <w:gridSpan w:val="3"/>
            <w:vMerge/>
            <w:tcBorders>
              <w:top w:val="single" w:sz="4" w:space="0" w:color="auto"/>
              <w:left w:val="nil"/>
              <w:bottom w:val="single" w:sz="4" w:space="0" w:color="auto"/>
              <w:right w:val="nil"/>
            </w:tcBorders>
            <w:shd w:val="clear" w:color="auto" w:fill="FFFFFF"/>
          </w:tcPr>
          <w:p w14:paraId="7B8EEDAD" w14:textId="77777777" w:rsidR="00023090" w:rsidRPr="00F81C4B" w:rsidRDefault="00023090" w:rsidP="00CE76A7">
            <w:pPr>
              <w:autoSpaceDE w:val="0"/>
              <w:autoSpaceDN w:val="0"/>
              <w:adjustRightInd w:val="0"/>
              <w:rPr>
                <w:color w:val="000000"/>
              </w:rPr>
            </w:pPr>
          </w:p>
        </w:tc>
        <w:tc>
          <w:tcPr>
            <w:tcW w:w="1456" w:type="dxa"/>
            <w:gridSpan w:val="3"/>
            <w:vMerge/>
            <w:tcBorders>
              <w:top w:val="single" w:sz="4" w:space="0" w:color="auto"/>
              <w:left w:val="nil"/>
              <w:bottom w:val="single" w:sz="4" w:space="0" w:color="auto"/>
              <w:right w:val="nil"/>
            </w:tcBorders>
            <w:shd w:val="clear" w:color="auto" w:fill="FFFFFF"/>
          </w:tcPr>
          <w:p w14:paraId="35410F7E" w14:textId="77777777" w:rsidR="00023090" w:rsidRPr="00F81C4B" w:rsidRDefault="00023090" w:rsidP="00CE76A7">
            <w:pPr>
              <w:autoSpaceDE w:val="0"/>
              <w:autoSpaceDN w:val="0"/>
              <w:adjustRightInd w:val="0"/>
              <w:rPr>
                <w:color w:val="000000"/>
              </w:rPr>
            </w:pPr>
          </w:p>
        </w:tc>
        <w:tc>
          <w:tcPr>
            <w:tcW w:w="1456" w:type="dxa"/>
            <w:gridSpan w:val="3"/>
            <w:tcBorders>
              <w:top w:val="single" w:sz="4" w:space="0" w:color="auto"/>
              <w:left w:val="nil"/>
              <w:bottom w:val="single" w:sz="4" w:space="0" w:color="auto"/>
              <w:right w:val="nil"/>
            </w:tcBorders>
            <w:shd w:val="clear" w:color="auto" w:fill="FFFFFF"/>
          </w:tcPr>
          <w:p w14:paraId="1BFC222D" w14:textId="77777777" w:rsidR="00023090" w:rsidRPr="00F81C4B" w:rsidRDefault="00023090" w:rsidP="00CE76A7">
            <w:pPr>
              <w:autoSpaceDE w:val="0"/>
              <w:autoSpaceDN w:val="0"/>
              <w:adjustRightInd w:val="0"/>
              <w:spacing w:line="320" w:lineRule="atLeast"/>
              <w:ind w:left="60" w:right="60"/>
              <w:jc w:val="center"/>
              <w:rPr>
                <w:color w:val="000000"/>
              </w:rPr>
            </w:pPr>
            <w:r w:rsidRPr="00F81C4B">
              <w:rPr>
                <w:color w:val="000000"/>
              </w:rPr>
              <w:t>Lower</w:t>
            </w:r>
          </w:p>
        </w:tc>
        <w:tc>
          <w:tcPr>
            <w:tcW w:w="2338" w:type="dxa"/>
            <w:gridSpan w:val="3"/>
            <w:tcBorders>
              <w:top w:val="single" w:sz="4" w:space="0" w:color="auto"/>
              <w:left w:val="nil"/>
              <w:bottom w:val="single" w:sz="4" w:space="0" w:color="auto"/>
              <w:right w:val="nil"/>
            </w:tcBorders>
            <w:shd w:val="clear" w:color="auto" w:fill="FFFFFF"/>
          </w:tcPr>
          <w:p w14:paraId="32B7E42D" w14:textId="77777777" w:rsidR="00023090" w:rsidRPr="00F81C4B" w:rsidRDefault="00023090" w:rsidP="00CE76A7">
            <w:pPr>
              <w:autoSpaceDE w:val="0"/>
              <w:autoSpaceDN w:val="0"/>
              <w:adjustRightInd w:val="0"/>
              <w:spacing w:line="320" w:lineRule="atLeast"/>
              <w:ind w:left="60" w:right="60"/>
              <w:jc w:val="center"/>
              <w:rPr>
                <w:color w:val="000000"/>
              </w:rPr>
            </w:pPr>
            <w:r w:rsidRPr="00F81C4B">
              <w:rPr>
                <w:color w:val="000000"/>
              </w:rPr>
              <w:t>Upper</w:t>
            </w:r>
          </w:p>
        </w:tc>
      </w:tr>
      <w:tr w:rsidR="00023090" w:rsidRPr="00F81C4B" w14:paraId="343DB936" w14:textId="77777777" w:rsidTr="00944089">
        <w:trPr>
          <w:gridAfter w:val="1"/>
          <w:wAfter w:w="13" w:type="dxa"/>
          <w:cantSplit/>
        </w:trPr>
        <w:tc>
          <w:tcPr>
            <w:tcW w:w="727" w:type="dxa"/>
            <w:gridSpan w:val="3"/>
            <w:tcBorders>
              <w:top w:val="nil"/>
              <w:left w:val="nil"/>
              <w:bottom w:val="single" w:sz="4" w:space="0" w:color="auto"/>
              <w:right w:val="nil"/>
            </w:tcBorders>
            <w:shd w:val="clear" w:color="auto" w:fill="FFFFFF"/>
            <w:vAlign w:val="center"/>
          </w:tcPr>
          <w:p w14:paraId="0A6FCB03" w14:textId="77777777" w:rsidR="00023090" w:rsidRPr="00892711" w:rsidRDefault="00023090" w:rsidP="00CE76A7">
            <w:pPr>
              <w:autoSpaceDE w:val="0"/>
              <w:autoSpaceDN w:val="0"/>
              <w:adjustRightInd w:val="0"/>
              <w:spacing w:line="320" w:lineRule="atLeast"/>
              <w:ind w:left="60" w:right="60"/>
              <w:rPr>
                <w:color w:val="000000"/>
              </w:rPr>
            </w:pPr>
            <w:r w:rsidRPr="00892711">
              <w:rPr>
                <w:color w:val="000000"/>
              </w:rPr>
              <w:t>A7</w:t>
            </w:r>
          </w:p>
        </w:tc>
        <w:tc>
          <w:tcPr>
            <w:tcW w:w="1000" w:type="dxa"/>
            <w:tcBorders>
              <w:top w:val="single" w:sz="4" w:space="0" w:color="auto"/>
              <w:left w:val="nil"/>
              <w:bottom w:val="single" w:sz="4" w:space="0" w:color="auto"/>
              <w:right w:val="nil"/>
            </w:tcBorders>
            <w:shd w:val="clear" w:color="auto" w:fill="FFFFFF"/>
          </w:tcPr>
          <w:p w14:paraId="7DCBE09E" w14:textId="6A15FFB0" w:rsidR="00023090" w:rsidRPr="00F81C4B" w:rsidRDefault="00F81C4B" w:rsidP="00F81C4B">
            <w:pPr>
              <w:autoSpaceDE w:val="0"/>
              <w:autoSpaceDN w:val="0"/>
              <w:adjustRightInd w:val="0"/>
              <w:spacing w:line="320" w:lineRule="atLeast"/>
              <w:ind w:left="60" w:right="60"/>
              <w:jc w:val="center"/>
              <w:rPr>
                <w:color w:val="000000"/>
              </w:rPr>
            </w:pPr>
            <w:r>
              <w:rPr>
                <w:color w:val="000000"/>
              </w:rPr>
              <w:t>6.</w:t>
            </w:r>
            <w:r w:rsidR="00023090" w:rsidRPr="00F81C4B">
              <w:rPr>
                <w:color w:val="000000"/>
              </w:rPr>
              <w:t>704</w:t>
            </w:r>
          </w:p>
        </w:tc>
        <w:tc>
          <w:tcPr>
            <w:tcW w:w="1000" w:type="dxa"/>
            <w:gridSpan w:val="2"/>
            <w:tcBorders>
              <w:top w:val="single" w:sz="4" w:space="0" w:color="auto"/>
              <w:left w:val="nil"/>
              <w:bottom w:val="single" w:sz="4" w:space="0" w:color="auto"/>
              <w:right w:val="nil"/>
            </w:tcBorders>
            <w:shd w:val="clear" w:color="auto" w:fill="FFFFFF"/>
          </w:tcPr>
          <w:p w14:paraId="117505E3" w14:textId="77777777" w:rsidR="00023090" w:rsidRPr="00F81C4B" w:rsidRDefault="00023090" w:rsidP="00F81C4B">
            <w:pPr>
              <w:autoSpaceDE w:val="0"/>
              <w:autoSpaceDN w:val="0"/>
              <w:adjustRightInd w:val="0"/>
              <w:spacing w:line="320" w:lineRule="atLeast"/>
              <w:ind w:left="60" w:right="60"/>
              <w:jc w:val="center"/>
              <w:rPr>
                <w:color w:val="000000"/>
              </w:rPr>
            </w:pPr>
            <w:r w:rsidRPr="00F81C4B">
              <w:rPr>
                <w:color w:val="000000"/>
              </w:rPr>
              <w:t>29</w:t>
            </w:r>
          </w:p>
        </w:tc>
        <w:tc>
          <w:tcPr>
            <w:tcW w:w="1379" w:type="dxa"/>
            <w:gridSpan w:val="3"/>
            <w:tcBorders>
              <w:top w:val="single" w:sz="4" w:space="0" w:color="auto"/>
              <w:left w:val="nil"/>
              <w:bottom w:val="single" w:sz="4" w:space="0" w:color="auto"/>
              <w:right w:val="nil"/>
            </w:tcBorders>
            <w:shd w:val="clear" w:color="auto" w:fill="FFFFFF"/>
          </w:tcPr>
          <w:p w14:paraId="516F8BF0" w14:textId="68FEFE44" w:rsidR="00023090" w:rsidRPr="00F81C4B" w:rsidRDefault="00F81C4B" w:rsidP="00F81C4B">
            <w:pPr>
              <w:autoSpaceDE w:val="0"/>
              <w:autoSpaceDN w:val="0"/>
              <w:adjustRightInd w:val="0"/>
              <w:spacing w:line="320" w:lineRule="atLeast"/>
              <w:ind w:left="60" w:right="60"/>
              <w:jc w:val="center"/>
              <w:rPr>
                <w:color w:val="000000"/>
              </w:rPr>
            </w:pPr>
            <w:r>
              <w:rPr>
                <w:color w:val="000000"/>
                <w:lang w:val="id-ID"/>
              </w:rPr>
              <w:t>0</w:t>
            </w:r>
            <w:r w:rsidR="00023090" w:rsidRPr="00F81C4B">
              <w:rPr>
                <w:color w:val="000000"/>
              </w:rPr>
              <w:t>.000</w:t>
            </w:r>
          </w:p>
        </w:tc>
        <w:tc>
          <w:tcPr>
            <w:tcW w:w="1456" w:type="dxa"/>
            <w:gridSpan w:val="3"/>
            <w:tcBorders>
              <w:top w:val="single" w:sz="4" w:space="0" w:color="auto"/>
              <w:left w:val="nil"/>
              <w:bottom w:val="single" w:sz="4" w:space="0" w:color="auto"/>
              <w:right w:val="nil"/>
            </w:tcBorders>
            <w:shd w:val="clear" w:color="auto" w:fill="FFFFFF"/>
          </w:tcPr>
          <w:p w14:paraId="3F58520D" w14:textId="175AB540" w:rsidR="00023090" w:rsidRPr="00F81C4B" w:rsidRDefault="00023090" w:rsidP="00F81C4B">
            <w:pPr>
              <w:autoSpaceDE w:val="0"/>
              <w:autoSpaceDN w:val="0"/>
              <w:adjustRightInd w:val="0"/>
              <w:spacing w:line="320" w:lineRule="atLeast"/>
              <w:ind w:left="60" w:right="60"/>
              <w:jc w:val="center"/>
              <w:rPr>
                <w:color w:val="000000"/>
              </w:rPr>
            </w:pPr>
            <w:r w:rsidRPr="00F81C4B">
              <w:rPr>
                <w:color w:val="000000"/>
              </w:rPr>
              <w:t>12</w:t>
            </w:r>
            <w:r w:rsidR="00F81C4B">
              <w:rPr>
                <w:color w:val="000000"/>
                <w:lang w:val="id-ID"/>
              </w:rPr>
              <w:t>.</w:t>
            </w:r>
            <w:r w:rsidRPr="00F81C4B">
              <w:rPr>
                <w:color w:val="000000"/>
              </w:rPr>
              <w:t>933</w:t>
            </w:r>
          </w:p>
        </w:tc>
        <w:tc>
          <w:tcPr>
            <w:tcW w:w="1456" w:type="dxa"/>
            <w:gridSpan w:val="3"/>
            <w:tcBorders>
              <w:top w:val="single" w:sz="4" w:space="0" w:color="auto"/>
              <w:left w:val="nil"/>
              <w:bottom w:val="single" w:sz="4" w:space="0" w:color="auto"/>
              <w:right w:val="nil"/>
            </w:tcBorders>
            <w:shd w:val="clear" w:color="auto" w:fill="FFFFFF"/>
          </w:tcPr>
          <w:p w14:paraId="3A508AB9" w14:textId="77777777" w:rsidR="00023090" w:rsidRPr="00F81C4B" w:rsidRDefault="00023090" w:rsidP="00F81C4B">
            <w:pPr>
              <w:autoSpaceDE w:val="0"/>
              <w:autoSpaceDN w:val="0"/>
              <w:adjustRightInd w:val="0"/>
              <w:spacing w:line="320" w:lineRule="atLeast"/>
              <w:ind w:left="60" w:right="60"/>
              <w:jc w:val="center"/>
              <w:rPr>
                <w:color w:val="000000"/>
              </w:rPr>
            </w:pPr>
            <w:r w:rsidRPr="00F81C4B">
              <w:rPr>
                <w:color w:val="000000"/>
              </w:rPr>
              <w:t>8.99</w:t>
            </w:r>
          </w:p>
        </w:tc>
        <w:tc>
          <w:tcPr>
            <w:tcW w:w="2338" w:type="dxa"/>
            <w:gridSpan w:val="3"/>
            <w:tcBorders>
              <w:top w:val="single" w:sz="4" w:space="0" w:color="auto"/>
              <w:left w:val="nil"/>
              <w:bottom w:val="single" w:sz="4" w:space="0" w:color="auto"/>
              <w:right w:val="nil"/>
            </w:tcBorders>
            <w:shd w:val="clear" w:color="auto" w:fill="FFFFFF"/>
          </w:tcPr>
          <w:p w14:paraId="3EE6B86B" w14:textId="77777777" w:rsidR="00023090" w:rsidRPr="00F81C4B" w:rsidRDefault="00023090" w:rsidP="00F81C4B">
            <w:pPr>
              <w:autoSpaceDE w:val="0"/>
              <w:autoSpaceDN w:val="0"/>
              <w:adjustRightInd w:val="0"/>
              <w:spacing w:line="320" w:lineRule="atLeast"/>
              <w:ind w:left="60" w:right="60"/>
              <w:jc w:val="center"/>
              <w:rPr>
                <w:color w:val="000000"/>
              </w:rPr>
            </w:pPr>
            <w:r w:rsidRPr="00F81C4B">
              <w:rPr>
                <w:color w:val="000000"/>
              </w:rPr>
              <w:t>16.88</w:t>
            </w:r>
          </w:p>
        </w:tc>
      </w:tr>
    </w:tbl>
    <w:p w14:paraId="590649B5" w14:textId="77777777" w:rsidR="00AA29BF" w:rsidRDefault="00AA29BF" w:rsidP="006E72BA">
      <w:pPr>
        <w:autoSpaceDE w:val="0"/>
        <w:autoSpaceDN w:val="0"/>
        <w:adjustRightInd w:val="0"/>
        <w:spacing w:line="320" w:lineRule="atLeast"/>
        <w:ind w:right="60"/>
        <w:jc w:val="both"/>
        <w:rPr>
          <w:lang w:val="id-ID"/>
        </w:rPr>
      </w:pPr>
    </w:p>
    <w:p w14:paraId="7FD84F76" w14:textId="4F8C66E2" w:rsidR="00AA29BF" w:rsidRDefault="00AA29BF" w:rsidP="00AA29BF">
      <w:pPr>
        <w:autoSpaceDE w:val="0"/>
        <w:autoSpaceDN w:val="0"/>
        <w:adjustRightInd w:val="0"/>
        <w:spacing w:line="320" w:lineRule="atLeast"/>
        <w:ind w:right="60" w:firstLine="720"/>
        <w:jc w:val="both"/>
        <w:rPr>
          <w:lang w:val="id-ID"/>
        </w:rPr>
      </w:pPr>
      <w:r w:rsidRPr="00AA29BF">
        <w:rPr>
          <w:lang w:val="id-ID"/>
        </w:rPr>
        <w:t>According Table 8. One Sample Test a sig value of 0.000 &lt; 0.05, then H</w:t>
      </w:r>
      <w:r w:rsidRPr="00AA29BF">
        <w:rPr>
          <w:vertAlign w:val="subscript"/>
          <w:lang w:val="id-ID"/>
        </w:rPr>
        <w:t>0</w:t>
      </w:r>
      <w:r w:rsidRPr="00AA29BF">
        <w:rPr>
          <w:lang w:val="id-ID"/>
        </w:rPr>
        <w:t xml:space="preserve"> is accepted. So the average learning outcomes of the experimental group are not the same as the average learning outcomes of the control group. From research and interviews that have been carried out by researchers, the effectiveness of PBL using PhET virtual laboratory include: students can do </w:t>
      </w:r>
      <w:r w:rsidRPr="00AA29BF">
        <w:rPr>
          <w:lang w:val="id-ID"/>
        </w:rPr>
        <w:lastRenderedPageBreak/>
        <w:t>practical work virtually from home, encourage students to have problem solving skills, students will get used to applying experimental methods because there is a possibility of a problem that must be solved by students through experiments, scientific activities occur even though students study from home, phet is very helpful in learning. The weakness of students in solving physical p</w:t>
      </w:r>
      <w:r>
        <w:rPr>
          <w:lang w:val="id-ID"/>
        </w:rPr>
        <w:t xml:space="preserve">roblems is a common phenomenon. </w:t>
      </w:r>
      <w:r w:rsidR="00793693">
        <w:rPr>
          <w:lang w:val="id-ID"/>
        </w:rPr>
        <w:t>T</w:t>
      </w:r>
      <w:r w:rsidRPr="00AA29BF">
        <w:rPr>
          <w:lang w:val="id-ID"/>
        </w:rPr>
        <w:t xml:space="preserve">eacher checks prerequisite knowledge, provides numeracy skills, and provides open-ended questions so that students have good problem solving skills. Because a person is considered to have become a good problem solver when he is able to overcome a problem without causing another problem (Ince, 2018). </w:t>
      </w:r>
    </w:p>
    <w:p w14:paraId="5D7A5DCB" w14:textId="286D6AD6" w:rsidR="00AA29BF" w:rsidRDefault="00AA29BF" w:rsidP="00AA29BF">
      <w:pPr>
        <w:autoSpaceDE w:val="0"/>
        <w:autoSpaceDN w:val="0"/>
        <w:adjustRightInd w:val="0"/>
        <w:spacing w:line="320" w:lineRule="atLeast"/>
        <w:ind w:right="60" w:firstLine="720"/>
        <w:jc w:val="both"/>
      </w:pPr>
      <w:r w:rsidRPr="00AA29BF">
        <w:rPr>
          <w:lang w:val="id-ID"/>
        </w:rPr>
        <w:t>The results showed that the most important difficulties faced by students in solving problems were due to a lack of understanding to analyze problems, identify words, and not use strategic steps that were definitely not well organized and resulted in failure to reach solutions. The final result of the one sample test is shown in Table 8. sig (2-tailed) 0.000 which shows that the research conducted in class XA7 showed that physics learning using problem based learning assisted by PhET virtual laboratory to improve student learning outcomes.</w:t>
      </w:r>
    </w:p>
    <w:p w14:paraId="08A86F15" w14:textId="77777777" w:rsidR="00AA29BF" w:rsidRDefault="00AA29BF" w:rsidP="006E72BA">
      <w:pPr>
        <w:autoSpaceDE w:val="0"/>
        <w:autoSpaceDN w:val="0"/>
        <w:adjustRightInd w:val="0"/>
        <w:spacing w:line="320" w:lineRule="atLeast"/>
        <w:ind w:right="60"/>
        <w:jc w:val="both"/>
        <w:rPr>
          <w:b/>
          <w:color w:val="000000"/>
        </w:rPr>
      </w:pPr>
    </w:p>
    <w:p w14:paraId="373CA528" w14:textId="77777777" w:rsidR="00AA29BF" w:rsidRDefault="00377ECC" w:rsidP="00AA29BF">
      <w:pPr>
        <w:autoSpaceDE w:val="0"/>
        <w:autoSpaceDN w:val="0"/>
        <w:adjustRightInd w:val="0"/>
        <w:spacing w:line="320" w:lineRule="atLeast"/>
        <w:ind w:right="60"/>
        <w:jc w:val="both"/>
        <w:rPr>
          <w:b/>
          <w:bCs/>
          <w:color w:val="000000"/>
        </w:rPr>
      </w:pPr>
      <w:r>
        <w:rPr>
          <w:b/>
          <w:color w:val="000000"/>
        </w:rPr>
        <w:t>Conclusion</w:t>
      </w:r>
    </w:p>
    <w:p w14:paraId="269096F3" w14:textId="16F5C365" w:rsidR="00AA29BF" w:rsidRPr="00F81C4B" w:rsidRDefault="00F81C4B" w:rsidP="00F81C4B">
      <w:pPr>
        <w:autoSpaceDE w:val="0"/>
        <w:autoSpaceDN w:val="0"/>
        <w:adjustRightInd w:val="0"/>
        <w:spacing w:line="320" w:lineRule="atLeast"/>
        <w:ind w:right="60" w:firstLine="567"/>
        <w:jc w:val="both"/>
        <w:rPr>
          <w:lang w:val="id-ID"/>
        </w:rPr>
      </w:pPr>
      <w:r w:rsidRPr="00F81C4B">
        <w:rPr>
          <w:lang w:val="id-ID"/>
        </w:rPr>
        <w:t xml:space="preserve">The learning outcomes of the experimental class using Problem Based Learning assisted by </w:t>
      </w:r>
      <w:r w:rsidRPr="00F81C4B">
        <w:rPr>
          <w:lang w:val="id-ID"/>
        </w:rPr>
        <w:t xml:space="preserve">PhET </w:t>
      </w:r>
      <w:r w:rsidRPr="00F81C4B">
        <w:rPr>
          <w:lang w:val="id-ID"/>
        </w:rPr>
        <w:t>virtual laboratory are more effective than the control class that does not use Problem Based Learning assisted</w:t>
      </w:r>
      <w:r>
        <w:rPr>
          <w:lang w:val="id-ID"/>
        </w:rPr>
        <w:t xml:space="preserve"> by </w:t>
      </w:r>
      <w:r>
        <w:rPr>
          <w:lang w:val="id-ID"/>
        </w:rPr>
        <w:t xml:space="preserve">PhET </w:t>
      </w:r>
      <w:bookmarkStart w:id="18" w:name="_GoBack"/>
      <w:bookmarkEnd w:id="18"/>
      <w:r>
        <w:rPr>
          <w:lang w:val="id-ID"/>
        </w:rPr>
        <w:t>virtual laboratory</w:t>
      </w:r>
      <w:commentRangeStart w:id="19"/>
      <w:r w:rsidR="00AA29BF" w:rsidRPr="00381740">
        <w:t>.</w:t>
      </w:r>
      <w:commentRangeEnd w:id="19"/>
      <w:r w:rsidR="007A0D5E">
        <w:rPr>
          <w:rStyle w:val="CommentReference"/>
        </w:rPr>
        <w:commentReference w:id="19"/>
      </w:r>
    </w:p>
    <w:p w14:paraId="1926518E" w14:textId="77777777" w:rsidR="00225C0A" w:rsidRDefault="00225C0A" w:rsidP="00886A32">
      <w:pPr>
        <w:rPr>
          <w:color w:val="000000"/>
        </w:rPr>
      </w:pPr>
    </w:p>
    <w:p w14:paraId="0B28AA80" w14:textId="280CA6CA" w:rsidR="00427F30" w:rsidRPr="00427F30" w:rsidRDefault="00427F30" w:rsidP="00225C0A">
      <w:pPr>
        <w:ind w:left="567" w:hanging="567"/>
        <w:jc w:val="both"/>
        <w:rPr>
          <w:b/>
        </w:rPr>
      </w:pPr>
      <w:bookmarkStart w:id="20" w:name="_heading=h.gjdgxs" w:colFirst="0" w:colLast="0"/>
      <w:bookmarkEnd w:id="20"/>
      <w:r w:rsidRPr="00427F30">
        <w:rPr>
          <w:b/>
        </w:rPr>
        <w:t>Reference</w:t>
      </w:r>
    </w:p>
    <w:p w14:paraId="34E71F3D" w14:textId="77777777" w:rsidR="00793693" w:rsidRPr="00702A99" w:rsidRDefault="00793693" w:rsidP="00793693">
      <w:pPr>
        <w:ind w:left="567" w:hanging="567"/>
        <w:jc w:val="both"/>
      </w:pPr>
      <w:proofErr w:type="spellStart"/>
      <w:r w:rsidRPr="00702A99">
        <w:t>Argaw</w:t>
      </w:r>
      <w:proofErr w:type="spellEnd"/>
      <w:r w:rsidRPr="00702A99">
        <w:t xml:space="preserve">, A. S., Haile, B. B., </w:t>
      </w:r>
      <w:proofErr w:type="spellStart"/>
      <w:r w:rsidRPr="00702A99">
        <w:t>Ayalew</w:t>
      </w:r>
      <w:proofErr w:type="spellEnd"/>
      <w:r w:rsidRPr="00702A99">
        <w:t xml:space="preserve">, B. T., &amp; Kuma, S. G. (2017). The Effect Of Problem Based Learning (PBL) Instruction On Students Motivation And Problem Solving Skills Of Physics. </w:t>
      </w:r>
      <w:r w:rsidRPr="00702A99">
        <w:rPr>
          <w:i/>
          <w:iCs/>
        </w:rPr>
        <w:t xml:space="preserve">Eurasia Journal </w:t>
      </w:r>
      <w:proofErr w:type="gramStart"/>
      <w:r w:rsidRPr="00702A99">
        <w:rPr>
          <w:i/>
          <w:iCs/>
        </w:rPr>
        <w:t>Of</w:t>
      </w:r>
      <w:proofErr w:type="gramEnd"/>
      <w:r w:rsidRPr="00702A99">
        <w:rPr>
          <w:i/>
          <w:iCs/>
        </w:rPr>
        <w:t xml:space="preserve"> Mathematics, Science And Technology Education</w:t>
      </w:r>
      <w:r w:rsidRPr="00702A99">
        <w:t xml:space="preserve">, </w:t>
      </w:r>
      <w:r w:rsidRPr="00702A99">
        <w:rPr>
          <w:i/>
          <w:iCs/>
        </w:rPr>
        <w:t>13</w:t>
      </w:r>
      <w:r w:rsidRPr="00702A99">
        <w:t>(3), 857-871.</w:t>
      </w:r>
    </w:p>
    <w:p w14:paraId="21A6323E" w14:textId="77777777" w:rsidR="00793693" w:rsidRPr="00702A99" w:rsidRDefault="00793693" w:rsidP="00793693">
      <w:pPr>
        <w:ind w:left="567" w:hanging="567"/>
        <w:jc w:val="both"/>
      </w:pPr>
      <w:proofErr w:type="spellStart"/>
      <w:r w:rsidRPr="00702A99">
        <w:t>Baran</w:t>
      </w:r>
      <w:proofErr w:type="spellEnd"/>
      <w:r w:rsidRPr="00702A99">
        <w:t xml:space="preserve">, M. (2016).An Analysis </w:t>
      </w:r>
      <w:proofErr w:type="gramStart"/>
      <w:r w:rsidRPr="00702A99">
        <w:t>On</w:t>
      </w:r>
      <w:proofErr w:type="gramEnd"/>
      <w:r w:rsidRPr="00702A99">
        <w:t xml:space="preserve"> High School Students’ Perceptions Of Physics Courses In Terms Of Gender (A Sample From Turkey). </w:t>
      </w:r>
      <w:r w:rsidRPr="00702A99">
        <w:rPr>
          <w:i/>
          <w:iCs/>
        </w:rPr>
        <w:t xml:space="preserve">Journal </w:t>
      </w:r>
      <w:proofErr w:type="gramStart"/>
      <w:r w:rsidRPr="00702A99">
        <w:rPr>
          <w:i/>
          <w:iCs/>
        </w:rPr>
        <w:t>Of</w:t>
      </w:r>
      <w:proofErr w:type="gramEnd"/>
      <w:r w:rsidRPr="00702A99">
        <w:rPr>
          <w:i/>
          <w:iCs/>
        </w:rPr>
        <w:t xml:space="preserve"> Educational And Training Studies, 4</w:t>
      </w:r>
      <w:r w:rsidRPr="00702A99">
        <w:t>(3), 150-160.</w:t>
      </w:r>
    </w:p>
    <w:p w14:paraId="7FE22825" w14:textId="77777777" w:rsidR="00793693" w:rsidRPr="00702A99" w:rsidRDefault="00793693" w:rsidP="00793693">
      <w:pPr>
        <w:ind w:left="567" w:hanging="567"/>
        <w:jc w:val="both"/>
      </w:pPr>
      <w:r w:rsidRPr="00702A99">
        <w:t xml:space="preserve">Creswell, J. W. (2017). Research Design: </w:t>
      </w:r>
      <w:proofErr w:type="spellStart"/>
      <w:r w:rsidRPr="00702A99">
        <w:t>Pendekatan</w:t>
      </w:r>
      <w:proofErr w:type="spellEnd"/>
      <w:r w:rsidRPr="00702A99">
        <w:t xml:space="preserve"> </w:t>
      </w:r>
      <w:proofErr w:type="spellStart"/>
      <w:r w:rsidRPr="00702A99">
        <w:t>Kualitatif</w:t>
      </w:r>
      <w:proofErr w:type="spellEnd"/>
      <w:r w:rsidRPr="00702A99">
        <w:t xml:space="preserve">, </w:t>
      </w:r>
      <w:proofErr w:type="spellStart"/>
      <w:r w:rsidRPr="00702A99">
        <w:t>Kuantitatif</w:t>
      </w:r>
      <w:proofErr w:type="spellEnd"/>
      <w:r w:rsidRPr="00702A99">
        <w:t xml:space="preserve">, </w:t>
      </w:r>
      <w:proofErr w:type="spellStart"/>
      <w:r w:rsidRPr="00702A99">
        <w:t>dan</w:t>
      </w:r>
      <w:proofErr w:type="spellEnd"/>
      <w:r w:rsidRPr="00702A99">
        <w:t xml:space="preserve"> </w:t>
      </w:r>
      <w:proofErr w:type="spellStart"/>
      <w:r w:rsidRPr="00702A99">
        <w:t>Campuran</w:t>
      </w:r>
      <w:proofErr w:type="spellEnd"/>
      <w:r w:rsidRPr="00702A99">
        <w:t xml:space="preserve">. Yogyakarta: </w:t>
      </w:r>
      <w:proofErr w:type="spellStart"/>
      <w:r w:rsidRPr="00702A99">
        <w:t>Pustaka</w:t>
      </w:r>
      <w:proofErr w:type="spellEnd"/>
      <w:r w:rsidRPr="00702A99">
        <w:t xml:space="preserve"> </w:t>
      </w:r>
      <w:proofErr w:type="spellStart"/>
      <w:r w:rsidRPr="00702A99">
        <w:t>Pelajar</w:t>
      </w:r>
      <w:proofErr w:type="spellEnd"/>
      <w:r w:rsidRPr="00702A99">
        <w:t xml:space="preserve"> </w:t>
      </w:r>
    </w:p>
    <w:p w14:paraId="222B196A" w14:textId="77777777" w:rsidR="00793693" w:rsidRPr="00702A99" w:rsidRDefault="00793693" w:rsidP="00793693">
      <w:pPr>
        <w:ind w:left="567" w:hanging="567"/>
        <w:jc w:val="both"/>
      </w:pPr>
      <w:proofErr w:type="spellStart"/>
      <w:r w:rsidRPr="00702A99">
        <w:t>Destiana</w:t>
      </w:r>
      <w:proofErr w:type="spellEnd"/>
      <w:r w:rsidRPr="00702A99">
        <w:t xml:space="preserve">. (2019). </w:t>
      </w:r>
      <w:proofErr w:type="spellStart"/>
      <w:r w:rsidRPr="00702A99">
        <w:t>Pengaruh</w:t>
      </w:r>
      <w:proofErr w:type="spellEnd"/>
      <w:r w:rsidRPr="00702A99">
        <w:t xml:space="preserve"> </w:t>
      </w:r>
      <w:proofErr w:type="spellStart"/>
      <w:r w:rsidRPr="00702A99">
        <w:t>Teknologi</w:t>
      </w:r>
      <w:proofErr w:type="spellEnd"/>
      <w:r w:rsidRPr="00702A99">
        <w:t xml:space="preserve"> </w:t>
      </w:r>
      <w:proofErr w:type="spellStart"/>
      <w:r w:rsidRPr="00702A99">
        <w:t>Informasi</w:t>
      </w:r>
      <w:proofErr w:type="spellEnd"/>
      <w:r w:rsidRPr="00702A99">
        <w:t xml:space="preserve"> </w:t>
      </w:r>
      <w:proofErr w:type="spellStart"/>
      <w:r w:rsidRPr="00702A99">
        <w:t>Berbasis</w:t>
      </w:r>
      <w:proofErr w:type="spellEnd"/>
      <w:r w:rsidRPr="00702A99">
        <w:t xml:space="preserve"> Android (Smartphone) </w:t>
      </w:r>
      <w:proofErr w:type="spellStart"/>
      <w:r w:rsidRPr="00702A99">
        <w:t>Dalam</w:t>
      </w:r>
      <w:proofErr w:type="spellEnd"/>
      <w:r w:rsidRPr="00702A99">
        <w:t xml:space="preserve"> </w:t>
      </w:r>
      <w:proofErr w:type="spellStart"/>
      <w:r w:rsidRPr="00702A99">
        <w:t>Pendidikan</w:t>
      </w:r>
      <w:proofErr w:type="spellEnd"/>
      <w:r w:rsidRPr="00702A99">
        <w:t xml:space="preserve"> </w:t>
      </w:r>
      <w:proofErr w:type="spellStart"/>
      <w:r w:rsidRPr="00702A99">
        <w:t>Industri</w:t>
      </w:r>
      <w:proofErr w:type="spellEnd"/>
      <w:r w:rsidRPr="00702A99">
        <w:t xml:space="preserve"> 4.0. </w:t>
      </w:r>
      <w:proofErr w:type="spellStart"/>
      <w:r w:rsidRPr="00702A99">
        <w:rPr>
          <w:i/>
          <w:iCs/>
        </w:rPr>
        <w:t>Prosiding</w:t>
      </w:r>
      <w:proofErr w:type="spellEnd"/>
      <w:r w:rsidRPr="00702A99">
        <w:rPr>
          <w:i/>
          <w:iCs/>
        </w:rPr>
        <w:t xml:space="preserve"> Seminar Nasional Program </w:t>
      </w:r>
      <w:proofErr w:type="spellStart"/>
      <w:r w:rsidRPr="00702A99">
        <w:rPr>
          <w:i/>
          <w:iCs/>
        </w:rPr>
        <w:t>Pascasarjana</w:t>
      </w:r>
      <w:proofErr w:type="spellEnd"/>
      <w:r w:rsidRPr="00702A99">
        <w:rPr>
          <w:i/>
          <w:iCs/>
        </w:rPr>
        <w:t xml:space="preserve"> PGRI Palembang</w:t>
      </w:r>
      <w:r w:rsidRPr="00702A99">
        <w:t>, 190-197.</w:t>
      </w:r>
    </w:p>
    <w:p w14:paraId="6A7AC8A7" w14:textId="77777777" w:rsidR="00793693" w:rsidRPr="00702A99" w:rsidRDefault="00793693" w:rsidP="00793693">
      <w:pPr>
        <w:ind w:left="567" w:hanging="567"/>
        <w:jc w:val="both"/>
      </w:pPr>
      <w:r w:rsidRPr="00702A99">
        <w:t xml:space="preserve">Du, X., Su, K., &amp; Liu, J. (2013). Developing Sustainability Curricula Using </w:t>
      </w:r>
      <w:proofErr w:type="gramStart"/>
      <w:r w:rsidRPr="00702A99">
        <w:t>The</w:t>
      </w:r>
      <w:proofErr w:type="gramEnd"/>
      <w:r w:rsidRPr="00702A99">
        <w:t xml:space="preserve"> PBL Method In A Chinese Context. </w:t>
      </w:r>
      <w:r w:rsidRPr="00702A99">
        <w:rPr>
          <w:i/>
          <w:iCs/>
        </w:rPr>
        <w:t xml:space="preserve">Journal </w:t>
      </w:r>
      <w:proofErr w:type="gramStart"/>
      <w:r w:rsidRPr="00702A99">
        <w:rPr>
          <w:i/>
          <w:iCs/>
        </w:rPr>
        <w:t>Of</w:t>
      </w:r>
      <w:proofErr w:type="gramEnd"/>
      <w:r w:rsidRPr="00702A99">
        <w:rPr>
          <w:i/>
          <w:iCs/>
        </w:rPr>
        <w:t xml:space="preserve"> Cleaner Production, 6</w:t>
      </w:r>
      <w:r w:rsidRPr="00702A99">
        <w:t>(1), 80-88.</w:t>
      </w:r>
    </w:p>
    <w:p w14:paraId="0370A402" w14:textId="77777777" w:rsidR="00793693" w:rsidRPr="00702A99" w:rsidRDefault="00793693" w:rsidP="00793693">
      <w:pPr>
        <w:ind w:left="567" w:hanging="567"/>
        <w:jc w:val="both"/>
      </w:pPr>
      <w:r w:rsidRPr="00702A99">
        <w:t xml:space="preserve">Elisa, M. A., &amp; </w:t>
      </w:r>
      <w:proofErr w:type="spellStart"/>
      <w:r w:rsidRPr="00702A99">
        <w:t>Ariaji</w:t>
      </w:r>
      <w:proofErr w:type="spellEnd"/>
      <w:r w:rsidRPr="00702A99">
        <w:t xml:space="preserve">, R. (2017). </w:t>
      </w:r>
      <w:proofErr w:type="spellStart"/>
      <w:r w:rsidRPr="00702A99">
        <w:t>Peningkatan</w:t>
      </w:r>
      <w:proofErr w:type="spellEnd"/>
      <w:r w:rsidRPr="00702A99">
        <w:t xml:space="preserve"> </w:t>
      </w:r>
      <w:proofErr w:type="spellStart"/>
      <w:r w:rsidRPr="00702A99">
        <w:t>Pemahaman</w:t>
      </w:r>
      <w:proofErr w:type="spellEnd"/>
      <w:r w:rsidRPr="00702A99">
        <w:t xml:space="preserve"> </w:t>
      </w:r>
      <w:proofErr w:type="spellStart"/>
      <w:r w:rsidRPr="00702A99">
        <w:t>Konsep</w:t>
      </w:r>
      <w:proofErr w:type="spellEnd"/>
      <w:r w:rsidRPr="00702A99">
        <w:t xml:space="preserve"> </w:t>
      </w:r>
      <w:proofErr w:type="spellStart"/>
      <w:r w:rsidRPr="00702A99">
        <w:t>Fisika</w:t>
      </w:r>
      <w:proofErr w:type="spellEnd"/>
      <w:r w:rsidRPr="00702A99">
        <w:t xml:space="preserve"> </w:t>
      </w:r>
      <w:proofErr w:type="spellStart"/>
      <w:r w:rsidRPr="00702A99">
        <w:t>dan</w:t>
      </w:r>
      <w:proofErr w:type="spellEnd"/>
      <w:r w:rsidRPr="00702A99">
        <w:t xml:space="preserve"> </w:t>
      </w:r>
      <w:proofErr w:type="spellStart"/>
      <w:r w:rsidRPr="00702A99">
        <w:t>Aktivitas</w:t>
      </w:r>
      <w:proofErr w:type="spellEnd"/>
      <w:r w:rsidRPr="00702A99">
        <w:t xml:space="preserve"> </w:t>
      </w:r>
      <w:proofErr w:type="spellStart"/>
      <w:r w:rsidRPr="00702A99">
        <w:t>Mahasiswa</w:t>
      </w:r>
      <w:proofErr w:type="spellEnd"/>
      <w:r w:rsidRPr="00702A99">
        <w:t xml:space="preserve"> </w:t>
      </w:r>
      <w:proofErr w:type="spellStart"/>
      <w:r w:rsidRPr="00702A99">
        <w:t>Melalui</w:t>
      </w:r>
      <w:proofErr w:type="spellEnd"/>
      <w:r w:rsidRPr="00702A99">
        <w:t xml:space="preserve"> </w:t>
      </w:r>
      <w:proofErr w:type="spellStart"/>
      <w:r w:rsidRPr="00702A99">
        <w:t>PhET</w:t>
      </w:r>
      <w:proofErr w:type="spellEnd"/>
      <w:r w:rsidRPr="00702A99">
        <w:t xml:space="preserve"> Simulation. </w:t>
      </w:r>
      <w:proofErr w:type="spellStart"/>
      <w:r w:rsidRPr="00702A99">
        <w:rPr>
          <w:i/>
          <w:iCs/>
        </w:rPr>
        <w:t>Peteka</w:t>
      </w:r>
      <w:proofErr w:type="spellEnd"/>
      <w:r w:rsidRPr="00702A99">
        <w:rPr>
          <w:i/>
          <w:iCs/>
        </w:rPr>
        <w:t xml:space="preserve"> (</w:t>
      </w:r>
      <w:proofErr w:type="spellStart"/>
      <w:r w:rsidRPr="00702A99">
        <w:rPr>
          <w:i/>
          <w:iCs/>
        </w:rPr>
        <w:t>Jurnal</w:t>
      </w:r>
      <w:proofErr w:type="spellEnd"/>
      <w:r w:rsidRPr="00702A99">
        <w:rPr>
          <w:i/>
          <w:iCs/>
        </w:rPr>
        <w:t xml:space="preserve"> </w:t>
      </w:r>
      <w:proofErr w:type="spellStart"/>
      <w:r w:rsidRPr="00702A99">
        <w:rPr>
          <w:i/>
          <w:iCs/>
        </w:rPr>
        <w:t>Penelitian</w:t>
      </w:r>
      <w:proofErr w:type="spellEnd"/>
      <w:r w:rsidRPr="00702A99">
        <w:rPr>
          <w:i/>
          <w:iCs/>
        </w:rPr>
        <w:t xml:space="preserve"> </w:t>
      </w:r>
      <w:proofErr w:type="spellStart"/>
      <w:r w:rsidRPr="00702A99">
        <w:rPr>
          <w:i/>
          <w:iCs/>
        </w:rPr>
        <w:t>Tindakan</w:t>
      </w:r>
      <w:proofErr w:type="spellEnd"/>
      <w:r w:rsidRPr="00702A99">
        <w:rPr>
          <w:i/>
          <w:iCs/>
        </w:rPr>
        <w:t xml:space="preserve"> </w:t>
      </w:r>
      <w:proofErr w:type="spellStart"/>
      <w:r w:rsidRPr="00702A99">
        <w:rPr>
          <w:i/>
          <w:iCs/>
        </w:rPr>
        <w:t>Kelas</w:t>
      </w:r>
      <w:proofErr w:type="spellEnd"/>
      <w:r w:rsidRPr="00702A99">
        <w:rPr>
          <w:i/>
          <w:iCs/>
        </w:rPr>
        <w:t xml:space="preserve"> Dan </w:t>
      </w:r>
      <w:proofErr w:type="spellStart"/>
      <w:r w:rsidRPr="00702A99">
        <w:rPr>
          <w:i/>
          <w:iCs/>
        </w:rPr>
        <w:t>Pengembangan</w:t>
      </w:r>
      <w:proofErr w:type="spellEnd"/>
      <w:r w:rsidRPr="00702A99">
        <w:rPr>
          <w:i/>
          <w:iCs/>
        </w:rPr>
        <w:t xml:space="preserve"> </w:t>
      </w:r>
      <w:proofErr w:type="spellStart"/>
      <w:r w:rsidRPr="00702A99">
        <w:rPr>
          <w:i/>
          <w:iCs/>
        </w:rPr>
        <w:t>Pembelajaran</w:t>
      </w:r>
      <w:proofErr w:type="spellEnd"/>
      <w:r w:rsidRPr="00702A99">
        <w:rPr>
          <w:i/>
          <w:iCs/>
        </w:rPr>
        <w:t>)</w:t>
      </w:r>
      <w:r w:rsidRPr="00702A99">
        <w:t xml:space="preserve">, </w:t>
      </w:r>
      <w:r w:rsidRPr="00702A99">
        <w:rPr>
          <w:i/>
          <w:iCs/>
        </w:rPr>
        <w:t>1</w:t>
      </w:r>
      <w:r w:rsidRPr="00702A99">
        <w:t>(1), 15-20.</w:t>
      </w:r>
    </w:p>
    <w:p w14:paraId="1350A570" w14:textId="77777777" w:rsidR="00793693" w:rsidRPr="00702A99" w:rsidRDefault="00793693" w:rsidP="00793693">
      <w:pPr>
        <w:ind w:left="567" w:hanging="567"/>
        <w:jc w:val="both"/>
      </w:pPr>
      <w:proofErr w:type="spellStart"/>
      <w:r w:rsidRPr="00702A99">
        <w:t>Fathiah</w:t>
      </w:r>
      <w:proofErr w:type="spellEnd"/>
      <w:r w:rsidRPr="00702A99">
        <w:t xml:space="preserve">, </w:t>
      </w:r>
      <w:proofErr w:type="spellStart"/>
      <w:r w:rsidRPr="00702A99">
        <w:t>Kaniawati</w:t>
      </w:r>
      <w:proofErr w:type="spellEnd"/>
      <w:r w:rsidRPr="00702A99">
        <w:t xml:space="preserve">, I. &amp; </w:t>
      </w:r>
      <w:proofErr w:type="spellStart"/>
      <w:r w:rsidRPr="00702A99">
        <w:t>Utari</w:t>
      </w:r>
      <w:proofErr w:type="spellEnd"/>
      <w:r w:rsidRPr="00702A99">
        <w:t xml:space="preserve">, S. (2015). </w:t>
      </w:r>
      <w:proofErr w:type="spellStart"/>
      <w:r w:rsidRPr="00702A99">
        <w:t>Analisis</w:t>
      </w:r>
      <w:proofErr w:type="spellEnd"/>
      <w:r w:rsidRPr="00702A99">
        <w:t xml:space="preserve"> </w:t>
      </w:r>
      <w:proofErr w:type="spellStart"/>
      <w:r w:rsidRPr="00702A99">
        <w:t>Didaktik</w:t>
      </w:r>
      <w:proofErr w:type="spellEnd"/>
      <w:r w:rsidRPr="00702A99">
        <w:t xml:space="preserve"> </w:t>
      </w:r>
      <w:proofErr w:type="spellStart"/>
      <w:r w:rsidRPr="00702A99">
        <w:t>Pembelajaran</w:t>
      </w:r>
      <w:proofErr w:type="spellEnd"/>
      <w:r w:rsidRPr="00702A99">
        <w:t xml:space="preserve"> Yang </w:t>
      </w:r>
      <w:proofErr w:type="spellStart"/>
      <w:r w:rsidRPr="00702A99">
        <w:t>Dapat</w:t>
      </w:r>
      <w:proofErr w:type="spellEnd"/>
      <w:r w:rsidRPr="00702A99">
        <w:t xml:space="preserve"> </w:t>
      </w:r>
      <w:proofErr w:type="spellStart"/>
      <w:r w:rsidRPr="00702A99">
        <w:t>Meningkatkan</w:t>
      </w:r>
      <w:proofErr w:type="spellEnd"/>
      <w:r w:rsidRPr="00702A99">
        <w:t xml:space="preserve"> </w:t>
      </w:r>
      <w:proofErr w:type="spellStart"/>
      <w:r w:rsidRPr="00702A99">
        <w:t>Korelasi</w:t>
      </w:r>
      <w:proofErr w:type="spellEnd"/>
      <w:r w:rsidRPr="00702A99">
        <w:t xml:space="preserve"> Antara </w:t>
      </w:r>
      <w:proofErr w:type="spellStart"/>
      <w:r w:rsidRPr="00702A99">
        <w:t>Pemahaman</w:t>
      </w:r>
      <w:proofErr w:type="spellEnd"/>
      <w:r w:rsidRPr="00702A99">
        <w:t xml:space="preserve"> </w:t>
      </w:r>
      <w:proofErr w:type="spellStart"/>
      <w:r w:rsidRPr="00702A99">
        <w:t>Konsep</w:t>
      </w:r>
      <w:proofErr w:type="spellEnd"/>
      <w:r w:rsidRPr="00702A99">
        <w:t xml:space="preserve"> Dan </w:t>
      </w:r>
      <w:proofErr w:type="spellStart"/>
      <w:r w:rsidRPr="00702A99">
        <w:t>Kemampuan</w:t>
      </w:r>
      <w:proofErr w:type="spellEnd"/>
      <w:r w:rsidRPr="00702A99">
        <w:t xml:space="preserve"> </w:t>
      </w:r>
      <w:proofErr w:type="spellStart"/>
      <w:r w:rsidRPr="00702A99">
        <w:t>Pemecahan</w:t>
      </w:r>
      <w:proofErr w:type="spellEnd"/>
      <w:r w:rsidRPr="00702A99">
        <w:t xml:space="preserve"> </w:t>
      </w:r>
      <w:proofErr w:type="spellStart"/>
      <w:r w:rsidRPr="00702A99">
        <w:t>Masalah</w:t>
      </w:r>
      <w:proofErr w:type="spellEnd"/>
      <w:r w:rsidRPr="00702A99">
        <w:t xml:space="preserve"> </w:t>
      </w:r>
      <w:proofErr w:type="spellStart"/>
      <w:r w:rsidRPr="00702A99">
        <w:t>Siswa</w:t>
      </w:r>
      <w:proofErr w:type="spellEnd"/>
      <w:r w:rsidRPr="00702A99">
        <w:t xml:space="preserve"> SMA </w:t>
      </w:r>
      <w:proofErr w:type="spellStart"/>
      <w:r w:rsidRPr="00702A99">
        <w:t>Pada</w:t>
      </w:r>
      <w:proofErr w:type="spellEnd"/>
      <w:r w:rsidRPr="00702A99">
        <w:t xml:space="preserve"> </w:t>
      </w:r>
      <w:proofErr w:type="spellStart"/>
      <w:r w:rsidRPr="00702A99">
        <w:t>Materi</w:t>
      </w:r>
      <w:proofErr w:type="spellEnd"/>
      <w:r w:rsidRPr="00702A99">
        <w:t xml:space="preserve"> </w:t>
      </w:r>
      <w:proofErr w:type="spellStart"/>
      <w:r w:rsidRPr="00702A99">
        <w:t>Fluida</w:t>
      </w:r>
      <w:proofErr w:type="spellEnd"/>
      <w:r w:rsidRPr="00702A99">
        <w:t xml:space="preserve"> </w:t>
      </w:r>
      <w:proofErr w:type="spellStart"/>
      <w:r w:rsidRPr="00702A99">
        <w:t>Dinamis</w:t>
      </w:r>
      <w:proofErr w:type="spellEnd"/>
      <w:r w:rsidRPr="00702A99">
        <w:t>.</w:t>
      </w:r>
      <w:r w:rsidRPr="00702A99">
        <w:rPr>
          <w:i/>
          <w:iCs/>
        </w:rPr>
        <w:t xml:space="preserve"> </w:t>
      </w:r>
      <w:proofErr w:type="spellStart"/>
      <w:r w:rsidRPr="00702A99">
        <w:rPr>
          <w:i/>
          <w:iCs/>
        </w:rPr>
        <w:t>Jurnal</w:t>
      </w:r>
      <w:proofErr w:type="spellEnd"/>
      <w:r w:rsidRPr="00702A99">
        <w:rPr>
          <w:i/>
          <w:iCs/>
        </w:rPr>
        <w:t xml:space="preserve"> </w:t>
      </w:r>
      <w:proofErr w:type="spellStart"/>
      <w:r w:rsidRPr="00702A99">
        <w:rPr>
          <w:i/>
          <w:iCs/>
        </w:rPr>
        <w:t>Penelitian</w:t>
      </w:r>
      <w:proofErr w:type="spellEnd"/>
      <w:r w:rsidRPr="00702A99">
        <w:rPr>
          <w:i/>
          <w:iCs/>
        </w:rPr>
        <w:t xml:space="preserve"> &amp; </w:t>
      </w:r>
      <w:proofErr w:type="spellStart"/>
      <w:r w:rsidRPr="00702A99">
        <w:rPr>
          <w:i/>
          <w:iCs/>
        </w:rPr>
        <w:t>Pengembangan</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Fisika</w:t>
      </w:r>
      <w:proofErr w:type="spellEnd"/>
      <w:r w:rsidRPr="00702A99">
        <w:rPr>
          <w:i/>
          <w:iCs/>
        </w:rPr>
        <w:t>, 1</w:t>
      </w:r>
      <w:r w:rsidRPr="00702A99">
        <w:t>(1):111-118.</w:t>
      </w:r>
    </w:p>
    <w:p w14:paraId="17E782D2" w14:textId="77777777" w:rsidR="00793693" w:rsidRPr="00702A99" w:rsidRDefault="00793693" w:rsidP="00793693">
      <w:pPr>
        <w:ind w:left="567" w:hanging="567"/>
        <w:jc w:val="both"/>
        <w:rPr>
          <w:noProof/>
        </w:rPr>
      </w:pPr>
      <w:r w:rsidRPr="00702A99">
        <w:rPr>
          <w:noProof/>
        </w:rPr>
        <w:lastRenderedPageBreak/>
        <w:t xml:space="preserve">Hartanto, F. D., &amp; Mariani, Sc. (2019). "An Analysis of Mathematical Problem Solving Ability in Terms of Student's Cognitive Style in Learning PBL Includes Ethnomatematics". </w:t>
      </w:r>
      <w:r w:rsidRPr="00702A99">
        <w:rPr>
          <w:i/>
          <w:iCs/>
          <w:noProof/>
        </w:rPr>
        <w:t xml:space="preserve">Unnes Journal of Mathematics Education Research, </w:t>
      </w:r>
      <w:r w:rsidRPr="00702A99">
        <w:rPr>
          <w:noProof/>
        </w:rPr>
        <w:t>8(1): 65-71</w:t>
      </w:r>
    </w:p>
    <w:p w14:paraId="2792708E" w14:textId="77777777" w:rsidR="00793693" w:rsidRPr="00702A99" w:rsidRDefault="00793693" w:rsidP="00793693">
      <w:pPr>
        <w:ind w:left="567" w:hanging="567"/>
        <w:jc w:val="both"/>
      </w:pPr>
      <w:proofErr w:type="spellStart"/>
      <w:r w:rsidRPr="00702A99">
        <w:t>Ince</w:t>
      </w:r>
      <w:proofErr w:type="spellEnd"/>
      <w:r w:rsidRPr="00702A99">
        <w:t xml:space="preserve">, E. (2018). An Overview of Problem Solving Studies in Physics Education. </w:t>
      </w:r>
      <w:r w:rsidRPr="00702A99">
        <w:rPr>
          <w:i/>
          <w:iCs/>
        </w:rPr>
        <w:t>Journal of Education and Learning</w:t>
      </w:r>
      <w:r w:rsidRPr="00702A99">
        <w:t xml:space="preserve">, </w:t>
      </w:r>
      <w:r w:rsidRPr="00702A99">
        <w:rPr>
          <w:i/>
          <w:iCs/>
        </w:rPr>
        <w:t>7</w:t>
      </w:r>
      <w:r w:rsidRPr="00702A99">
        <w:t>(4), 191-200.</w:t>
      </w:r>
    </w:p>
    <w:p w14:paraId="37F4CF41" w14:textId="77777777" w:rsidR="00793693" w:rsidRPr="00702A99" w:rsidRDefault="00793693" w:rsidP="00793693">
      <w:pPr>
        <w:ind w:left="567" w:hanging="567"/>
        <w:jc w:val="both"/>
      </w:pPr>
      <w:r w:rsidRPr="00702A99">
        <w:rPr>
          <w:noProof/>
        </w:rPr>
        <w:t xml:space="preserve">Indhira, A. V. Y., Alamsyah, T. P., &amp; Halimatusa'diah D. (2019). "Penerapan Strategi Pembelajaran Problem Based Learning untuk Meningkatkan Kemampuan Pemecahan Masalah Matematis Siswa Kelas IV SD". </w:t>
      </w:r>
      <w:r w:rsidRPr="00702A99">
        <w:rPr>
          <w:i/>
          <w:iCs/>
          <w:noProof/>
        </w:rPr>
        <w:t>Jurnal Matematika Kreatif-Inovatif.</w:t>
      </w:r>
      <w:r w:rsidRPr="00702A99">
        <w:rPr>
          <w:noProof/>
        </w:rPr>
        <w:t xml:space="preserve"> 10(2): 146-152.</w:t>
      </w:r>
      <w:r w:rsidRPr="00702A99">
        <w:t xml:space="preserve"> </w:t>
      </w:r>
    </w:p>
    <w:p w14:paraId="45BFB805" w14:textId="77777777" w:rsidR="00793693" w:rsidRPr="00702A99" w:rsidRDefault="00793693" w:rsidP="00793693">
      <w:pPr>
        <w:ind w:left="567" w:hanging="567"/>
        <w:jc w:val="both"/>
      </w:pPr>
      <w:proofErr w:type="spellStart"/>
      <w:r w:rsidRPr="00702A99">
        <w:t>Kusumawati</w:t>
      </w:r>
      <w:proofErr w:type="spellEnd"/>
      <w:r w:rsidRPr="00702A99">
        <w:t xml:space="preserve">, A. D., &amp; </w:t>
      </w:r>
      <w:proofErr w:type="spellStart"/>
      <w:r w:rsidRPr="00702A99">
        <w:t>Sumardi</w:t>
      </w:r>
      <w:proofErr w:type="spellEnd"/>
      <w:r w:rsidRPr="00702A99">
        <w:t xml:space="preserve">, Y. (2016). </w:t>
      </w:r>
      <w:proofErr w:type="spellStart"/>
      <w:r w:rsidRPr="00702A99">
        <w:t>Peranan</w:t>
      </w:r>
      <w:proofErr w:type="spellEnd"/>
      <w:r w:rsidRPr="00702A99">
        <w:t xml:space="preserve"> </w:t>
      </w:r>
      <w:proofErr w:type="spellStart"/>
      <w:r w:rsidRPr="00702A99">
        <w:t>Perangkat</w:t>
      </w:r>
      <w:proofErr w:type="spellEnd"/>
      <w:r w:rsidRPr="00702A99">
        <w:t xml:space="preserve"> </w:t>
      </w:r>
      <w:proofErr w:type="spellStart"/>
      <w:r w:rsidRPr="00702A99">
        <w:t>Pembelajaran</w:t>
      </w:r>
      <w:proofErr w:type="spellEnd"/>
      <w:r w:rsidRPr="00702A99">
        <w:t xml:space="preserve"> </w:t>
      </w:r>
      <w:proofErr w:type="spellStart"/>
      <w:r w:rsidRPr="00702A99">
        <w:t>Fisika</w:t>
      </w:r>
      <w:proofErr w:type="spellEnd"/>
      <w:r w:rsidRPr="00702A99">
        <w:t xml:space="preserve"> </w:t>
      </w:r>
      <w:proofErr w:type="spellStart"/>
      <w:r w:rsidRPr="00702A99">
        <w:t>Berbasis</w:t>
      </w:r>
      <w:proofErr w:type="spellEnd"/>
      <w:r w:rsidRPr="00702A99">
        <w:t xml:space="preserve"> Elaboration Learning </w:t>
      </w:r>
      <w:proofErr w:type="spellStart"/>
      <w:r w:rsidRPr="00702A99">
        <w:t>Untuk</w:t>
      </w:r>
      <w:proofErr w:type="spellEnd"/>
      <w:r w:rsidRPr="00702A99">
        <w:t xml:space="preserve"> </w:t>
      </w:r>
      <w:proofErr w:type="spellStart"/>
      <w:r w:rsidRPr="00702A99">
        <w:t>Siswa</w:t>
      </w:r>
      <w:proofErr w:type="spellEnd"/>
      <w:r w:rsidRPr="00702A99">
        <w:t xml:space="preserve"> SMA. </w:t>
      </w:r>
      <w:proofErr w:type="spellStart"/>
      <w:r w:rsidRPr="00702A99">
        <w:rPr>
          <w:i/>
          <w:iCs/>
        </w:rPr>
        <w:t>Unnes</w:t>
      </w:r>
      <w:proofErr w:type="spellEnd"/>
      <w:r w:rsidRPr="00702A99">
        <w:rPr>
          <w:i/>
          <w:iCs/>
        </w:rPr>
        <w:t xml:space="preserve"> Physics Education Journal</w:t>
      </w:r>
      <w:r w:rsidRPr="00702A99">
        <w:t xml:space="preserve">, </w:t>
      </w:r>
      <w:r w:rsidRPr="00702A99">
        <w:rPr>
          <w:i/>
          <w:iCs/>
        </w:rPr>
        <w:t>5</w:t>
      </w:r>
      <w:r w:rsidRPr="00702A99">
        <w:t>(2), 42-53.</w:t>
      </w:r>
    </w:p>
    <w:p w14:paraId="670375A0" w14:textId="77777777" w:rsidR="00793693" w:rsidRPr="00702A99" w:rsidRDefault="00793693" w:rsidP="00793693">
      <w:pPr>
        <w:ind w:left="567" w:hanging="567"/>
        <w:jc w:val="both"/>
      </w:pPr>
      <w:r w:rsidRPr="00702A99">
        <w:t xml:space="preserve">Rosa, F. O. (2017). </w:t>
      </w:r>
      <w:proofErr w:type="spellStart"/>
      <w:r w:rsidRPr="00702A99">
        <w:t>Eksplorasi</w:t>
      </w:r>
      <w:proofErr w:type="spellEnd"/>
      <w:r w:rsidRPr="00702A99">
        <w:t xml:space="preserve"> </w:t>
      </w:r>
      <w:proofErr w:type="spellStart"/>
      <w:r w:rsidRPr="00702A99">
        <w:t>Kemampuan</w:t>
      </w:r>
      <w:proofErr w:type="spellEnd"/>
      <w:r w:rsidRPr="00702A99">
        <w:t xml:space="preserve"> </w:t>
      </w:r>
      <w:proofErr w:type="spellStart"/>
      <w:r w:rsidRPr="00702A99">
        <w:t>Kognitif</w:t>
      </w:r>
      <w:proofErr w:type="spellEnd"/>
      <w:r w:rsidRPr="00702A99">
        <w:t xml:space="preserve"> </w:t>
      </w:r>
      <w:proofErr w:type="spellStart"/>
      <w:r w:rsidRPr="00702A99">
        <w:t>Siswa</w:t>
      </w:r>
      <w:proofErr w:type="spellEnd"/>
      <w:r w:rsidRPr="00702A99">
        <w:t xml:space="preserve"> </w:t>
      </w:r>
      <w:proofErr w:type="spellStart"/>
      <w:r w:rsidRPr="00702A99">
        <w:t>Terhadap</w:t>
      </w:r>
      <w:proofErr w:type="spellEnd"/>
      <w:r w:rsidRPr="00702A99">
        <w:t xml:space="preserve"> </w:t>
      </w:r>
      <w:proofErr w:type="spellStart"/>
      <w:r w:rsidRPr="00702A99">
        <w:t>Kemampuan</w:t>
      </w:r>
      <w:proofErr w:type="spellEnd"/>
      <w:r w:rsidRPr="00702A99">
        <w:t xml:space="preserve"> </w:t>
      </w:r>
      <w:proofErr w:type="spellStart"/>
      <w:r w:rsidRPr="00702A99">
        <w:t>Memprediksi</w:t>
      </w:r>
      <w:proofErr w:type="spellEnd"/>
      <w:r w:rsidRPr="00702A99">
        <w:t xml:space="preserve">, </w:t>
      </w:r>
      <w:proofErr w:type="spellStart"/>
      <w:r w:rsidRPr="00702A99">
        <w:t>Mengobservasi</w:t>
      </w:r>
      <w:proofErr w:type="spellEnd"/>
      <w:r w:rsidRPr="00702A99">
        <w:t xml:space="preserve"> Dan </w:t>
      </w:r>
      <w:proofErr w:type="spellStart"/>
      <w:r w:rsidRPr="00702A99">
        <w:t>Menjelaskan</w:t>
      </w:r>
      <w:proofErr w:type="spellEnd"/>
      <w:r w:rsidRPr="00702A99">
        <w:t xml:space="preserve"> </w:t>
      </w:r>
      <w:proofErr w:type="spellStart"/>
      <w:r w:rsidRPr="00702A99">
        <w:t>Ditinjau</w:t>
      </w:r>
      <w:proofErr w:type="spellEnd"/>
      <w:r w:rsidRPr="00702A99">
        <w:t xml:space="preserve"> Dari Gender. </w:t>
      </w:r>
      <w:proofErr w:type="spellStart"/>
      <w:r w:rsidRPr="00702A99">
        <w:rPr>
          <w:i/>
          <w:iCs/>
        </w:rPr>
        <w:t>Jurnal</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Fisika</w:t>
      </w:r>
      <w:proofErr w:type="spellEnd"/>
      <w:r w:rsidRPr="00702A99">
        <w:rPr>
          <w:i/>
          <w:iCs/>
        </w:rPr>
        <w:t>, 5</w:t>
      </w:r>
      <w:r w:rsidRPr="00702A99">
        <w:t>(2):111-118.</w:t>
      </w:r>
    </w:p>
    <w:p w14:paraId="0AC464DA" w14:textId="77777777" w:rsidR="00793693" w:rsidRPr="00702A99" w:rsidRDefault="00793693" w:rsidP="00793693">
      <w:pPr>
        <w:ind w:left="567" w:hanging="567"/>
        <w:jc w:val="both"/>
      </w:pPr>
      <w:proofErr w:type="spellStart"/>
      <w:r w:rsidRPr="00702A99">
        <w:t>Octor</w:t>
      </w:r>
      <w:proofErr w:type="spellEnd"/>
      <w:r w:rsidRPr="00702A99">
        <w:t xml:space="preserve">, J. L., Strand, N.E., </w:t>
      </w:r>
      <w:proofErr w:type="spellStart"/>
      <w:r w:rsidRPr="00702A99">
        <w:t>Mestre</w:t>
      </w:r>
      <w:proofErr w:type="spellEnd"/>
      <w:r w:rsidRPr="00702A99">
        <w:t xml:space="preserve">, J. P. &amp; Ross, B. H. (2015). Conceptual Problem Solving In High School Physics. </w:t>
      </w:r>
      <w:r w:rsidRPr="00702A99">
        <w:rPr>
          <w:i/>
          <w:iCs/>
        </w:rPr>
        <w:t>Physical Review Special Topics- Physics Education Research, 11</w:t>
      </w:r>
      <w:r w:rsidRPr="00702A99">
        <w:t>(2), 1-13.</w:t>
      </w:r>
    </w:p>
    <w:p w14:paraId="2B5DBDFD" w14:textId="77777777" w:rsidR="00793693" w:rsidRPr="00702A99" w:rsidRDefault="00793693" w:rsidP="00793693">
      <w:pPr>
        <w:ind w:left="567" w:hanging="567"/>
        <w:jc w:val="both"/>
      </w:pPr>
      <w:proofErr w:type="spellStart"/>
      <w:r w:rsidRPr="00702A99">
        <w:rPr>
          <w:i/>
          <w:iCs/>
        </w:rPr>
        <w:t>Peraturan</w:t>
      </w:r>
      <w:proofErr w:type="spellEnd"/>
      <w:r w:rsidRPr="00702A99">
        <w:rPr>
          <w:i/>
          <w:iCs/>
        </w:rPr>
        <w:t xml:space="preserve"> </w:t>
      </w:r>
      <w:proofErr w:type="spellStart"/>
      <w:r w:rsidRPr="00702A99">
        <w:rPr>
          <w:i/>
          <w:iCs/>
        </w:rPr>
        <w:t>Menteri</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dan</w:t>
      </w:r>
      <w:proofErr w:type="spellEnd"/>
      <w:r w:rsidRPr="00702A99">
        <w:rPr>
          <w:i/>
          <w:iCs/>
        </w:rPr>
        <w:t xml:space="preserve"> </w:t>
      </w:r>
      <w:proofErr w:type="spellStart"/>
      <w:r w:rsidRPr="00702A99">
        <w:rPr>
          <w:i/>
          <w:iCs/>
        </w:rPr>
        <w:t>Kebudayaan</w:t>
      </w:r>
      <w:proofErr w:type="spellEnd"/>
      <w:r w:rsidRPr="00702A99">
        <w:rPr>
          <w:i/>
          <w:iCs/>
        </w:rPr>
        <w:t xml:space="preserve"> </w:t>
      </w:r>
      <w:proofErr w:type="spellStart"/>
      <w:r w:rsidRPr="00702A99">
        <w:rPr>
          <w:i/>
          <w:iCs/>
        </w:rPr>
        <w:t>Republik</w:t>
      </w:r>
      <w:proofErr w:type="spellEnd"/>
      <w:r w:rsidRPr="00702A99">
        <w:rPr>
          <w:i/>
          <w:iCs/>
        </w:rPr>
        <w:t xml:space="preserve"> Indonesia </w:t>
      </w:r>
      <w:proofErr w:type="spellStart"/>
      <w:r w:rsidRPr="00702A99">
        <w:rPr>
          <w:i/>
          <w:iCs/>
        </w:rPr>
        <w:t>Nomor</w:t>
      </w:r>
      <w:proofErr w:type="spellEnd"/>
      <w:r w:rsidRPr="00702A99">
        <w:rPr>
          <w:i/>
          <w:iCs/>
        </w:rPr>
        <w:t xml:space="preserve"> 105 </w:t>
      </w:r>
      <w:proofErr w:type="spellStart"/>
      <w:r w:rsidRPr="00702A99">
        <w:rPr>
          <w:i/>
          <w:iCs/>
        </w:rPr>
        <w:t>Tahun</w:t>
      </w:r>
      <w:proofErr w:type="spellEnd"/>
      <w:r w:rsidRPr="00702A99">
        <w:rPr>
          <w:i/>
          <w:iCs/>
        </w:rPr>
        <w:t xml:space="preserve"> 2014 </w:t>
      </w:r>
      <w:proofErr w:type="spellStart"/>
      <w:r w:rsidRPr="00702A99">
        <w:rPr>
          <w:i/>
          <w:iCs/>
        </w:rPr>
        <w:t>tentang</w:t>
      </w:r>
      <w:proofErr w:type="spellEnd"/>
      <w:r w:rsidRPr="00702A99">
        <w:rPr>
          <w:i/>
          <w:iCs/>
        </w:rPr>
        <w:t xml:space="preserve"> </w:t>
      </w:r>
      <w:proofErr w:type="spellStart"/>
      <w:r w:rsidRPr="00702A99">
        <w:rPr>
          <w:i/>
          <w:iCs/>
        </w:rPr>
        <w:t>Pendampingan</w:t>
      </w:r>
      <w:proofErr w:type="spellEnd"/>
      <w:r w:rsidRPr="00702A99">
        <w:rPr>
          <w:i/>
          <w:iCs/>
        </w:rPr>
        <w:t xml:space="preserve"> </w:t>
      </w:r>
      <w:proofErr w:type="spellStart"/>
      <w:r w:rsidRPr="00702A99">
        <w:rPr>
          <w:i/>
          <w:iCs/>
        </w:rPr>
        <w:t>Pelaksanaan</w:t>
      </w:r>
      <w:proofErr w:type="spellEnd"/>
      <w:r w:rsidRPr="00702A99">
        <w:rPr>
          <w:i/>
          <w:iCs/>
        </w:rPr>
        <w:t xml:space="preserve"> </w:t>
      </w:r>
      <w:proofErr w:type="spellStart"/>
      <w:r w:rsidRPr="00702A99">
        <w:rPr>
          <w:i/>
          <w:iCs/>
        </w:rPr>
        <w:t>Kurikulum</w:t>
      </w:r>
      <w:proofErr w:type="spellEnd"/>
      <w:r w:rsidRPr="00702A99">
        <w:rPr>
          <w:i/>
          <w:iCs/>
        </w:rPr>
        <w:t xml:space="preserve"> 2013 </w:t>
      </w:r>
      <w:proofErr w:type="spellStart"/>
      <w:r w:rsidRPr="00702A99">
        <w:rPr>
          <w:i/>
          <w:iCs/>
        </w:rPr>
        <w:t>pada</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Dasar</w:t>
      </w:r>
      <w:proofErr w:type="spellEnd"/>
      <w:r w:rsidRPr="00702A99">
        <w:rPr>
          <w:i/>
          <w:iCs/>
        </w:rPr>
        <w:t xml:space="preserve"> </w:t>
      </w:r>
      <w:proofErr w:type="spellStart"/>
      <w:r w:rsidRPr="00702A99">
        <w:rPr>
          <w:i/>
          <w:iCs/>
        </w:rPr>
        <w:t>dan</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Menengah</w:t>
      </w:r>
      <w:proofErr w:type="spellEnd"/>
      <w:r w:rsidRPr="00702A99">
        <w:t xml:space="preserve">. (2014). Jakarta: </w:t>
      </w:r>
      <w:proofErr w:type="spellStart"/>
      <w:r w:rsidRPr="00702A99">
        <w:t>Kemendikbud</w:t>
      </w:r>
      <w:proofErr w:type="spellEnd"/>
      <w:r w:rsidRPr="00702A99">
        <w:t>.</w:t>
      </w:r>
    </w:p>
    <w:p w14:paraId="464E4EA1" w14:textId="77777777" w:rsidR="00793693" w:rsidRPr="00702A99" w:rsidRDefault="00793693" w:rsidP="00793693">
      <w:pPr>
        <w:ind w:left="567" w:hanging="567"/>
        <w:jc w:val="both"/>
      </w:pPr>
      <w:proofErr w:type="spellStart"/>
      <w:r w:rsidRPr="00702A99">
        <w:t>Rusydi</w:t>
      </w:r>
      <w:proofErr w:type="spellEnd"/>
      <w:r w:rsidRPr="00702A99">
        <w:t xml:space="preserve">, R. (2017). </w:t>
      </w:r>
      <w:proofErr w:type="spellStart"/>
      <w:r w:rsidRPr="00702A99">
        <w:t>Pembelajaran</w:t>
      </w:r>
      <w:proofErr w:type="spellEnd"/>
      <w:r w:rsidRPr="00702A99">
        <w:t xml:space="preserve"> </w:t>
      </w:r>
      <w:proofErr w:type="spellStart"/>
      <w:r w:rsidRPr="00702A99">
        <w:t>Berbasis</w:t>
      </w:r>
      <w:proofErr w:type="spellEnd"/>
      <w:r w:rsidRPr="00702A99">
        <w:t xml:space="preserve"> </w:t>
      </w:r>
      <w:proofErr w:type="spellStart"/>
      <w:r w:rsidRPr="00702A99">
        <w:t>Masalah</w:t>
      </w:r>
      <w:proofErr w:type="spellEnd"/>
      <w:r w:rsidRPr="00702A99">
        <w:t xml:space="preserve"> (PBM) </w:t>
      </w:r>
      <w:proofErr w:type="spellStart"/>
      <w:r w:rsidRPr="00702A99">
        <w:t>Pada</w:t>
      </w:r>
      <w:proofErr w:type="spellEnd"/>
      <w:r w:rsidRPr="00702A99">
        <w:t xml:space="preserve"> </w:t>
      </w:r>
      <w:proofErr w:type="spellStart"/>
      <w:r w:rsidRPr="00702A99">
        <w:t>Materi</w:t>
      </w:r>
      <w:proofErr w:type="spellEnd"/>
      <w:r w:rsidRPr="00702A99">
        <w:t xml:space="preserve"> </w:t>
      </w:r>
      <w:proofErr w:type="spellStart"/>
      <w:r w:rsidRPr="00702A99">
        <w:t>Termodinamika</w:t>
      </w:r>
      <w:proofErr w:type="spellEnd"/>
      <w:r w:rsidRPr="00702A99">
        <w:t xml:space="preserve"> </w:t>
      </w:r>
      <w:proofErr w:type="spellStart"/>
      <w:r w:rsidRPr="00702A99">
        <w:t>Untuk</w:t>
      </w:r>
      <w:proofErr w:type="spellEnd"/>
      <w:r w:rsidRPr="00702A99">
        <w:t xml:space="preserve"> </w:t>
      </w:r>
      <w:proofErr w:type="spellStart"/>
      <w:r w:rsidRPr="00702A99">
        <w:t>Meningkatkan</w:t>
      </w:r>
      <w:proofErr w:type="spellEnd"/>
      <w:r w:rsidRPr="00702A99">
        <w:t xml:space="preserve"> </w:t>
      </w:r>
      <w:proofErr w:type="spellStart"/>
      <w:r w:rsidRPr="00702A99">
        <w:t>Kemampuan</w:t>
      </w:r>
      <w:proofErr w:type="spellEnd"/>
      <w:r w:rsidRPr="00702A99">
        <w:t xml:space="preserve"> </w:t>
      </w:r>
      <w:proofErr w:type="spellStart"/>
      <w:r w:rsidRPr="00702A99">
        <w:t>Kognitif</w:t>
      </w:r>
      <w:proofErr w:type="spellEnd"/>
      <w:r w:rsidRPr="00702A99">
        <w:t xml:space="preserve"> Dan </w:t>
      </w:r>
      <w:proofErr w:type="spellStart"/>
      <w:r w:rsidRPr="00702A99">
        <w:t>Kemampuan</w:t>
      </w:r>
      <w:proofErr w:type="spellEnd"/>
      <w:r w:rsidRPr="00702A99">
        <w:t xml:space="preserve"> </w:t>
      </w:r>
      <w:proofErr w:type="spellStart"/>
      <w:r w:rsidRPr="00702A99">
        <w:t>Kreatif</w:t>
      </w:r>
      <w:proofErr w:type="spellEnd"/>
      <w:r w:rsidRPr="00702A99">
        <w:t xml:space="preserve"> (</w:t>
      </w:r>
      <w:proofErr w:type="spellStart"/>
      <w:r w:rsidRPr="00702A99">
        <w:t>Kreativitas</w:t>
      </w:r>
      <w:proofErr w:type="spellEnd"/>
      <w:r w:rsidRPr="00702A99">
        <w:t xml:space="preserve">) </w:t>
      </w:r>
      <w:proofErr w:type="spellStart"/>
      <w:r w:rsidRPr="00702A99">
        <w:t>Mahasiswa</w:t>
      </w:r>
      <w:proofErr w:type="spellEnd"/>
      <w:r w:rsidRPr="00702A99">
        <w:t xml:space="preserve"> FTK UIN </w:t>
      </w:r>
      <w:proofErr w:type="spellStart"/>
      <w:r w:rsidRPr="00702A99">
        <w:t>Ar-Raniry</w:t>
      </w:r>
      <w:proofErr w:type="spellEnd"/>
      <w:r w:rsidRPr="00702A99">
        <w:t xml:space="preserve"> Banda Aceh.</w:t>
      </w:r>
      <w:r w:rsidRPr="00702A99">
        <w:rPr>
          <w:i/>
          <w:iCs/>
        </w:rPr>
        <w:t xml:space="preserve"> </w:t>
      </w:r>
      <w:proofErr w:type="spellStart"/>
      <w:r w:rsidRPr="00702A99">
        <w:rPr>
          <w:i/>
          <w:iCs/>
        </w:rPr>
        <w:t>Jurnal</w:t>
      </w:r>
      <w:proofErr w:type="spellEnd"/>
      <w:r w:rsidRPr="00702A99">
        <w:rPr>
          <w:i/>
          <w:iCs/>
        </w:rPr>
        <w:t xml:space="preserve"> IPA &amp; </w:t>
      </w:r>
      <w:proofErr w:type="spellStart"/>
      <w:r w:rsidRPr="00702A99">
        <w:rPr>
          <w:i/>
          <w:iCs/>
        </w:rPr>
        <w:t>Pembelajaran</w:t>
      </w:r>
      <w:proofErr w:type="spellEnd"/>
      <w:r w:rsidRPr="00702A99">
        <w:rPr>
          <w:i/>
          <w:iCs/>
        </w:rPr>
        <w:t xml:space="preserve"> IPA, 1</w:t>
      </w:r>
      <w:r w:rsidRPr="00702A99">
        <w:t>(2), 192-202.</w:t>
      </w:r>
    </w:p>
    <w:p w14:paraId="452B4769" w14:textId="77777777" w:rsidR="00793693" w:rsidRPr="00702A99" w:rsidRDefault="00793693" w:rsidP="00793693">
      <w:pPr>
        <w:ind w:left="567" w:hanging="567"/>
        <w:jc w:val="both"/>
      </w:pPr>
      <w:proofErr w:type="spellStart"/>
      <w:r w:rsidRPr="00702A99">
        <w:t>Sucipto</w:t>
      </w:r>
      <w:proofErr w:type="spellEnd"/>
      <w:r w:rsidRPr="00702A99">
        <w:t xml:space="preserve">, S. (2017). </w:t>
      </w:r>
      <w:proofErr w:type="spellStart"/>
      <w:r w:rsidRPr="00702A99">
        <w:t>Pengembangan</w:t>
      </w:r>
      <w:proofErr w:type="spellEnd"/>
      <w:r w:rsidRPr="00702A99">
        <w:t xml:space="preserve"> </w:t>
      </w:r>
      <w:proofErr w:type="spellStart"/>
      <w:r w:rsidRPr="00702A99">
        <w:t>Ketrampilan</w:t>
      </w:r>
      <w:proofErr w:type="spellEnd"/>
      <w:r w:rsidRPr="00702A99">
        <w:t xml:space="preserve"> </w:t>
      </w:r>
      <w:proofErr w:type="spellStart"/>
      <w:r w:rsidRPr="00702A99">
        <w:t>Berpikir</w:t>
      </w:r>
      <w:proofErr w:type="spellEnd"/>
      <w:r w:rsidRPr="00702A99">
        <w:t xml:space="preserve"> Tingkat Tinggi </w:t>
      </w:r>
      <w:proofErr w:type="spellStart"/>
      <w:r w:rsidRPr="00702A99">
        <w:t>Dengan</w:t>
      </w:r>
      <w:proofErr w:type="spellEnd"/>
      <w:r w:rsidRPr="00702A99">
        <w:t xml:space="preserve"> </w:t>
      </w:r>
      <w:proofErr w:type="spellStart"/>
      <w:r w:rsidRPr="00702A99">
        <w:t>Menggunakan</w:t>
      </w:r>
      <w:proofErr w:type="spellEnd"/>
      <w:r w:rsidRPr="00702A99">
        <w:t xml:space="preserve"> </w:t>
      </w:r>
      <w:proofErr w:type="spellStart"/>
      <w:r w:rsidRPr="00702A99">
        <w:t>Strategi</w:t>
      </w:r>
      <w:proofErr w:type="spellEnd"/>
      <w:r w:rsidRPr="00702A99">
        <w:t xml:space="preserve"> </w:t>
      </w:r>
      <w:proofErr w:type="spellStart"/>
      <w:r w:rsidRPr="00702A99">
        <w:t>Metakognitive</w:t>
      </w:r>
      <w:proofErr w:type="spellEnd"/>
      <w:r w:rsidRPr="00702A99">
        <w:t xml:space="preserve"> Model </w:t>
      </w:r>
      <w:proofErr w:type="spellStart"/>
      <w:r w:rsidRPr="00702A99">
        <w:t>Pembelajaran</w:t>
      </w:r>
      <w:proofErr w:type="spellEnd"/>
      <w:r w:rsidRPr="00702A99">
        <w:t xml:space="preserve"> Problem Based Learning.</w:t>
      </w:r>
      <w:r w:rsidRPr="00702A99">
        <w:rPr>
          <w:i/>
          <w:iCs/>
        </w:rPr>
        <w:t xml:space="preserve"> </w:t>
      </w:r>
      <w:proofErr w:type="spellStart"/>
      <w:r w:rsidRPr="00702A99">
        <w:rPr>
          <w:i/>
          <w:iCs/>
        </w:rPr>
        <w:t>Jurnal</w:t>
      </w:r>
      <w:proofErr w:type="spellEnd"/>
      <w:r w:rsidRPr="00702A99">
        <w:rPr>
          <w:i/>
          <w:iCs/>
        </w:rPr>
        <w:t xml:space="preserve"> </w:t>
      </w:r>
      <w:proofErr w:type="spellStart"/>
      <w:r w:rsidRPr="00702A99">
        <w:rPr>
          <w:i/>
          <w:iCs/>
        </w:rPr>
        <w:t>Pendidikan</w:t>
      </w:r>
      <w:proofErr w:type="spellEnd"/>
      <w:r w:rsidRPr="00702A99">
        <w:rPr>
          <w:i/>
          <w:iCs/>
        </w:rPr>
        <w:t xml:space="preserve"> (</w:t>
      </w:r>
      <w:proofErr w:type="spellStart"/>
      <w:r w:rsidRPr="00702A99">
        <w:rPr>
          <w:i/>
          <w:iCs/>
        </w:rPr>
        <w:t>Teori</w:t>
      </w:r>
      <w:proofErr w:type="spellEnd"/>
      <w:r w:rsidRPr="00702A99">
        <w:rPr>
          <w:i/>
          <w:iCs/>
        </w:rPr>
        <w:t xml:space="preserve"> </w:t>
      </w:r>
      <w:proofErr w:type="spellStart"/>
      <w:proofErr w:type="gramStart"/>
      <w:r w:rsidRPr="00702A99">
        <w:rPr>
          <w:i/>
          <w:iCs/>
        </w:rPr>
        <w:t>Dna</w:t>
      </w:r>
      <w:proofErr w:type="spellEnd"/>
      <w:proofErr w:type="gramEnd"/>
      <w:r w:rsidRPr="00702A99">
        <w:rPr>
          <w:i/>
          <w:iCs/>
        </w:rPr>
        <w:t xml:space="preserve"> </w:t>
      </w:r>
      <w:proofErr w:type="spellStart"/>
      <w:r w:rsidRPr="00702A99">
        <w:rPr>
          <w:i/>
          <w:iCs/>
        </w:rPr>
        <w:t>Praktik</w:t>
      </w:r>
      <w:proofErr w:type="spellEnd"/>
      <w:r w:rsidRPr="00702A99">
        <w:rPr>
          <w:i/>
          <w:iCs/>
        </w:rPr>
        <w:t>), 2</w:t>
      </w:r>
      <w:r w:rsidRPr="00702A99">
        <w:t>(1), 63-71.</w:t>
      </w:r>
    </w:p>
    <w:p w14:paraId="285F6794" w14:textId="77777777" w:rsidR="00793693" w:rsidRPr="00702A99" w:rsidRDefault="00793693" w:rsidP="00793693">
      <w:pPr>
        <w:ind w:left="567" w:hanging="567"/>
        <w:jc w:val="both"/>
      </w:pPr>
      <w:r w:rsidRPr="00702A99">
        <w:rPr>
          <w:lang w:val="id-ID"/>
        </w:rPr>
        <w:t xml:space="preserve">TIMSS. </w:t>
      </w:r>
      <w:r w:rsidRPr="00702A99">
        <w:t>(</w:t>
      </w:r>
      <w:r w:rsidRPr="00702A99">
        <w:rPr>
          <w:lang w:val="id-ID"/>
        </w:rPr>
        <w:t>2018</w:t>
      </w:r>
      <w:r w:rsidRPr="00702A99">
        <w:t>)</w:t>
      </w:r>
      <w:r w:rsidRPr="00702A99">
        <w:rPr>
          <w:lang w:val="id-ID"/>
        </w:rPr>
        <w:t xml:space="preserve">. </w:t>
      </w:r>
      <w:r w:rsidRPr="00702A99">
        <w:t>“</w:t>
      </w:r>
      <w:r w:rsidRPr="00702A99">
        <w:rPr>
          <w:iCs/>
          <w:lang w:val="id-ID"/>
        </w:rPr>
        <w:t xml:space="preserve">Highlights </w:t>
      </w:r>
      <w:r w:rsidRPr="00702A99">
        <w:rPr>
          <w:iCs/>
        </w:rPr>
        <w:t>f</w:t>
      </w:r>
      <w:r w:rsidRPr="00702A99">
        <w:rPr>
          <w:iCs/>
          <w:lang w:val="id-ID"/>
        </w:rPr>
        <w:t>rom TIMSS and TIMSS Advanced 2018</w:t>
      </w:r>
      <w:r w:rsidRPr="00702A99">
        <w:rPr>
          <w:iCs/>
        </w:rPr>
        <w:t>”</w:t>
      </w:r>
      <w:r w:rsidRPr="00702A99">
        <w:rPr>
          <w:i/>
          <w:lang w:val="id-ID"/>
        </w:rPr>
        <w:t xml:space="preserve">. </w:t>
      </w:r>
      <w:r w:rsidRPr="00702A99">
        <w:rPr>
          <w:lang w:val="id-ID"/>
        </w:rPr>
        <w:t>Washington. Institute of Education Sciences.</w:t>
      </w:r>
    </w:p>
    <w:p w14:paraId="6F1569D6" w14:textId="77777777" w:rsidR="00793693" w:rsidRPr="00427F30" w:rsidRDefault="00793693" w:rsidP="00793693">
      <w:pPr>
        <w:ind w:left="567" w:hanging="567"/>
        <w:jc w:val="both"/>
      </w:pPr>
      <w:proofErr w:type="spellStart"/>
      <w:r w:rsidRPr="00702A99">
        <w:t>Wiyono</w:t>
      </w:r>
      <w:proofErr w:type="spellEnd"/>
      <w:r w:rsidRPr="00702A99">
        <w:t xml:space="preserve">, K., &amp; </w:t>
      </w:r>
      <w:proofErr w:type="spellStart"/>
      <w:r w:rsidRPr="00702A99">
        <w:t>Zakiyah</w:t>
      </w:r>
      <w:proofErr w:type="spellEnd"/>
      <w:r w:rsidRPr="00702A99">
        <w:t xml:space="preserve">, S. (2019). </w:t>
      </w:r>
      <w:proofErr w:type="spellStart"/>
      <w:r w:rsidRPr="00702A99">
        <w:t>Pendidikan</w:t>
      </w:r>
      <w:proofErr w:type="spellEnd"/>
      <w:r w:rsidRPr="00702A99">
        <w:t xml:space="preserve"> </w:t>
      </w:r>
      <w:proofErr w:type="spellStart"/>
      <w:r w:rsidRPr="00702A99">
        <w:t>Fisika</w:t>
      </w:r>
      <w:proofErr w:type="spellEnd"/>
      <w:r w:rsidRPr="00702A99">
        <w:t xml:space="preserve"> </w:t>
      </w:r>
      <w:proofErr w:type="spellStart"/>
      <w:r w:rsidRPr="00702A99">
        <w:t>Pada</w:t>
      </w:r>
      <w:proofErr w:type="spellEnd"/>
      <w:r w:rsidRPr="00702A99">
        <w:t xml:space="preserve"> Era </w:t>
      </w:r>
      <w:proofErr w:type="spellStart"/>
      <w:r w:rsidRPr="00702A99">
        <w:t>Revolusi</w:t>
      </w:r>
      <w:proofErr w:type="spellEnd"/>
      <w:r w:rsidRPr="00702A99">
        <w:t xml:space="preserve"> </w:t>
      </w:r>
      <w:proofErr w:type="spellStart"/>
      <w:r w:rsidRPr="00702A99">
        <w:t>Industri</w:t>
      </w:r>
      <w:proofErr w:type="spellEnd"/>
      <w:r w:rsidRPr="00702A99">
        <w:t xml:space="preserve"> 4.0 di Indonesia. </w:t>
      </w:r>
      <w:r w:rsidRPr="00702A99">
        <w:rPr>
          <w:i/>
          <w:iCs/>
        </w:rPr>
        <w:t xml:space="preserve">Seminar Nasional </w:t>
      </w:r>
      <w:proofErr w:type="spellStart"/>
      <w:r w:rsidRPr="00702A99">
        <w:rPr>
          <w:i/>
          <w:iCs/>
        </w:rPr>
        <w:t>Pendidikan</w:t>
      </w:r>
      <w:proofErr w:type="spellEnd"/>
      <w:r w:rsidRPr="00702A99">
        <w:rPr>
          <w:i/>
          <w:iCs/>
        </w:rPr>
        <w:t xml:space="preserve"> Prodi </w:t>
      </w:r>
      <w:proofErr w:type="spellStart"/>
      <w:r w:rsidRPr="00702A99">
        <w:rPr>
          <w:i/>
          <w:iCs/>
        </w:rPr>
        <w:t>Fisika</w:t>
      </w:r>
      <w:proofErr w:type="spellEnd"/>
      <w:r w:rsidRPr="00702A99">
        <w:rPr>
          <w:i/>
          <w:iCs/>
        </w:rPr>
        <w:t xml:space="preserve"> FKIP ULM</w:t>
      </w:r>
      <w:r w:rsidRPr="00702A99">
        <w:t>, 1-13.</w:t>
      </w:r>
    </w:p>
    <w:p w14:paraId="238A251D" w14:textId="77777777" w:rsidR="00793693" w:rsidRDefault="00793693" w:rsidP="00793693"/>
    <w:p w14:paraId="00000018" w14:textId="77777777" w:rsidR="00564013" w:rsidRDefault="00564013" w:rsidP="00793693">
      <w:pPr>
        <w:ind w:left="567" w:hanging="567"/>
        <w:jc w:val="both"/>
        <w:rPr>
          <w:color w:val="000000"/>
        </w:rPr>
      </w:pPr>
    </w:p>
    <w:sectPr w:rsidR="00564013" w:rsidSect="001543EA">
      <w:headerReference w:type="default" r:id="rId13"/>
      <w:footerReference w:type="default" r:id="rId14"/>
      <w:pgSz w:w="12240" w:h="15840"/>
      <w:pgMar w:top="1440" w:right="1440" w:bottom="1701"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Author" w:initials="A">
    <w:p w14:paraId="55E43352" w14:textId="5ED6CB77" w:rsidR="007A0D5E" w:rsidRDefault="007A0D5E">
      <w:pPr>
        <w:pStyle w:val="CommentText"/>
      </w:pPr>
      <w:r>
        <w:rPr>
          <w:rStyle w:val="CommentReference"/>
        </w:rPr>
        <w:annotationRef/>
      </w:r>
      <w:proofErr w:type="spellStart"/>
      <w:r>
        <w:t>Bilangan</w:t>
      </w:r>
      <w:proofErr w:type="spellEnd"/>
      <w:r>
        <w:t xml:space="preserve"> decimal </w:t>
      </w:r>
      <w:proofErr w:type="spellStart"/>
      <w:r>
        <w:t>tuliskan</w:t>
      </w:r>
      <w:proofErr w:type="spellEnd"/>
      <w:r>
        <w:t xml:space="preserve"> </w:t>
      </w:r>
      <w:proofErr w:type="spellStart"/>
      <w:r>
        <w:t>lengkap</w:t>
      </w:r>
      <w:proofErr w:type="spellEnd"/>
      <w:r>
        <w:t xml:space="preserve">, </w:t>
      </w:r>
      <w:proofErr w:type="spellStart"/>
      <w:r>
        <w:t>mis</w:t>
      </w:r>
      <w:proofErr w:type="spellEnd"/>
      <w:r>
        <w:t>: 0.083</w:t>
      </w:r>
    </w:p>
  </w:comment>
  <w:comment w:id="13" w:author="Author" w:initials="A">
    <w:p w14:paraId="71487F13" w14:textId="771E35D9" w:rsidR="007A0D5E" w:rsidRDefault="007A0D5E">
      <w:pPr>
        <w:pStyle w:val="CommentText"/>
      </w:pPr>
      <w:r>
        <w:rPr>
          <w:rStyle w:val="CommentReference"/>
        </w:rPr>
        <w:annotationRef/>
      </w:r>
      <w:proofErr w:type="spellStart"/>
      <w:r>
        <w:t>Pastikan</w:t>
      </w:r>
      <w:proofErr w:type="spellEnd"/>
      <w:r>
        <w:t xml:space="preserve"> </w:t>
      </w:r>
      <w:proofErr w:type="spellStart"/>
      <w:r>
        <w:t>konsistensi</w:t>
      </w:r>
      <w:proofErr w:type="spellEnd"/>
      <w:r>
        <w:t xml:space="preserve"> </w:t>
      </w:r>
      <w:proofErr w:type="spellStart"/>
      <w:r>
        <w:t>penulisan</w:t>
      </w:r>
      <w:proofErr w:type="spellEnd"/>
      <w:r>
        <w:t xml:space="preserve"> </w:t>
      </w:r>
      <w:proofErr w:type="spellStart"/>
      <w:r>
        <w:t>koma</w:t>
      </w:r>
      <w:proofErr w:type="spellEnd"/>
      <w:r>
        <w:t xml:space="preserve"> </w:t>
      </w:r>
      <w:proofErr w:type="spellStart"/>
      <w:r>
        <w:t>dan</w:t>
      </w:r>
      <w:proofErr w:type="spellEnd"/>
      <w:r>
        <w:t xml:space="preserve"> </w:t>
      </w:r>
      <w:proofErr w:type="spellStart"/>
      <w:r>
        <w:t>titik</w:t>
      </w:r>
      <w:proofErr w:type="spellEnd"/>
      <w:r>
        <w:t xml:space="preserve"> </w:t>
      </w:r>
      <w:proofErr w:type="spellStart"/>
      <w:r>
        <w:t>dalam</w:t>
      </w:r>
      <w:proofErr w:type="spellEnd"/>
      <w:r>
        <w:t xml:space="preserve"> </w:t>
      </w:r>
      <w:proofErr w:type="spellStart"/>
      <w:r>
        <w:t>narasi</w:t>
      </w:r>
      <w:proofErr w:type="spellEnd"/>
      <w:r>
        <w:t xml:space="preserve"> </w:t>
      </w:r>
      <w:proofErr w:type="spellStart"/>
      <w:r>
        <w:t>berbahasa</w:t>
      </w:r>
      <w:proofErr w:type="spellEnd"/>
      <w:r>
        <w:t xml:space="preserve"> </w:t>
      </w:r>
      <w:proofErr w:type="spellStart"/>
      <w:r>
        <w:t>Inggris</w:t>
      </w:r>
      <w:proofErr w:type="spellEnd"/>
    </w:p>
  </w:comment>
  <w:comment w:id="14" w:author="Author" w:initials="A">
    <w:p w14:paraId="7E89A697" w14:textId="01C8ECD0" w:rsidR="00E16FDD" w:rsidRDefault="007A0D5E">
      <w:pPr>
        <w:pStyle w:val="CommentText"/>
      </w:pPr>
      <w:r>
        <w:rPr>
          <w:rStyle w:val="CommentReference"/>
        </w:rPr>
        <w:annotationRef/>
      </w:r>
      <w:proofErr w:type="spellStart"/>
      <w:r>
        <w:t>Ini</w:t>
      </w:r>
      <w:proofErr w:type="spellEnd"/>
      <w:r>
        <w:t xml:space="preserve"> data yang mana? </w:t>
      </w:r>
      <w:proofErr w:type="spellStart"/>
      <w:r>
        <w:t>Kok</w:t>
      </w:r>
      <w:proofErr w:type="spellEnd"/>
      <w:r>
        <w:t xml:space="preserve"> </w:t>
      </w:r>
      <w:proofErr w:type="spellStart"/>
      <w:r>
        <w:t>narasi</w:t>
      </w:r>
      <w:proofErr w:type="spellEnd"/>
      <w:r>
        <w:t xml:space="preserve"> </w:t>
      </w:r>
      <w:proofErr w:type="spellStart"/>
      <w:r>
        <w:t>berbeda</w:t>
      </w:r>
      <w:proofErr w:type="spellEnd"/>
      <w:r>
        <w:t xml:space="preserve"> </w:t>
      </w:r>
      <w:proofErr w:type="spellStart"/>
      <w:r>
        <w:t>dgn</w:t>
      </w:r>
      <w:proofErr w:type="spellEnd"/>
      <w:r>
        <w:t xml:space="preserve"> </w:t>
      </w:r>
      <w:proofErr w:type="spellStart"/>
      <w:r>
        <w:t>kelas</w:t>
      </w:r>
      <w:proofErr w:type="spellEnd"/>
      <w:r>
        <w:t xml:space="preserve"> </w:t>
      </w:r>
      <w:proofErr w:type="spellStart"/>
      <w:r>
        <w:t>komtrol</w:t>
      </w:r>
      <w:proofErr w:type="spellEnd"/>
      <w:r>
        <w:t>…</w:t>
      </w:r>
    </w:p>
  </w:comment>
  <w:comment w:id="15" w:author="Author" w:initials="A">
    <w:p w14:paraId="228FB9B5" w14:textId="5D0A079A" w:rsidR="00E16FDD" w:rsidRPr="00E16FDD" w:rsidRDefault="00E16FDD">
      <w:pPr>
        <w:pStyle w:val="CommentText"/>
        <w:rPr>
          <w:lang w:val="id-ID"/>
        </w:rPr>
      </w:pPr>
      <w:r>
        <w:rPr>
          <w:rStyle w:val="CommentReference"/>
        </w:rPr>
        <w:annotationRef/>
      </w:r>
      <w:r>
        <w:rPr>
          <w:lang w:val="id-ID"/>
        </w:rPr>
        <w:t xml:space="preserve">Data yang no 2 bu. Siswa yang mendapatkan nilai diatas 70 (KKM Sekolah) </w:t>
      </w:r>
      <w:r w:rsidR="00F81C4B">
        <w:rPr>
          <w:lang w:val="id-ID"/>
        </w:rPr>
        <w:t>di kelaas eksperimen sebanyak 25 siswa dan kelas kontrol sebanyak 18 siswa</w:t>
      </w:r>
    </w:p>
  </w:comment>
  <w:comment w:id="16" w:author="Author" w:initials="A">
    <w:p w14:paraId="1AE91C1F" w14:textId="46FDB6C2" w:rsidR="007A0D5E" w:rsidRDefault="007A0D5E">
      <w:pPr>
        <w:pStyle w:val="CommentText"/>
      </w:pPr>
      <w:r>
        <w:rPr>
          <w:rStyle w:val="CommentReference"/>
        </w:rPr>
        <w:annotationRef/>
      </w:r>
      <w:proofErr w:type="spellStart"/>
      <w:r>
        <w:t>Kok</w:t>
      </w:r>
      <w:proofErr w:type="spellEnd"/>
      <w:r>
        <w:t xml:space="preserve"> </w:t>
      </w:r>
      <w:proofErr w:type="spellStart"/>
      <w:r>
        <w:t>jumlahnya</w:t>
      </w:r>
      <w:proofErr w:type="spellEnd"/>
      <w:r>
        <w:t xml:space="preserve"> </w:t>
      </w:r>
      <w:proofErr w:type="spellStart"/>
      <w:r>
        <w:t>lebih</w:t>
      </w:r>
      <w:proofErr w:type="spellEnd"/>
      <w:r>
        <w:t xml:space="preserve"> </w:t>
      </w:r>
      <w:proofErr w:type="spellStart"/>
      <w:r>
        <w:t>dari</w:t>
      </w:r>
      <w:proofErr w:type="spellEnd"/>
      <w:r>
        <w:t xml:space="preserve"> 100% </w:t>
      </w:r>
      <w:proofErr w:type="spellStart"/>
      <w:r>
        <w:t>ya</w:t>
      </w:r>
      <w:proofErr w:type="spellEnd"/>
      <w:r>
        <w:t>?</w:t>
      </w:r>
    </w:p>
  </w:comment>
  <w:comment w:id="17" w:author="Author" w:initials="A">
    <w:p w14:paraId="1431A814" w14:textId="55B5DCEC" w:rsidR="00E16FDD" w:rsidRPr="00F81C4B" w:rsidRDefault="00E16FDD">
      <w:pPr>
        <w:pStyle w:val="CommentText"/>
        <w:rPr>
          <w:lang w:val="id-ID"/>
        </w:rPr>
      </w:pPr>
      <w:r>
        <w:rPr>
          <w:rStyle w:val="CommentReference"/>
        </w:rPr>
        <w:annotationRef/>
      </w:r>
      <w:r w:rsidR="00F81C4B">
        <w:rPr>
          <w:lang w:val="id-ID"/>
        </w:rPr>
        <w:t>Tidak dijumlah bu. Kelas eksperimen dan kelas kontrol sendiri2. Diukur dengan parameter ketuntasan klasikal sebesar 75%</w:t>
      </w:r>
    </w:p>
  </w:comment>
  <w:comment w:id="19" w:author="Author" w:initials="A">
    <w:p w14:paraId="4CC43B76" w14:textId="16E5B04B" w:rsidR="007A0D5E" w:rsidRDefault="007A0D5E">
      <w:pPr>
        <w:pStyle w:val="CommentText"/>
      </w:pPr>
      <w:r>
        <w:rPr>
          <w:rStyle w:val="CommentReference"/>
        </w:rPr>
        <w:annotationRef/>
      </w:r>
      <w:proofErr w:type="spellStart"/>
      <w:r>
        <w:t>Kedua</w:t>
      </w:r>
      <w:proofErr w:type="spellEnd"/>
      <w:r>
        <w:t xml:space="preserve"> </w:t>
      </w:r>
      <w:proofErr w:type="spellStart"/>
      <w:r>
        <w:t>kalimat</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diparafrase</w:t>
      </w:r>
      <w:proofErr w:type="spellEnd"/>
      <w:r>
        <w:t>.</w:t>
      </w:r>
      <w:r w:rsidR="009348ED">
        <w:t xml:space="preserve"> </w:t>
      </w:r>
      <w:proofErr w:type="spellStart"/>
      <w:r w:rsidR="009348ED">
        <w:t>Hindari</w:t>
      </w:r>
      <w:proofErr w:type="spellEnd"/>
      <w:r w:rsidR="009348ED">
        <w:t xml:space="preserve"> </w:t>
      </w:r>
      <w:proofErr w:type="spellStart"/>
      <w:r w:rsidR="009348ED">
        <w:t>menyajikan</w:t>
      </w:r>
      <w:proofErr w:type="spellEnd"/>
      <w:r w:rsidR="009348ED">
        <w:t xml:space="preserve"> data </w:t>
      </w:r>
      <w:proofErr w:type="spellStart"/>
      <w:r w:rsidR="009348ED">
        <w:t>kembali</w:t>
      </w:r>
      <w:proofErr w:type="spellEnd"/>
      <w:r w:rsidR="009348ED">
        <w:t xml:space="preserve">, </w:t>
      </w:r>
      <w:proofErr w:type="spellStart"/>
      <w:r w:rsidR="009348ED">
        <w:t>sebaiknya</w:t>
      </w:r>
      <w:proofErr w:type="spellEnd"/>
      <w:r w:rsidR="009348ED">
        <w:t xml:space="preserve"> </w:t>
      </w:r>
      <w:proofErr w:type="spellStart"/>
      <w:r w:rsidR="009348ED">
        <w:t>dalam</w:t>
      </w:r>
      <w:proofErr w:type="spellEnd"/>
      <w:r w:rsidR="009348ED">
        <w:t xml:space="preserve"> </w:t>
      </w:r>
      <w:proofErr w:type="spellStart"/>
      <w:r w:rsidR="009348ED">
        <w:t>kalimat</w:t>
      </w:r>
      <w:proofErr w:type="spellEnd"/>
      <w:r w:rsidR="009348ED">
        <w:t xml:space="preserve"> </w:t>
      </w:r>
      <w:proofErr w:type="spellStart"/>
      <w:r w:rsidR="009348ED">
        <w:t>mengalir</w:t>
      </w:r>
      <w:proofErr w:type="spellEnd"/>
      <w:r w:rsidR="009348ED">
        <w:t xml:space="preserve"> </w:t>
      </w:r>
      <w:proofErr w:type="spellStart"/>
      <w:r w:rsidR="009348ED">
        <w:t>karena</w:t>
      </w:r>
      <w:proofErr w:type="spellEnd"/>
      <w:r w:rsidR="009348ED">
        <w:t xml:space="preserve"> </w:t>
      </w:r>
      <w:proofErr w:type="spellStart"/>
      <w:r w:rsidR="009348ED">
        <w:t>tujuan</w:t>
      </w:r>
      <w:proofErr w:type="spellEnd"/>
      <w:r w:rsidR="009348ED">
        <w:t xml:space="preserve"> </w:t>
      </w:r>
      <w:proofErr w:type="spellStart"/>
      <w:r w:rsidR="009348ED">
        <w:t>penelitian</w:t>
      </w:r>
      <w:proofErr w:type="spellEnd"/>
      <w:r w:rsidR="009348ED">
        <w:t xml:space="preserve"> </w:t>
      </w:r>
      <w:proofErr w:type="spellStart"/>
      <w:r w:rsidR="009348ED">
        <w:t>adalah</w:t>
      </w:r>
      <w:proofErr w:type="spellEnd"/>
      <w:r w:rsidR="009348ED">
        <w:t xml:space="preserve"> </w:t>
      </w:r>
      <w:proofErr w:type="spellStart"/>
      <w:r w:rsidR="009348ED">
        <w:t>menganalisis</w:t>
      </w:r>
      <w:proofErr w:type="spellEnd"/>
      <w:r w:rsidR="009348ED">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3352" w15:done="1"/>
  <w15:commentEx w15:paraId="71487F13" w15:done="1"/>
  <w15:commentEx w15:paraId="7E89A697" w15:done="0"/>
  <w15:commentEx w15:paraId="228FB9B5" w15:paraIdParent="7E89A697" w15:done="0"/>
  <w15:commentEx w15:paraId="1AE91C1F" w15:done="0"/>
  <w15:commentEx w15:paraId="1431A814" w15:paraIdParent="1AE91C1F" w15:done="0"/>
  <w15:commentEx w15:paraId="4CC43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455C7" w16cid:durableId="24AFE830"/>
  <w16cid:commentId w16cid:paraId="16978D91" w16cid:durableId="24AFE8AF"/>
  <w16cid:commentId w16cid:paraId="2EC97583" w16cid:durableId="24AFE8D5"/>
  <w16cid:commentId w16cid:paraId="1F43E10E" w16cid:durableId="24AFE925"/>
  <w16cid:commentId w16cid:paraId="25855C30" w16cid:durableId="24AFE96D"/>
  <w16cid:commentId w16cid:paraId="260504BA" w16cid:durableId="24AFE9A3"/>
  <w16cid:commentId w16cid:paraId="19A2C8CA" w16cid:durableId="24AFEA10"/>
  <w16cid:commentId w16cid:paraId="77C0E95C" w16cid:durableId="24AFEA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3C43C" w14:textId="77777777" w:rsidR="0092602F" w:rsidRDefault="0092602F" w:rsidP="00023090">
      <w:r>
        <w:separator/>
      </w:r>
    </w:p>
  </w:endnote>
  <w:endnote w:type="continuationSeparator" w:id="0">
    <w:p w14:paraId="702773CC" w14:textId="77777777" w:rsidR="0092602F" w:rsidRDefault="0092602F" w:rsidP="0002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DD790" w14:textId="6A6F63BD" w:rsidR="00C21172" w:rsidRDefault="00C21172">
    <w:pPr>
      <w:pStyle w:val="Footer"/>
      <w:jc w:val="center"/>
    </w:pPr>
  </w:p>
  <w:p w14:paraId="061371B4" w14:textId="77777777" w:rsidR="00C21172" w:rsidRDefault="00C21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0C6D" w14:textId="77777777" w:rsidR="0092602F" w:rsidRDefault="0092602F" w:rsidP="00023090">
      <w:r>
        <w:separator/>
      </w:r>
    </w:p>
  </w:footnote>
  <w:footnote w:type="continuationSeparator" w:id="0">
    <w:p w14:paraId="43EDBB19" w14:textId="77777777" w:rsidR="0092602F" w:rsidRDefault="0092602F" w:rsidP="0002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BE1D" w14:textId="77777777" w:rsidR="00C21172" w:rsidRDefault="00C21172">
    <w:pPr>
      <w:pStyle w:val="Header"/>
      <w:jc w:val="right"/>
    </w:pPr>
  </w:p>
  <w:p w14:paraId="73334D47" w14:textId="77777777" w:rsidR="00C21172" w:rsidRDefault="00C211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126CA"/>
    <w:multiLevelType w:val="hybridMultilevel"/>
    <w:tmpl w:val="569AC0B6"/>
    <w:lvl w:ilvl="0" w:tplc="DE9213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2436D"/>
    <w:multiLevelType w:val="multilevel"/>
    <w:tmpl w:val="F4C6D88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13"/>
    <w:rsid w:val="00007A5E"/>
    <w:rsid w:val="00023090"/>
    <w:rsid w:val="0003161A"/>
    <w:rsid w:val="0005511D"/>
    <w:rsid w:val="000A011E"/>
    <w:rsid w:val="000E0013"/>
    <w:rsid w:val="000E0AF9"/>
    <w:rsid w:val="001122F6"/>
    <w:rsid w:val="00113931"/>
    <w:rsid w:val="001543EA"/>
    <w:rsid w:val="00225C0A"/>
    <w:rsid w:val="00307E63"/>
    <w:rsid w:val="0032045A"/>
    <w:rsid w:val="00362092"/>
    <w:rsid w:val="0037123C"/>
    <w:rsid w:val="00377ECC"/>
    <w:rsid w:val="00381740"/>
    <w:rsid w:val="003B3B31"/>
    <w:rsid w:val="00427F30"/>
    <w:rsid w:val="0044261B"/>
    <w:rsid w:val="004A2C14"/>
    <w:rsid w:val="004B530F"/>
    <w:rsid w:val="00531D63"/>
    <w:rsid w:val="00564013"/>
    <w:rsid w:val="005905C3"/>
    <w:rsid w:val="005A7F4F"/>
    <w:rsid w:val="005C1685"/>
    <w:rsid w:val="00605677"/>
    <w:rsid w:val="00613790"/>
    <w:rsid w:val="006B1853"/>
    <w:rsid w:val="006C7279"/>
    <w:rsid w:val="006E72BA"/>
    <w:rsid w:val="00721FF3"/>
    <w:rsid w:val="00793693"/>
    <w:rsid w:val="00796E1B"/>
    <w:rsid w:val="007A0D5E"/>
    <w:rsid w:val="007F2588"/>
    <w:rsid w:val="008254A3"/>
    <w:rsid w:val="0082581F"/>
    <w:rsid w:val="00880F24"/>
    <w:rsid w:val="00886A32"/>
    <w:rsid w:val="00892711"/>
    <w:rsid w:val="0092602F"/>
    <w:rsid w:val="009348ED"/>
    <w:rsid w:val="00944089"/>
    <w:rsid w:val="009C133F"/>
    <w:rsid w:val="009C7BA2"/>
    <w:rsid w:val="009F3A62"/>
    <w:rsid w:val="00A02162"/>
    <w:rsid w:val="00A25ACD"/>
    <w:rsid w:val="00A756D4"/>
    <w:rsid w:val="00A87221"/>
    <w:rsid w:val="00AA29BF"/>
    <w:rsid w:val="00AB59A6"/>
    <w:rsid w:val="00AE27D3"/>
    <w:rsid w:val="00AF1797"/>
    <w:rsid w:val="00AF62B1"/>
    <w:rsid w:val="00B0119C"/>
    <w:rsid w:val="00B30BD2"/>
    <w:rsid w:val="00B36188"/>
    <w:rsid w:val="00C00FEE"/>
    <w:rsid w:val="00C21172"/>
    <w:rsid w:val="00C32DF3"/>
    <w:rsid w:val="00CC1BE2"/>
    <w:rsid w:val="00CE76A7"/>
    <w:rsid w:val="00CF39D1"/>
    <w:rsid w:val="00D1592C"/>
    <w:rsid w:val="00D45B7C"/>
    <w:rsid w:val="00D62ADF"/>
    <w:rsid w:val="00D76996"/>
    <w:rsid w:val="00DA5017"/>
    <w:rsid w:val="00E16FDD"/>
    <w:rsid w:val="00E50C6E"/>
    <w:rsid w:val="00E77D70"/>
    <w:rsid w:val="00E9239A"/>
    <w:rsid w:val="00EA2E7D"/>
    <w:rsid w:val="00EB12B0"/>
    <w:rsid w:val="00EB3B77"/>
    <w:rsid w:val="00F11715"/>
    <w:rsid w:val="00F22A78"/>
    <w:rsid w:val="00F3340A"/>
    <w:rsid w:val="00F81C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0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uiPriority w:val="99"/>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eastAsia="en-US"/>
    </w:rPr>
  </w:style>
  <w:style w:type="character" w:customStyle="1" w:styleId="apple-converted-space">
    <w:name w:val="apple-converted-space"/>
    <w:basedOn w:val="DefaultParagraphFont"/>
    <w:rsid w:val="002762B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A2E7D"/>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EA2E7D"/>
    <w:rPr>
      <w:rFonts w:asciiTheme="minorHAnsi" w:hAnsiTheme="minorHAnsi"/>
      <w:sz w:val="22"/>
      <w:szCs w:val="22"/>
      <w:lang w:val="en-US" w:eastAsia="en-US"/>
    </w:rPr>
  </w:style>
  <w:style w:type="paragraph" w:styleId="Footer">
    <w:name w:val="footer"/>
    <w:basedOn w:val="Normal"/>
    <w:link w:val="FooterChar"/>
    <w:uiPriority w:val="99"/>
    <w:unhideWhenUsed/>
    <w:rsid w:val="00EA2E7D"/>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EA2E7D"/>
    <w:rPr>
      <w:rFonts w:asciiTheme="minorHAnsi" w:hAnsiTheme="minorHAnsi"/>
      <w:sz w:val="22"/>
      <w:szCs w:val="22"/>
      <w:lang w:val="en-US" w:eastAsia="en-US"/>
    </w:rPr>
  </w:style>
  <w:style w:type="paragraph" w:styleId="NoSpacing">
    <w:name w:val="No Spacing"/>
    <w:uiPriority w:val="1"/>
    <w:qFormat/>
    <w:rsid w:val="00023090"/>
    <w:rPr>
      <w:lang w:val="en-US" w:eastAsia="en-US"/>
    </w:rPr>
  </w:style>
  <w:style w:type="character" w:styleId="CommentReference">
    <w:name w:val="annotation reference"/>
    <w:basedOn w:val="DefaultParagraphFont"/>
    <w:uiPriority w:val="99"/>
    <w:semiHidden/>
    <w:unhideWhenUsed/>
    <w:rsid w:val="008254A3"/>
    <w:rPr>
      <w:sz w:val="16"/>
      <w:szCs w:val="16"/>
    </w:rPr>
  </w:style>
  <w:style w:type="paragraph" w:styleId="CommentText">
    <w:name w:val="annotation text"/>
    <w:basedOn w:val="Normal"/>
    <w:link w:val="CommentTextChar"/>
    <w:uiPriority w:val="99"/>
    <w:semiHidden/>
    <w:unhideWhenUsed/>
    <w:rsid w:val="008254A3"/>
    <w:rPr>
      <w:sz w:val="20"/>
      <w:szCs w:val="20"/>
    </w:rPr>
  </w:style>
  <w:style w:type="character" w:customStyle="1" w:styleId="CommentTextChar">
    <w:name w:val="Comment Text Char"/>
    <w:basedOn w:val="DefaultParagraphFont"/>
    <w:link w:val="CommentText"/>
    <w:uiPriority w:val="99"/>
    <w:semiHidden/>
    <w:rsid w:val="008254A3"/>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8254A3"/>
    <w:rPr>
      <w:b/>
      <w:bCs/>
    </w:rPr>
  </w:style>
  <w:style w:type="character" w:customStyle="1" w:styleId="CommentSubjectChar">
    <w:name w:val="Comment Subject Char"/>
    <w:basedOn w:val="CommentTextChar"/>
    <w:link w:val="CommentSubject"/>
    <w:uiPriority w:val="99"/>
    <w:semiHidden/>
    <w:rsid w:val="008254A3"/>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2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frinamaulani@students.unnes.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PPlsnHGR5XRie+V1zKQuT2DRA==">AMUW2mUfqQJoJC5flw+zne++0hlhDl4KCJ3+lI1OsCzvOAVG6drtDJ3rcjxXK0d17XXnRx3gYQbxR652nIsKzx7ia90Lu2sBvr7J7iiq9Mk/os79FPxlzV/vGcYLj7dJyLGAbcqTbc8A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2021-10-11T13:42:00Z</dcterms:created>
  <dcterms:modified xsi:type="dcterms:W3CDTF">2021-10-11T13:42:00Z</dcterms:modified>
</cp:coreProperties>
</file>