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14:paraId="2A6C53BF" w14:textId="77777777" w:rsidTr="00E54B7B">
        <w:tc>
          <w:tcPr>
            <w:tcW w:w="1175" w:type="dxa"/>
            <w:tcBorders>
              <w:top w:val="single" w:sz="4" w:space="0" w:color="auto"/>
              <w:bottom w:val="single" w:sz="4" w:space="0" w:color="auto"/>
            </w:tcBorders>
          </w:tcPr>
          <w:p w14:paraId="1935C69F" w14:textId="0F3D9A0C" w:rsidR="0048529F" w:rsidRPr="00A90BD0" w:rsidRDefault="00F97EA3" w:rsidP="0048529F">
            <w:pPr>
              <w:pStyle w:val="BasicParagraph"/>
              <w:spacing w:line="276" w:lineRule="auto"/>
              <w:jc w:val="center"/>
              <w:rPr>
                <w:rFonts w:cs="Times New Roman"/>
                <w:b/>
                <w:bCs/>
              </w:rPr>
            </w:pPr>
            <w:r>
              <w:rPr>
                <w:rFonts w:cs="Times New Roman"/>
                <w:b/>
                <w:bCs/>
                <w:lang w:val="id-ID"/>
              </w:rPr>
              <w:t xml:space="preserve">    </w:t>
            </w:r>
            <w:r w:rsidR="00D711FC">
              <w:rPr>
                <w:rFonts w:ascii="Calibri" w:eastAsia="Times New Roman" w:hAnsi="Calibri" w:cs="Times New Roman"/>
                <w:b/>
                <w:bCs/>
                <w:noProof/>
                <w:color w:val="auto"/>
                <w:sz w:val="22"/>
                <w:szCs w:val="22"/>
                <w:lang w:val="en-US"/>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3F1189C5" w14:textId="2970AB9D" w:rsidR="00767F25" w:rsidRPr="00E876E9" w:rsidRDefault="001D61B1" w:rsidP="00767F25">
            <w:pPr>
              <w:pStyle w:val="BasicParagraph"/>
              <w:spacing w:line="276" w:lineRule="auto"/>
              <w:jc w:val="center"/>
              <w:rPr>
                <w:sz w:val="18"/>
                <w:lang w:val="en-US"/>
              </w:rPr>
            </w:pPr>
            <w:r w:rsidRPr="001D61B1">
              <w:rPr>
                <w:bCs/>
                <w:sz w:val="18"/>
                <w:lang w:val="en-US"/>
              </w:rPr>
              <w:t>Public Health Perspectives Journal</w:t>
            </w:r>
            <w:r w:rsidR="00456058">
              <w:rPr>
                <w:sz w:val="18"/>
              </w:rPr>
              <w:t xml:space="preserve"> </w:t>
            </w:r>
            <w:r w:rsidR="00E876E9">
              <w:rPr>
                <w:sz w:val="18"/>
                <w:lang w:val="en-US"/>
              </w:rPr>
              <w:t>…. …. ….</w:t>
            </w:r>
          </w:p>
          <w:p w14:paraId="1EDF1366" w14:textId="77777777" w:rsidR="001E6DA8" w:rsidRPr="001E6DA8" w:rsidRDefault="001E6DA8" w:rsidP="001E6DA8">
            <w:pPr>
              <w:pStyle w:val="BasicParagraph"/>
              <w:spacing w:line="276" w:lineRule="auto"/>
              <w:jc w:val="center"/>
              <w:rPr>
                <w:sz w:val="18"/>
              </w:rPr>
            </w:pPr>
          </w:p>
          <w:p w14:paraId="6EF7F8CF" w14:textId="77777777" w:rsidR="0048529F" w:rsidRPr="00A90BD0" w:rsidRDefault="0048529F" w:rsidP="001E6DA8">
            <w:pPr>
              <w:pStyle w:val="BasicParagraph"/>
              <w:spacing w:line="276" w:lineRule="auto"/>
              <w:jc w:val="center"/>
              <w:rPr>
                <w:sz w:val="18"/>
              </w:rPr>
            </w:pPr>
          </w:p>
          <w:p w14:paraId="386FA9FC" w14:textId="246F0565" w:rsidR="004440B2" w:rsidRPr="00996A65" w:rsidRDefault="00996A65" w:rsidP="004440B2">
            <w:pPr>
              <w:autoSpaceDE w:val="0"/>
              <w:autoSpaceDN w:val="0"/>
              <w:adjustRightInd w:val="0"/>
              <w:textAlignment w:val="center"/>
              <w:rPr>
                <w:rFonts w:ascii="Calisto MT" w:hAnsi="Calisto MT" w:cs="Calisto MT"/>
                <w:b/>
                <w:bCs/>
                <w:color w:val="000000"/>
                <w:sz w:val="28"/>
                <w:szCs w:val="28"/>
                <w:lang w:val="id-ID"/>
              </w:rPr>
            </w:pPr>
            <w:r>
              <w:rPr>
                <w:rFonts w:ascii="Calisto MT" w:hAnsi="Calisto MT" w:cs="Calisto MT"/>
                <w:b/>
                <w:bCs/>
                <w:color w:val="000000"/>
                <w:sz w:val="28"/>
                <w:szCs w:val="28"/>
                <w:lang w:val="id-ID"/>
              </w:rPr>
              <w:t>Public Health Perspectives Journal</w:t>
            </w:r>
          </w:p>
          <w:p w14:paraId="3A0713C1" w14:textId="77777777" w:rsidR="0048529F" w:rsidRPr="00A90BD0" w:rsidRDefault="0048529F" w:rsidP="001E6DA8">
            <w:pPr>
              <w:pStyle w:val="BasicParagraph"/>
              <w:spacing w:line="276" w:lineRule="auto"/>
              <w:jc w:val="center"/>
              <w:rPr>
                <w:rFonts w:cs="Times New Roman"/>
                <w:b/>
                <w:bCs/>
              </w:rPr>
            </w:pPr>
          </w:p>
          <w:p w14:paraId="3C8DA695" w14:textId="07089B5D" w:rsidR="0048529F" w:rsidRPr="001E6DA8" w:rsidRDefault="001D61B1" w:rsidP="002D3ABB">
            <w:pPr>
              <w:autoSpaceDE w:val="0"/>
              <w:autoSpaceDN w:val="0"/>
              <w:adjustRightInd w:val="0"/>
              <w:textAlignment w:val="center"/>
              <w:rPr>
                <w:rFonts w:ascii="Calisto MT" w:hAnsi="Calisto MT" w:cs="Calisto MT"/>
                <w:color w:val="000000"/>
                <w:sz w:val="18"/>
                <w:szCs w:val="18"/>
              </w:rPr>
            </w:pPr>
            <w:r w:rsidRPr="001D61B1">
              <w:rPr>
                <w:rFonts w:ascii="Calisto MT" w:hAnsi="Calisto MT" w:cs="Calisto MT"/>
                <w:color w:val="000000"/>
                <w:sz w:val="18"/>
                <w:szCs w:val="18"/>
              </w:rPr>
              <w:t>http://journal.unnes.ac.id/sju/index.php/phpj</w:t>
            </w:r>
          </w:p>
        </w:tc>
        <w:tc>
          <w:tcPr>
            <w:tcW w:w="1447" w:type="dxa"/>
            <w:tcBorders>
              <w:top w:val="single" w:sz="4" w:space="0" w:color="auto"/>
              <w:bottom w:val="single" w:sz="4" w:space="0" w:color="auto"/>
            </w:tcBorders>
          </w:tcPr>
          <w:p w14:paraId="213C894F" w14:textId="4121B593" w:rsidR="0048529F" w:rsidRPr="00A90BD0" w:rsidRDefault="001D61B1" w:rsidP="0048529F">
            <w:pPr>
              <w:pStyle w:val="BasicParagraph"/>
              <w:spacing w:line="276" w:lineRule="auto"/>
              <w:jc w:val="center"/>
              <w:rPr>
                <w:rFonts w:cs="Times New Roman"/>
                <w:sz w:val="18"/>
                <w:szCs w:val="18"/>
              </w:rPr>
            </w:pPr>
            <w:r>
              <w:rPr>
                <w:rFonts w:cs="Times New Roman"/>
                <w:noProof/>
                <w:sz w:val="22"/>
                <w:szCs w:val="22"/>
                <w:lang w:val="en-US"/>
              </w:rPr>
              <w:drawing>
                <wp:inline distT="0" distB="0" distL="0" distR="0" wp14:anchorId="453F94AE" wp14:editId="3337AD9B">
                  <wp:extent cx="642620" cy="831850"/>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42620" cy="831850"/>
                          </a:xfrm>
                          <a:prstGeom prst="rect">
                            <a:avLst/>
                          </a:prstGeom>
                          <a:noFill/>
                          <a:ln w="9525">
                            <a:noFill/>
                            <a:miter lim="800000"/>
                            <a:headEnd/>
                            <a:tailEnd/>
                          </a:ln>
                        </pic:spPr>
                      </pic:pic>
                    </a:graphicData>
                  </a:graphic>
                </wp:inline>
              </w:drawing>
            </w:r>
          </w:p>
        </w:tc>
      </w:tr>
      <w:tr w:rsidR="0048529F" w:rsidRPr="00A90BD0" w14:paraId="46BE4964" w14:textId="77777777" w:rsidTr="00E54B7B">
        <w:tc>
          <w:tcPr>
            <w:tcW w:w="8905" w:type="dxa"/>
            <w:gridSpan w:val="5"/>
            <w:tcBorders>
              <w:top w:val="single" w:sz="4" w:space="0" w:color="auto"/>
              <w:bottom w:val="single" w:sz="4" w:space="0" w:color="auto"/>
            </w:tcBorders>
          </w:tcPr>
          <w:p w14:paraId="55AD2B89" w14:textId="711A167F" w:rsidR="00CF2810" w:rsidRPr="00E95469" w:rsidRDefault="00E95469" w:rsidP="004213AF">
            <w:pPr>
              <w:pStyle w:val="Judul1"/>
              <w:suppressAutoHyphens/>
              <w:ind w:firstLine="0"/>
              <w:jc w:val="both"/>
              <w:rPr>
                <w:rFonts w:ascii="Calisto MT" w:hAnsi="Calisto MT" w:cs="Times New Roman"/>
                <w:sz w:val="28"/>
                <w:szCs w:val="28"/>
              </w:rPr>
            </w:pPr>
            <w:r w:rsidRPr="00E95469">
              <w:rPr>
                <w:rFonts w:ascii="Calisto MT" w:hAnsi="Calisto MT"/>
                <w:sz w:val="28"/>
                <w:szCs w:val="28"/>
              </w:rPr>
              <w:t>Faktor-Faktor yang Mempengaruhi kejadian Anemia pada Pasien Penyakit Ginjal Kronis yang Menjalani Hemodialisa Di RS Islam Sultan Agung Semarang</w:t>
            </w:r>
          </w:p>
          <w:p w14:paraId="61AF66A2" w14:textId="6FA86B9C" w:rsidR="00DC4B8C" w:rsidRPr="00DC4B8C" w:rsidRDefault="00EF6DB1" w:rsidP="00E95469">
            <w:pPr>
              <w:spacing w:before="100"/>
              <w:ind w:firstLine="0"/>
              <w:outlineLvl w:val="2"/>
              <w:rPr>
                <w:rFonts w:ascii="Calisto MT" w:hAnsi="Calisto MT" w:cs="Times New Roman"/>
                <w:b/>
                <w:bCs/>
                <w:color w:val="000000" w:themeColor="text1"/>
                <w:vertAlign w:val="superscript"/>
                <w:lang w:val="id-ID"/>
              </w:rPr>
            </w:pPr>
            <w:r>
              <w:rPr>
                <w:rFonts w:ascii="Calisto MT" w:hAnsi="Calisto MT" w:cs="Times New Roman"/>
                <w:b/>
                <w:bCs/>
                <w:color w:val="000000" w:themeColor="text1"/>
              </w:rPr>
              <w:t>Dewi Rukmana</w:t>
            </w:r>
            <w:r w:rsidR="00DC4B8C">
              <w:rPr>
                <w:rFonts w:ascii="Calisto MT" w:hAnsi="Calisto MT" w:cs="Times New Roman"/>
                <w:b/>
                <w:bCs/>
                <w:color w:val="000000" w:themeColor="text1"/>
                <w:vertAlign w:val="superscript"/>
                <w:lang w:val="id-ID"/>
              </w:rPr>
              <w:t>1</w:t>
            </w:r>
            <w:r>
              <w:rPr>
                <w:rFonts w:ascii="Calisto MT" w:hAnsi="Calisto MT" w:cs="Times New Roman"/>
                <w:b/>
                <w:bCs/>
                <w:color w:val="000000" w:themeColor="text1"/>
              </w:rPr>
              <w:t>, Mahalul Azam</w:t>
            </w:r>
            <w:r w:rsidR="00DC4B8C">
              <w:rPr>
                <w:rFonts w:ascii="Calisto MT" w:hAnsi="Calisto MT" w:cs="Times New Roman"/>
                <w:b/>
                <w:bCs/>
                <w:color w:val="000000" w:themeColor="text1"/>
                <w:vertAlign w:val="superscript"/>
                <w:lang w:val="id-ID"/>
              </w:rPr>
              <w:t>2</w:t>
            </w:r>
            <w:r>
              <w:rPr>
                <w:rFonts w:ascii="Calisto MT" w:hAnsi="Calisto MT" w:cs="Times New Roman"/>
                <w:b/>
                <w:bCs/>
                <w:color w:val="000000" w:themeColor="text1"/>
              </w:rPr>
              <w:t>, Eko Farida</w:t>
            </w:r>
            <w:r w:rsidR="00DC4B8C">
              <w:rPr>
                <w:rFonts w:ascii="Calisto MT" w:hAnsi="Calisto MT" w:cs="Times New Roman"/>
                <w:b/>
                <w:bCs/>
                <w:color w:val="000000" w:themeColor="text1"/>
                <w:vertAlign w:val="superscript"/>
                <w:lang w:val="id-ID"/>
              </w:rPr>
              <w:t>3</w:t>
            </w:r>
          </w:p>
          <w:p w14:paraId="2A11D917" w14:textId="4384094A" w:rsidR="00E95469" w:rsidRPr="000E13AF" w:rsidRDefault="00DC4B8C" w:rsidP="00E95469">
            <w:pPr>
              <w:pStyle w:val="ListParagraph"/>
              <w:numPr>
                <w:ilvl w:val="0"/>
                <w:numId w:val="21"/>
              </w:numPr>
              <w:spacing w:before="100"/>
              <w:ind w:left="284" w:hanging="284"/>
              <w:outlineLvl w:val="2"/>
              <w:rPr>
                <w:rFonts w:ascii="Calisto MT" w:hAnsi="Calisto MT" w:cs="Times New Roman"/>
                <w:b/>
                <w:bCs/>
                <w:i/>
                <w:color w:val="000000" w:themeColor="text1"/>
                <w:sz w:val="18"/>
                <w:szCs w:val="18"/>
              </w:rPr>
            </w:pPr>
            <w:r w:rsidRPr="000E13AF">
              <w:rPr>
                <w:rFonts w:ascii="Calisto MT" w:eastAsia="Times New Roman" w:hAnsi="Calisto MT" w:cs="Times New Roman"/>
                <w:i/>
                <w:iCs/>
                <w:sz w:val="18"/>
                <w:szCs w:val="18"/>
              </w:rPr>
              <w:t>(</w:t>
            </w:r>
            <w:r w:rsidR="000E13AF" w:rsidRPr="000E13AF">
              <w:rPr>
                <w:rFonts w:ascii="Calisto MT" w:eastAsia="Times New Roman" w:hAnsi="Calisto MT" w:cs="Times New Roman"/>
                <w:i/>
                <w:iCs/>
                <w:sz w:val="18"/>
                <w:szCs w:val="18"/>
              </w:rPr>
              <w:t>Megister kesehatan masyarakat</w:t>
            </w:r>
            <w:r w:rsidRPr="000E13AF">
              <w:rPr>
                <w:rFonts w:ascii="Calisto MT" w:eastAsia="Times New Roman" w:hAnsi="Calisto MT" w:cs="Times New Roman"/>
                <w:i/>
                <w:iCs/>
                <w:sz w:val="18"/>
                <w:szCs w:val="18"/>
              </w:rPr>
              <w:t xml:space="preserve">, Universitas Negeri Semarang, </w:t>
            </w:r>
            <w:r w:rsidRPr="000E13AF">
              <w:rPr>
                <w:rFonts w:ascii="Calisto MT" w:hAnsi="Calisto MT"/>
                <w:i/>
                <w:sz w:val="18"/>
                <w:szCs w:val="18"/>
              </w:rPr>
              <w:t xml:space="preserve">50237, </w:t>
            </w:r>
            <w:r w:rsidRPr="000E13AF">
              <w:rPr>
                <w:rFonts w:ascii="Calisto MT" w:eastAsia="Times New Roman" w:hAnsi="Calisto MT" w:cs="Times New Roman"/>
                <w:i/>
                <w:iCs/>
                <w:sz w:val="18"/>
                <w:szCs w:val="18"/>
              </w:rPr>
              <w:t xml:space="preserve">Indonesia, </w:t>
            </w:r>
            <w:r w:rsidR="00EF6DB1" w:rsidRPr="000E13AF">
              <w:rPr>
                <w:rFonts w:ascii="Calisto MT" w:eastAsia="Times New Roman" w:hAnsi="Calisto MT" w:cs="Times New Roman"/>
                <w:i/>
                <w:sz w:val="18"/>
                <w:szCs w:val="18"/>
                <w:u w:color="0000FF"/>
              </w:rPr>
              <w:t>dewirukmana737@students.unnes.ac.id</w:t>
            </w:r>
            <w:r w:rsidRPr="000E13AF">
              <w:rPr>
                <w:rFonts w:ascii="Calisto MT" w:hAnsi="Calisto MT"/>
                <w:i/>
                <w:sz w:val="18"/>
                <w:szCs w:val="18"/>
              </w:rPr>
              <w:t xml:space="preserve">) </w:t>
            </w:r>
          </w:p>
          <w:p w14:paraId="41D52DC9" w14:textId="098F3C23" w:rsidR="00E95469" w:rsidRPr="000E13AF" w:rsidRDefault="00DC4B8C" w:rsidP="00E95469">
            <w:pPr>
              <w:pStyle w:val="ListParagraph"/>
              <w:numPr>
                <w:ilvl w:val="0"/>
                <w:numId w:val="21"/>
              </w:numPr>
              <w:spacing w:before="100"/>
              <w:ind w:left="284" w:hanging="284"/>
              <w:outlineLvl w:val="2"/>
              <w:rPr>
                <w:rFonts w:ascii="Calisto MT" w:hAnsi="Calisto MT" w:cs="Times New Roman"/>
                <w:b/>
                <w:bCs/>
                <w:i/>
                <w:color w:val="000000" w:themeColor="text1"/>
                <w:sz w:val="18"/>
                <w:szCs w:val="18"/>
              </w:rPr>
            </w:pPr>
            <w:r w:rsidRPr="000E13AF">
              <w:rPr>
                <w:rFonts w:ascii="Calisto MT" w:eastAsia="Times New Roman" w:hAnsi="Calisto MT" w:cs="Times New Roman"/>
                <w:i/>
                <w:iCs/>
                <w:sz w:val="18"/>
                <w:szCs w:val="18"/>
              </w:rPr>
              <w:t>(</w:t>
            </w:r>
            <w:r w:rsidR="00E95469" w:rsidRPr="000E13AF">
              <w:rPr>
                <w:rFonts w:ascii="Calisto MT" w:eastAsia="Times New Roman" w:hAnsi="Calisto MT" w:cs="Times New Roman"/>
                <w:i/>
                <w:iCs/>
                <w:sz w:val="18"/>
                <w:szCs w:val="18"/>
              </w:rPr>
              <w:t>FIK-Kesehatan Masyarakat</w:t>
            </w:r>
            <w:r w:rsidRPr="000E13AF">
              <w:rPr>
                <w:rFonts w:ascii="Calisto MT" w:eastAsia="Times New Roman" w:hAnsi="Calisto MT" w:cs="Times New Roman"/>
                <w:i/>
                <w:iCs/>
                <w:sz w:val="18"/>
                <w:szCs w:val="18"/>
              </w:rPr>
              <w:t>, Un</w:t>
            </w:r>
            <w:r w:rsidR="00D90A5B" w:rsidRPr="000E13AF">
              <w:rPr>
                <w:rFonts w:ascii="Calisto MT" w:eastAsia="Times New Roman" w:hAnsi="Calisto MT" w:cs="Times New Roman"/>
                <w:i/>
                <w:iCs/>
                <w:sz w:val="18"/>
                <w:szCs w:val="18"/>
              </w:rPr>
              <w:t>iversitas Negeri Semarang, 50229</w:t>
            </w:r>
            <w:r w:rsidRPr="000E13AF">
              <w:rPr>
                <w:rFonts w:ascii="Calisto MT" w:eastAsia="Times New Roman" w:hAnsi="Calisto MT" w:cs="Times New Roman"/>
                <w:i/>
                <w:iCs/>
                <w:sz w:val="18"/>
                <w:szCs w:val="18"/>
              </w:rPr>
              <w:t xml:space="preserve">, Indonesia </w:t>
            </w:r>
            <w:r w:rsidR="00E95469" w:rsidRPr="000E13AF">
              <w:rPr>
                <w:rFonts w:ascii="Calisto MT" w:eastAsia="Times New Roman" w:hAnsi="Calisto MT" w:cs="Times New Roman"/>
                <w:i/>
                <w:iCs/>
                <w:sz w:val="18"/>
                <w:szCs w:val="18"/>
              </w:rPr>
              <w:t>mahalul.azam@mail.unnes.ac.id</w:t>
            </w:r>
            <w:r w:rsidRPr="000E13AF">
              <w:rPr>
                <w:rFonts w:ascii="Calisto MT" w:eastAsia="Times New Roman" w:hAnsi="Calisto MT" w:cs="Times New Roman"/>
                <w:i/>
                <w:iCs/>
                <w:sz w:val="18"/>
                <w:szCs w:val="18"/>
              </w:rPr>
              <w:t xml:space="preserve">) </w:t>
            </w:r>
          </w:p>
          <w:p w14:paraId="52032A90" w14:textId="5F56A867" w:rsidR="00DC4B8C" w:rsidRPr="000E13AF" w:rsidRDefault="00DC4B8C" w:rsidP="00E95469">
            <w:pPr>
              <w:pStyle w:val="ListParagraph"/>
              <w:numPr>
                <w:ilvl w:val="0"/>
                <w:numId w:val="21"/>
              </w:numPr>
              <w:spacing w:before="100"/>
              <w:ind w:left="284" w:hanging="284"/>
              <w:outlineLvl w:val="2"/>
              <w:rPr>
                <w:rStyle w:val="Hyperlink"/>
                <w:rFonts w:ascii="Calisto MT" w:hAnsi="Calisto MT" w:cs="Times New Roman"/>
                <w:b/>
                <w:bCs/>
                <w:i/>
                <w:color w:val="auto"/>
                <w:sz w:val="18"/>
                <w:szCs w:val="18"/>
                <w:u w:val="none"/>
              </w:rPr>
            </w:pPr>
            <w:r w:rsidRPr="000E13AF">
              <w:rPr>
                <w:rFonts w:ascii="Calisto MT" w:eastAsia="Times New Roman" w:hAnsi="Calisto MT" w:cs="Times New Roman"/>
                <w:i/>
                <w:iCs/>
                <w:sz w:val="18"/>
                <w:szCs w:val="18"/>
              </w:rPr>
              <w:t>(</w:t>
            </w:r>
            <w:r w:rsidR="00D90A5B" w:rsidRPr="000E13AF">
              <w:rPr>
                <w:rFonts w:ascii="Calisto MT" w:eastAsia="Times New Roman" w:hAnsi="Calisto MT" w:cs="Times New Roman"/>
                <w:i/>
                <w:iCs/>
                <w:sz w:val="18"/>
                <w:szCs w:val="18"/>
              </w:rPr>
              <w:t>FIK-Kesehatan Masyarakat</w:t>
            </w:r>
            <w:r w:rsidRPr="000E13AF">
              <w:rPr>
                <w:rFonts w:ascii="Calisto MT" w:eastAsia="Times New Roman" w:hAnsi="Calisto MT" w:cs="Times New Roman"/>
                <w:i/>
                <w:iCs/>
                <w:sz w:val="18"/>
                <w:szCs w:val="18"/>
              </w:rPr>
              <w:t>, Universitas Negeri Semarang,</w:t>
            </w:r>
            <w:proofErr w:type="gramStart"/>
            <w:r w:rsidR="00D90A5B" w:rsidRPr="000E13AF">
              <w:rPr>
                <w:rFonts w:ascii="Calisto MT" w:eastAsia="Times New Roman" w:hAnsi="Calisto MT" w:cs="Times New Roman"/>
                <w:i/>
                <w:iCs/>
                <w:sz w:val="18"/>
                <w:szCs w:val="18"/>
                <w:lang w:val="id-ID"/>
              </w:rPr>
              <w:t>50229</w:t>
            </w:r>
            <w:r w:rsidRPr="000E13AF">
              <w:rPr>
                <w:rFonts w:ascii="Calisto MT" w:eastAsia="Times New Roman" w:hAnsi="Calisto MT" w:cs="Times New Roman"/>
                <w:i/>
                <w:iCs/>
                <w:sz w:val="18"/>
                <w:szCs w:val="18"/>
              </w:rPr>
              <w:t>,  Indonesia</w:t>
            </w:r>
            <w:proofErr w:type="gramEnd"/>
            <w:r w:rsidRPr="000E13AF">
              <w:rPr>
                <w:rFonts w:ascii="Calisto MT" w:eastAsia="Times New Roman" w:hAnsi="Calisto MT" w:cs="Times New Roman"/>
                <w:i/>
                <w:iCs/>
                <w:sz w:val="18"/>
                <w:szCs w:val="18"/>
              </w:rPr>
              <w:t xml:space="preserve">, </w:t>
            </w:r>
            <w:r w:rsidR="00E95469" w:rsidRPr="000E13AF">
              <w:rPr>
                <w:rFonts w:ascii="Calisto MT" w:eastAsia="Times New Roman" w:hAnsi="Calisto MT" w:cs="Times New Roman"/>
                <w:i/>
                <w:iCs/>
                <w:sz w:val="18"/>
                <w:szCs w:val="18"/>
              </w:rPr>
              <w:t>e_farida@mail.unnes.ac.id</w:t>
            </w:r>
            <w:r w:rsidRPr="000E13AF">
              <w:rPr>
                <w:rStyle w:val="Hyperlink"/>
                <w:rFonts w:ascii="Calisto MT" w:eastAsia="Times New Roman" w:hAnsi="Calisto MT" w:cs="Times New Roman"/>
                <w:i/>
                <w:color w:val="auto"/>
                <w:sz w:val="18"/>
                <w:szCs w:val="18"/>
              </w:rPr>
              <w:t>).</w:t>
            </w:r>
          </w:p>
          <w:p w14:paraId="6F7DC367" w14:textId="527A4522" w:rsidR="00CC4CF4" w:rsidRPr="003976D6" w:rsidRDefault="00CC4CF4" w:rsidP="000E13AF">
            <w:pPr>
              <w:ind w:firstLine="0"/>
              <w:jc w:val="left"/>
              <w:rPr>
                <w:rFonts w:ascii="Calisto MT" w:hAnsi="Calisto MT" w:cs="Times New Roman"/>
              </w:rPr>
            </w:pPr>
          </w:p>
        </w:tc>
      </w:tr>
      <w:tr w:rsidR="0048529F" w:rsidRPr="00A90BD0" w14:paraId="35D8233C" w14:textId="77777777" w:rsidTr="00E54B7B">
        <w:tc>
          <w:tcPr>
            <w:tcW w:w="1985" w:type="dxa"/>
            <w:gridSpan w:val="2"/>
            <w:tcBorders>
              <w:top w:val="single" w:sz="4" w:space="0" w:color="auto"/>
              <w:bottom w:val="single" w:sz="4" w:space="0" w:color="auto"/>
            </w:tcBorders>
          </w:tcPr>
          <w:p w14:paraId="0D126EA7" w14:textId="77777777" w:rsidR="007918C5" w:rsidRPr="00825D6E" w:rsidRDefault="007918C5" w:rsidP="007918C5">
            <w:pPr>
              <w:pStyle w:val="BasicParagraph"/>
              <w:spacing w:line="240" w:lineRule="auto"/>
              <w:rPr>
                <w:rFonts w:cs="Times New Roman"/>
                <w:position w:val="-18"/>
                <w:lang w:val="id-ID"/>
              </w:rPr>
            </w:pPr>
            <w:r>
              <w:rPr>
                <w:rFonts w:cs="Times New Roman"/>
                <w:b/>
                <w:bCs/>
                <w:position w:val="-20"/>
                <w:sz w:val="22"/>
                <w:szCs w:val="22"/>
                <w:lang w:val="id-ID"/>
              </w:rPr>
              <w:t>Article Info</w:t>
            </w:r>
          </w:p>
          <w:p w14:paraId="172BB0AC" w14:textId="77777777" w:rsidR="0048529F" w:rsidRPr="00A90BD0" w:rsidRDefault="0048529F" w:rsidP="000E13AF">
            <w:pPr>
              <w:pStyle w:val="BasicParagraph"/>
              <w:spacing w:line="276" w:lineRule="auto"/>
              <w:ind w:firstLine="62"/>
              <w:rPr>
                <w:rFonts w:cs="Times New Roman"/>
              </w:rPr>
            </w:pPr>
            <w:r w:rsidRPr="00A90BD0">
              <w:rPr>
                <w:rFonts w:cs="Times New Roman"/>
              </w:rPr>
              <w:t>________________</w:t>
            </w:r>
          </w:p>
          <w:p w14:paraId="02256C36" w14:textId="77777777" w:rsidR="00767F25" w:rsidRPr="00767F25" w:rsidRDefault="00767F25" w:rsidP="000E13AF">
            <w:pPr>
              <w:pStyle w:val="BasicParagraph"/>
              <w:ind w:firstLine="0"/>
              <w:rPr>
                <w:iCs/>
                <w:position w:val="-6"/>
                <w:sz w:val="18"/>
                <w:szCs w:val="18"/>
                <w:lang w:val="id-ID"/>
              </w:rPr>
            </w:pPr>
            <w:r w:rsidRPr="00767F25">
              <w:rPr>
                <w:iCs/>
                <w:position w:val="-6"/>
                <w:sz w:val="18"/>
                <w:szCs w:val="18"/>
                <w:lang w:val="id-ID"/>
              </w:rPr>
              <w:t>Article History:</w:t>
            </w:r>
          </w:p>
          <w:p w14:paraId="6D39C5BE" w14:textId="6F8E00BB" w:rsidR="00767F25" w:rsidRPr="00767F25" w:rsidRDefault="00767F25" w:rsidP="000E13AF">
            <w:pPr>
              <w:pStyle w:val="BasicParagraph"/>
              <w:ind w:firstLine="0"/>
              <w:rPr>
                <w:iCs/>
                <w:position w:val="-6"/>
                <w:sz w:val="18"/>
                <w:szCs w:val="18"/>
                <w:lang w:val="id-ID"/>
              </w:rPr>
            </w:pPr>
            <w:r w:rsidRPr="00767F25">
              <w:rPr>
                <w:iCs/>
                <w:position w:val="-6"/>
                <w:sz w:val="18"/>
                <w:szCs w:val="18"/>
                <w:lang w:val="id-ID"/>
              </w:rPr>
              <w:t xml:space="preserve">Recived </w:t>
            </w:r>
            <w:r w:rsidR="000E13AF">
              <w:rPr>
                <w:iCs/>
                <w:position w:val="-6"/>
                <w:sz w:val="18"/>
                <w:szCs w:val="18"/>
                <w:lang w:val="en-US"/>
              </w:rPr>
              <w:t xml:space="preserve"> </w:t>
            </w:r>
            <w:r w:rsidRPr="00767F25">
              <w:rPr>
                <w:iCs/>
                <w:position w:val="-6"/>
                <w:sz w:val="18"/>
                <w:szCs w:val="18"/>
                <w:lang w:val="id-ID"/>
              </w:rPr>
              <w:t xml:space="preserve">Accepted </w:t>
            </w:r>
          </w:p>
          <w:p w14:paraId="5C63FA7D" w14:textId="22AA1663" w:rsidR="00767F25" w:rsidRPr="00767F25" w:rsidRDefault="00767F25" w:rsidP="000E13AF">
            <w:pPr>
              <w:pStyle w:val="BasicParagraph"/>
              <w:ind w:firstLine="0"/>
              <w:rPr>
                <w:iCs/>
                <w:position w:val="-6"/>
                <w:sz w:val="18"/>
                <w:szCs w:val="18"/>
                <w:lang w:val="id-ID"/>
              </w:rPr>
            </w:pPr>
            <w:r w:rsidRPr="00767F25">
              <w:rPr>
                <w:iCs/>
                <w:position w:val="-6"/>
                <w:sz w:val="18"/>
                <w:szCs w:val="18"/>
                <w:lang w:val="id-ID"/>
              </w:rPr>
              <w:t xml:space="preserve">Published </w:t>
            </w:r>
          </w:p>
          <w:p w14:paraId="028D7FFB" w14:textId="77777777" w:rsidR="007918C5" w:rsidRPr="00D711FC" w:rsidRDefault="007918C5" w:rsidP="000E4826">
            <w:pPr>
              <w:pStyle w:val="BasicParagraph"/>
              <w:spacing w:line="276" w:lineRule="auto"/>
              <w:rPr>
                <w:position w:val="-6"/>
                <w:sz w:val="18"/>
                <w:szCs w:val="18"/>
              </w:rPr>
            </w:pPr>
          </w:p>
          <w:p w14:paraId="0973693F" w14:textId="77777777" w:rsidR="0048529F" w:rsidRPr="00D711FC" w:rsidRDefault="0048529F" w:rsidP="000E13AF">
            <w:pPr>
              <w:pStyle w:val="BasicParagraph"/>
              <w:spacing w:line="276" w:lineRule="auto"/>
              <w:ind w:firstLine="62"/>
              <w:rPr>
                <w:rFonts w:cs="Times New Roman"/>
                <w:sz w:val="18"/>
                <w:szCs w:val="18"/>
              </w:rPr>
            </w:pPr>
            <w:r w:rsidRPr="00D711FC">
              <w:rPr>
                <w:rFonts w:cs="Times New Roman"/>
                <w:sz w:val="18"/>
                <w:szCs w:val="18"/>
              </w:rPr>
              <w:t>________________</w:t>
            </w:r>
          </w:p>
          <w:p w14:paraId="34D42BD6" w14:textId="5F6AAA53" w:rsidR="0048529F" w:rsidRPr="00D03F61" w:rsidRDefault="00D03F61" w:rsidP="000E13AF">
            <w:pPr>
              <w:pStyle w:val="BasicParagraph"/>
              <w:spacing w:line="276" w:lineRule="auto"/>
              <w:ind w:firstLine="0"/>
              <w:rPr>
                <w:rFonts w:cs="Times New Roman"/>
                <w:iCs/>
                <w:sz w:val="18"/>
                <w:szCs w:val="18"/>
              </w:rPr>
            </w:pPr>
            <w:r>
              <w:rPr>
                <w:rFonts w:cs="Times New Roman"/>
                <w:iCs/>
                <w:sz w:val="18"/>
                <w:szCs w:val="18"/>
              </w:rPr>
              <w:t xml:space="preserve">Penyakit ginjal kronis, anemia, hemodialisa, </w:t>
            </w:r>
            <w:r w:rsidR="0048529F" w:rsidRPr="00A90BD0">
              <w:rPr>
                <w:rFonts w:cs="Times New Roman"/>
                <w:sz w:val="16"/>
                <w:szCs w:val="16"/>
              </w:rPr>
              <w:t>____________________</w:t>
            </w:r>
          </w:p>
          <w:p w14:paraId="35B9B9C2" w14:textId="1A7C7D00" w:rsidR="00832066" w:rsidRPr="00BA6915" w:rsidRDefault="00832066" w:rsidP="00D57073">
            <w:pPr>
              <w:pStyle w:val="BasicParagraph"/>
              <w:spacing w:line="276" w:lineRule="auto"/>
              <w:rPr>
                <w:rFonts w:cs="Times New Roman"/>
                <w:i/>
                <w:sz w:val="16"/>
                <w:szCs w:val="16"/>
                <w:lang w:val="en-US"/>
              </w:rPr>
            </w:pPr>
            <w:bookmarkStart w:id="0" w:name="_GoBack"/>
            <w:bookmarkEnd w:id="0"/>
          </w:p>
        </w:tc>
        <w:tc>
          <w:tcPr>
            <w:tcW w:w="6920" w:type="dxa"/>
            <w:gridSpan w:val="3"/>
            <w:tcBorders>
              <w:top w:val="single" w:sz="4" w:space="0" w:color="auto"/>
              <w:bottom w:val="single" w:sz="4" w:space="0" w:color="auto"/>
            </w:tcBorders>
          </w:tcPr>
          <w:p w14:paraId="3118160A" w14:textId="77777777" w:rsidR="0048529F" w:rsidRPr="00857563" w:rsidRDefault="004F6E63" w:rsidP="00B27F35">
            <w:pPr>
              <w:pStyle w:val="BasicParagraph"/>
              <w:suppressAutoHyphens/>
              <w:spacing w:line="276" w:lineRule="auto"/>
              <w:rPr>
                <w:rFonts w:cs="Times New Roman"/>
                <w:sz w:val="22"/>
                <w:szCs w:val="22"/>
              </w:rPr>
            </w:pPr>
            <w:r w:rsidRPr="00857563">
              <w:rPr>
                <w:rFonts w:cs="Times New Roman"/>
                <w:b/>
                <w:bCs/>
                <w:position w:val="-18"/>
                <w:sz w:val="22"/>
                <w:szCs w:val="22"/>
              </w:rPr>
              <w:t>Abstract</w:t>
            </w:r>
          </w:p>
          <w:p w14:paraId="0412559A" w14:textId="77777777" w:rsidR="0048529F" w:rsidRPr="00D711FC" w:rsidRDefault="0048529F" w:rsidP="000E13AF">
            <w:pPr>
              <w:pStyle w:val="AbstakIndo"/>
              <w:suppressAutoHyphens/>
              <w:spacing w:line="276" w:lineRule="auto"/>
              <w:ind w:firstLine="0"/>
              <w:rPr>
                <w:rFonts w:ascii="Calisto MT" w:hAnsi="Calisto MT" w:cs="Times New Roman"/>
              </w:rPr>
            </w:pPr>
            <w:r w:rsidRPr="00D711FC">
              <w:rPr>
                <w:rFonts w:ascii="Calisto MT" w:hAnsi="Calisto MT" w:cs="Times New Roman"/>
              </w:rPr>
              <w:t>___________________________________________________________________</w:t>
            </w:r>
          </w:p>
          <w:p w14:paraId="326A5F56" w14:textId="33E3A947" w:rsidR="00582DD3" w:rsidRPr="008372DC" w:rsidRDefault="008372DC" w:rsidP="008A22FE">
            <w:pPr>
              <w:autoSpaceDE w:val="0"/>
              <w:autoSpaceDN w:val="0"/>
              <w:adjustRightInd w:val="0"/>
              <w:spacing w:line="276" w:lineRule="auto"/>
              <w:ind w:firstLine="0"/>
              <w:outlineLvl w:val="0"/>
              <w:rPr>
                <w:rFonts w:ascii="Times New Roman" w:eastAsia="Times New Roman" w:hAnsi="Times New Roman" w:cs="Times New Roman"/>
                <w:bCs/>
                <w:sz w:val="20"/>
                <w:szCs w:val="20"/>
              </w:rPr>
            </w:pPr>
            <w:r>
              <w:rPr>
                <w:rFonts w:ascii="Times New Roman" w:hAnsi="Times New Roman" w:cs="Times New Roman"/>
                <w:sz w:val="20"/>
                <w:szCs w:val="20"/>
                <w:lang w:val="id"/>
              </w:rPr>
              <w:t>Anemia terjadi pada</w:t>
            </w:r>
            <w:r w:rsidR="006E0D54" w:rsidRPr="00D03F61">
              <w:rPr>
                <w:rFonts w:ascii="Times New Roman" w:hAnsi="Times New Roman" w:cs="Times New Roman"/>
                <w:sz w:val="20"/>
                <w:szCs w:val="20"/>
                <w:lang w:val="id"/>
              </w:rPr>
              <w:t xml:space="preserve"> pa</w:t>
            </w:r>
            <w:r>
              <w:rPr>
                <w:rFonts w:ascii="Times New Roman" w:hAnsi="Times New Roman" w:cs="Times New Roman"/>
                <w:sz w:val="20"/>
                <w:szCs w:val="20"/>
              </w:rPr>
              <w:t>s</w:t>
            </w:r>
            <w:r w:rsidR="006E0D54" w:rsidRPr="00D03F61">
              <w:rPr>
                <w:rFonts w:ascii="Times New Roman" w:hAnsi="Times New Roman" w:cs="Times New Roman"/>
                <w:sz w:val="20"/>
                <w:szCs w:val="20"/>
                <w:lang w:val="id"/>
              </w:rPr>
              <w:t>ien penyakit ginjal kr</w:t>
            </w:r>
            <w:r w:rsidR="00AB396F">
              <w:rPr>
                <w:rFonts w:ascii="Times New Roman" w:hAnsi="Times New Roman" w:cs="Times New Roman"/>
                <w:sz w:val="20"/>
                <w:szCs w:val="20"/>
                <w:lang w:val="id"/>
              </w:rPr>
              <w:t xml:space="preserve">onis </w:t>
            </w:r>
            <w:r w:rsidR="00AB396F">
              <w:rPr>
                <w:rFonts w:ascii="Times New Roman" w:hAnsi="Times New Roman" w:cs="Times New Roman"/>
                <w:sz w:val="20"/>
                <w:szCs w:val="20"/>
              </w:rPr>
              <w:t xml:space="preserve">dapat dicegah </w:t>
            </w:r>
            <w:r>
              <w:rPr>
                <w:rFonts w:ascii="Times New Roman" w:hAnsi="Times New Roman" w:cs="Times New Roman"/>
                <w:sz w:val="20"/>
                <w:szCs w:val="20"/>
                <w:lang w:val="id"/>
              </w:rPr>
              <w:t xml:space="preserve">dengan </w:t>
            </w:r>
            <w:r w:rsidR="006E0D54" w:rsidRPr="00D03F61">
              <w:rPr>
                <w:rFonts w:ascii="Times New Roman" w:hAnsi="Times New Roman" w:cs="Times New Roman"/>
                <w:sz w:val="20"/>
                <w:szCs w:val="20"/>
                <w:lang w:val="id"/>
              </w:rPr>
              <w:t>konsumsi eritropoietin</w:t>
            </w:r>
            <w:r w:rsidR="00AB396F">
              <w:rPr>
                <w:rFonts w:ascii="Times New Roman" w:hAnsi="Times New Roman" w:cs="Times New Roman"/>
                <w:sz w:val="20"/>
                <w:szCs w:val="20"/>
              </w:rPr>
              <w:t xml:space="preserve"> (EPO)</w:t>
            </w:r>
            <w:r w:rsidR="006E0D54" w:rsidRPr="00D03F61">
              <w:rPr>
                <w:rFonts w:ascii="Times New Roman" w:hAnsi="Times New Roman" w:cs="Times New Roman"/>
                <w:sz w:val="20"/>
                <w:szCs w:val="20"/>
                <w:lang w:val="id"/>
              </w:rPr>
              <w:t xml:space="preserve">. </w:t>
            </w:r>
            <w:r w:rsidR="00BC292C" w:rsidRPr="00D03F61">
              <w:rPr>
                <w:rFonts w:ascii="Times New Roman" w:hAnsi="Times New Roman" w:cs="Times New Roman"/>
                <w:color w:val="000000"/>
                <w:sz w:val="20"/>
                <w:szCs w:val="20"/>
                <w:lang w:val="id"/>
              </w:rPr>
              <w:t>Penyakit g</w:t>
            </w:r>
            <w:r w:rsidR="00BC292C">
              <w:rPr>
                <w:rFonts w:ascii="Times New Roman" w:hAnsi="Times New Roman" w:cs="Times New Roman"/>
                <w:color w:val="000000"/>
                <w:sz w:val="20"/>
                <w:szCs w:val="20"/>
                <w:lang w:val="id"/>
              </w:rPr>
              <w:t>injal kronis (PGK) adalah</w:t>
            </w:r>
            <w:r w:rsidR="00BC292C" w:rsidRPr="00D03F61">
              <w:rPr>
                <w:rFonts w:ascii="Times New Roman" w:hAnsi="Times New Roman" w:cs="Times New Roman"/>
                <w:color w:val="000000"/>
                <w:sz w:val="20"/>
                <w:szCs w:val="20"/>
                <w:lang w:val="id"/>
              </w:rPr>
              <w:t xml:space="preserve"> suatu Epidemi Global dengan perkiraan prevalensi 14% di Amerika Serikat dan 5% di seluruh dunia</w:t>
            </w:r>
            <w:r w:rsidR="00BC292C" w:rsidRPr="00D03F61">
              <w:rPr>
                <w:rFonts w:ascii="Times New Roman" w:eastAsia="Times New Roman" w:hAnsi="Times New Roman" w:cs="Times New Roman"/>
                <w:sz w:val="20"/>
                <w:szCs w:val="20"/>
                <w:lang w:val="id"/>
              </w:rPr>
              <w:t xml:space="preserve">. </w:t>
            </w:r>
            <w:r w:rsidR="00857CA8" w:rsidRPr="00D03F61">
              <w:rPr>
                <w:rFonts w:ascii="Times New Roman" w:hAnsi="Times New Roman" w:cs="Times New Roman"/>
                <w:sz w:val="20"/>
                <w:szCs w:val="20"/>
              </w:rPr>
              <w:t xml:space="preserve">Tujuan penelitian </w:t>
            </w:r>
            <w:r w:rsidR="00857CA8" w:rsidRPr="00D03F61">
              <w:rPr>
                <w:rFonts w:ascii="Times New Roman" w:hAnsi="Times New Roman" w:cs="Times New Roman"/>
                <w:sz w:val="20"/>
                <w:szCs w:val="20"/>
                <w:lang w:val="id"/>
              </w:rPr>
              <w:t xml:space="preserve">Menganalisis faktor-faktor yang mempengaruhi kejadian anemia melalui </w:t>
            </w:r>
            <w:r w:rsidR="00AB396F">
              <w:rPr>
                <w:rFonts w:ascii="Times New Roman" w:hAnsi="Times New Roman" w:cs="Times New Roman"/>
                <w:sz w:val="20"/>
                <w:szCs w:val="20"/>
              </w:rPr>
              <w:t xml:space="preserve">konsumsi </w:t>
            </w:r>
            <w:r w:rsidR="00AB396F">
              <w:rPr>
                <w:rFonts w:ascii="Times New Roman" w:hAnsi="Times New Roman" w:cs="Times New Roman"/>
                <w:sz w:val="20"/>
                <w:szCs w:val="20"/>
                <w:lang w:val="id"/>
              </w:rPr>
              <w:t xml:space="preserve">Eritropoietin </w:t>
            </w:r>
            <w:r w:rsidR="00AB396F">
              <w:rPr>
                <w:rFonts w:ascii="Times New Roman" w:hAnsi="Times New Roman" w:cs="Times New Roman"/>
                <w:sz w:val="20"/>
                <w:szCs w:val="20"/>
              </w:rPr>
              <w:t>(EPO)</w:t>
            </w:r>
            <w:r w:rsidR="00857CA8" w:rsidRPr="00D03F61">
              <w:rPr>
                <w:rFonts w:ascii="Times New Roman" w:hAnsi="Times New Roman" w:cs="Times New Roman"/>
                <w:sz w:val="20"/>
                <w:szCs w:val="20"/>
                <w:lang w:val="id"/>
              </w:rPr>
              <w:t xml:space="preserve"> pada pasien penyakit ginjal kronis yang menjalani hemodialisa di RS Islam Sultan Agung Semarang</w:t>
            </w:r>
            <w:r w:rsidR="00857CA8" w:rsidRPr="00D03F61">
              <w:rPr>
                <w:rFonts w:ascii="Times New Roman" w:hAnsi="Times New Roman" w:cs="Times New Roman"/>
                <w:sz w:val="20"/>
                <w:szCs w:val="20"/>
              </w:rPr>
              <w:t xml:space="preserve">. Metode penelitian </w:t>
            </w:r>
            <w:r w:rsidR="00857CA8" w:rsidRPr="00D03F61">
              <w:rPr>
                <w:rFonts w:ascii="Times New Roman" w:hAnsi="Times New Roman" w:cs="Times New Roman"/>
                <w:sz w:val="20"/>
                <w:szCs w:val="20"/>
                <w:lang w:val="id"/>
              </w:rPr>
              <w:t xml:space="preserve">observasi analitik menggunakan desain </w:t>
            </w:r>
            <w:r w:rsidR="00857CA8" w:rsidRPr="00D03F61">
              <w:rPr>
                <w:rFonts w:ascii="Times New Roman" w:hAnsi="Times New Roman" w:cs="Times New Roman"/>
                <w:i/>
                <w:sz w:val="20"/>
                <w:szCs w:val="20"/>
                <w:lang w:val="id"/>
              </w:rPr>
              <w:t>Cross Sectional</w:t>
            </w:r>
            <w:r w:rsidR="00AB396F">
              <w:rPr>
                <w:rFonts w:ascii="Times New Roman" w:hAnsi="Times New Roman" w:cs="Times New Roman"/>
                <w:i/>
                <w:sz w:val="20"/>
                <w:szCs w:val="20"/>
              </w:rPr>
              <w:t>.</w:t>
            </w:r>
            <w:r w:rsidR="00857CA8" w:rsidRPr="00D03F61">
              <w:rPr>
                <w:rFonts w:ascii="Times New Roman" w:hAnsi="Times New Roman" w:cs="Times New Roman"/>
                <w:i/>
                <w:sz w:val="20"/>
                <w:szCs w:val="20"/>
                <w:lang w:val="id"/>
              </w:rPr>
              <w:t xml:space="preserve"> </w:t>
            </w:r>
            <w:r w:rsidR="00AB396F">
              <w:rPr>
                <w:rFonts w:ascii="Times New Roman" w:hAnsi="Times New Roman" w:cs="Times New Roman"/>
                <w:sz w:val="20"/>
                <w:szCs w:val="20"/>
              </w:rPr>
              <w:t>P</w:t>
            </w:r>
            <w:r>
              <w:rPr>
                <w:rFonts w:ascii="Times New Roman" w:hAnsi="Times New Roman" w:cs="Times New Roman"/>
                <w:sz w:val="20"/>
                <w:szCs w:val="20"/>
              </w:rPr>
              <w:t>opulasi</w:t>
            </w:r>
            <w:r w:rsidR="00BC292C">
              <w:rPr>
                <w:rFonts w:ascii="Times New Roman" w:hAnsi="Times New Roman" w:cs="Times New Roman"/>
                <w:sz w:val="20"/>
                <w:szCs w:val="20"/>
              </w:rPr>
              <w:t xml:space="preserve"> dan sampel dalam penelitian ini </w:t>
            </w:r>
            <w:r w:rsidR="00857CA8" w:rsidRPr="00D03F61">
              <w:rPr>
                <w:rFonts w:ascii="Times New Roman" w:hAnsi="Times New Roman" w:cs="Times New Roman"/>
                <w:sz w:val="20"/>
                <w:szCs w:val="20"/>
              </w:rPr>
              <w:t>s</w:t>
            </w:r>
            <w:r>
              <w:rPr>
                <w:rFonts w:ascii="Times New Roman" w:hAnsi="Times New Roman" w:cs="Times New Roman"/>
                <w:sz w:val="20"/>
                <w:szCs w:val="20"/>
              </w:rPr>
              <w:t>ebanyak 162 orang</w:t>
            </w:r>
            <w:r w:rsidR="00857CA8" w:rsidRPr="00D03F61">
              <w:rPr>
                <w:rFonts w:ascii="Times New Roman" w:hAnsi="Times New Roman" w:cs="Times New Roman"/>
                <w:sz w:val="20"/>
                <w:szCs w:val="20"/>
              </w:rPr>
              <w:t xml:space="preserve">. Tehnik </w:t>
            </w:r>
            <w:r>
              <w:rPr>
                <w:rFonts w:ascii="Times New Roman" w:hAnsi="Times New Roman" w:cs="Times New Roman"/>
                <w:sz w:val="20"/>
                <w:szCs w:val="20"/>
              </w:rPr>
              <w:t xml:space="preserve">sampel menggunakan </w:t>
            </w:r>
            <w:r w:rsidR="00857CA8" w:rsidRPr="00D03F61">
              <w:rPr>
                <w:rFonts w:ascii="Times New Roman" w:hAnsi="Times New Roman" w:cs="Times New Roman"/>
                <w:sz w:val="20"/>
                <w:szCs w:val="20"/>
              </w:rPr>
              <w:t xml:space="preserve">total sampling. </w:t>
            </w:r>
            <w:r>
              <w:rPr>
                <w:rFonts w:ascii="Times New Roman" w:hAnsi="Times New Roman" w:cs="Times New Roman"/>
                <w:sz w:val="20"/>
                <w:szCs w:val="20"/>
              </w:rPr>
              <w:t>H</w:t>
            </w:r>
            <w:r w:rsidR="00857CA8" w:rsidRPr="00D03F61">
              <w:rPr>
                <w:rFonts w:ascii="Times New Roman" w:hAnsi="Times New Roman" w:cs="Times New Roman"/>
                <w:sz w:val="20"/>
                <w:szCs w:val="20"/>
              </w:rPr>
              <w:t xml:space="preserve">asil uji </w:t>
            </w:r>
            <w:r w:rsidR="000C57D9" w:rsidRPr="00D03F61">
              <w:rPr>
                <w:rFonts w:ascii="Times New Roman" w:hAnsi="Times New Roman" w:cs="Times New Roman"/>
                <w:sz w:val="20"/>
                <w:szCs w:val="20"/>
              </w:rPr>
              <w:t>statistik</w:t>
            </w:r>
            <w:r w:rsidR="00857CA8" w:rsidRPr="00D03F61">
              <w:rPr>
                <w:rFonts w:ascii="Times New Roman" w:hAnsi="Times New Roman" w:cs="Times New Roman"/>
                <w:sz w:val="20"/>
                <w:szCs w:val="20"/>
              </w:rPr>
              <w:t xml:space="preserve"> menggun</w:t>
            </w:r>
            <w:r>
              <w:rPr>
                <w:rFonts w:ascii="Times New Roman" w:hAnsi="Times New Roman" w:cs="Times New Roman"/>
                <w:sz w:val="20"/>
                <w:szCs w:val="20"/>
              </w:rPr>
              <w:t xml:space="preserve">akan path analisysis terdapat </w:t>
            </w:r>
            <w:r w:rsidR="00152287" w:rsidRPr="00D03F61">
              <w:rPr>
                <w:rFonts w:ascii="Times New Roman" w:hAnsi="Times New Roman" w:cs="Times New Roman"/>
                <w:sz w:val="20"/>
                <w:szCs w:val="20"/>
              </w:rPr>
              <w:t xml:space="preserve">pengaruh </w:t>
            </w:r>
            <w:proofErr w:type="gramStart"/>
            <w:r w:rsidR="00152287" w:rsidRPr="00D03F61">
              <w:rPr>
                <w:rFonts w:ascii="Times New Roman" w:hAnsi="Times New Roman" w:cs="Times New Roman"/>
                <w:sz w:val="20"/>
                <w:szCs w:val="20"/>
              </w:rPr>
              <w:t xml:space="preserve">langsung </w:t>
            </w:r>
            <w:r w:rsidR="00BC292C">
              <w:rPr>
                <w:rFonts w:ascii="Times New Roman" w:hAnsi="Times New Roman" w:cs="Times New Roman"/>
                <w:sz w:val="20"/>
                <w:szCs w:val="20"/>
              </w:rPr>
              <w:t xml:space="preserve"> dengan</w:t>
            </w:r>
            <w:proofErr w:type="gramEnd"/>
            <w:r w:rsidR="00BC292C">
              <w:rPr>
                <w:rFonts w:ascii="Times New Roman" w:hAnsi="Times New Roman" w:cs="Times New Roman"/>
                <w:sz w:val="20"/>
                <w:szCs w:val="20"/>
              </w:rPr>
              <w:t xml:space="preserve"> nilai signifikan </w:t>
            </w:r>
            <w:r w:rsidR="002352AE">
              <w:rPr>
                <w:rFonts w:ascii="Times New Roman" w:hAnsi="Times New Roman" w:cs="Times New Roman"/>
                <w:sz w:val="20"/>
                <w:szCs w:val="20"/>
              </w:rPr>
              <w:t xml:space="preserve">yaitu </w:t>
            </w:r>
            <w:r w:rsidR="00857CA8" w:rsidRPr="00D03F61">
              <w:rPr>
                <w:rFonts w:ascii="Times New Roman" w:hAnsi="Times New Roman" w:cs="Times New Roman"/>
                <w:sz w:val="20"/>
                <w:szCs w:val="20"/>
              </w:rPr>
              <w:t>Eritropoieti</w:t>
            </w:r>
            <w:r>
              <w:rPr>
                <w:rFonts w:ascii="Times New Roman" w:hAnsi="Times New Roman" w:cs="Times New Roman"/>
                <w:sz w:val="20"/>
                <w:szCs w:val="20"/>
              </w:rPr>
              <w:t>n (EPO), penyakit penyerta</w:t>
            </w:r>
            <w:r w:rsidR="00857CA8" w:rsidRPr="00D03F61">
              <w:rPr>
                <w:rFonts w:ascii="Times New Roman" w:hAnsi="Times New Roman" w:cs="Times New Roman"/>
                <w:sz w:val="20"/>
                <w:szCs w:val="20"/>
              </w:rPr>
              <w:t xml:space="preserve">, </w:t>
            </w:r>
            <w:r w:rsidR="002352AE">
              <w:rPr>
                <w:rFonts w:ascii="Times New Roman" w:hAnsi="Times New Roman" w:cs="Times New Roman"/>
                <w:sz w:val="20"/>
                <w:szCs w:val="20"/>
              </w:rPr>
              <w:t xml:space="preserve">kreatinin dan ureum kemudian nilai tidak signifikan dukungan keluarga, tingkat kepatuhan dan </w:t>
            </w:r>
            <w:r w:rsidR="000C57D9" w:rsidRPr="00D03F61">
              <w:rPr>
                <w:rFonts w:ascii="Times New Roman" w:hAnsi="Times New Roman" w:cs="Times New Roman"/>
                <w:sz w:val="20"/>
                <w:szCs w:val="20"/>
              </w:rPr>
              <w:t>ting</w:t>
            </w:r>
            <w:r w:rsidR="002352AE">
              <w:rPr>
                <w:rFonts w:ascii="Times New Roman" w:hAnsi="Times New Roman" w:cs="Times New Roman"/>
                <w:sz w:val="20"/>
                <w:szCs w:val="20"/>
              </w:rPr>
              <w:t>kat pengetahuan</w:t>
            </w:r>
            <w:r w:rsidR="000C57D9" w:rsidRPr="00D03F61">
              <w:rPr>
                <w:rFonts w:ascii="Times New Roman" w:hAnsi="Times New Roman" w:cs="Times New Roman"/>
                <w:sz w:val="20"/>
                <w:szCs w:val="20"/>
              </w:rPr>
              <w:t xml:space="preserve">. </w:t>
            </w:r>
            <w:r w:rsidR="00AB396F">
              <w:rPr>
                <w:rFonts w:ascii="Times New Roman" w:hAnsi="Times New Roman" w:cs="Times New Roman"/>
                <w:sz w:val="20"/>
                <w:szCs w:val="20"/>
              </w:rPr>
              <w:t>p</w:t>
            </w:r>
            <w:r w:rsidR="00152287" w:rsidRPr="00D03F61">
              <w:rPr>
                <w:rFonts w:ascii="Times New Roman" w:hAnsi="Times New Roman" w:cs="Times New Roman"/>
                <w:sz w:val="20"/>
                <w:szCs w:val="20"/>
              </w:rPr>
              <w:t xml:space="preserve">engaruh tidak langsung </w:t>
            </w:r>
            <w:r w:rsidR="002352AE">
              <w:rPr>
                <w:rFonts w:ascii="Times New Roman" w:hAnsi="Times New Roman" w:cs="Times New Roman"/>
                <w:sz w:val="20"/>
                <w:szCs w:val="20"/>
              </w:rPr>
              <w:t>dengan nilai sinifikan variabel dukungan keluarga, tingkat kepatuhan, tingkat pengetahuan pada variabel yang tidak signifikan penyakit penyerta, kreatinin, ureum</w:t>
            </w:r>
            <w:r w:rsidR="00D03F61">
              <w:rPr>
                <w:rFonts w:ascii="Times New Roman" w:hAnsi="Times New Roman" w:cs="Times New Roman"/>
                <w:sz w:val="20"/>
                <w:szCs w:val="20"/>
              </w:rPr>
              <w:t>. M</w:t>
            </w:r>
            <w:r w:rsidR="006E0D54" w:rsidRPr="00D03F61">
              <w:rPr>
                <w:rFonts w:ascii="Times New Roman" w:hAnsi="Times New Roman" w:cs="Times New Roman"/>
                <w:sz w:val="20"/>
                <w:szCs w:val="20"/>
              </w:rPr>
              <w:t>aka dapat disimpulkan</w:t>
            </w:r>
            <w:r w:rsidR="00D03F61" w:rsidRPr="00D03F61">
              <w:rPr>
                <w:rFonts w:ascii="Times New Roman" w:hAnsi="Times New Roman" w:cs="Times New Roman"/>
                <w:sz w:val="20"/>
                <w:szCs w:val="20"/>
              </w:rPr>
              <w:t xml:space="preserve"> bahwa pengaruh langsung dan tidak langsung terdapat signifikan. </w:t>
            </w:r>
            <w:r w:rsidR="00D03F61" w:rsidRPr="00D03F61">
              <w:rPr>
                <w:rFonts w:ascii="Times New Roman" w:eastAsia="Times New Roman" w:hAnsi="Times New Roman" w:cs="Times New Roman"/>
                <w:bCs/>
                <w:sz w:val="20"/>
                <w:szCs w:val="20"/>
                <w:lang w:val="id-ID"/>
              </w:rPr>
              <w:t>Oleh karena itu</w:t>
            </w:r>
            <w:r w:rsidR="00D03F61">
              <w:rPr>
                <w:rFonts w:ascii="Times New Roman" w:eastAsia="Times New Roman" w:hAnsi="Times New Roman" w:cs="Times New Roman"/>
                <w:bCs/>
                <w:sz w:val="20"/>
                <w:szCs w:val="20"/>
                <w:lang w:val="id-ID"/>
              </w:rPr>
              <w:t>, penelitian ini mengusulka</w:t>
            </w:r>
            <w:r w:rsidR="00D03F61">
              <w:rPr>
                <w:rFonts w:ascii="Times New Roman" w:eastAsia="Times New Roman" w:hAnsi="Times New Roman" w:cs="Times New Roman"/>
                <w:bCs/>
                <w:sz w:val="20"/>
                <w:szCs w:val="20"/>
              </w:rPr>
              <w:t>n bahwa path analisysis dapat melihat pengaruh secara langsung dan tidak langsung untuk mengontrol anemia pada pasien anemia penyakit ginjal kronis.</w:t>
            </w:r>
          </w:p>
        </w:tc>
      </w:tr>
      <w:tr w:rsidR="0048529F" w:rsidRPr="00A90BD0" w14:paraId="0560DABD" w14:textId="77777777" w:rsidTr="00AF2294">
        <w:tc>
          <w:tcPr>
            <w:tcW w:w="4936" w:type="dxa"/>
            <w:gridSpan w:val="3"/>
            <w:tcBorders>
              <w:top w:val="single" w:sz="4" w:space="0" w:color="auto"/>
            </w:tcBorders>
          </w:tcPr>
          <w:p w14:paraId="3FCC8917" w14:textId="44EE81AD" w:rsidR="008D6BB9" w:rsidRPr="00157ACE" w:rsidRDefault="008D6BB9" w:rsidP="000E13AF">
            <w:pPr>
              <w:autoSpaceDE w:val="0"/>
              <w:autoSpaceDN w:val="0"/>
              <w:adjustRightInd w:val="0"/>
              <w:ind w:hanging="80"/>
              <w:jc w:val="left"/>
              <w:textAlignment w:val="center"/>
              <w:rPr>
                <w:rFonts w:ascii="Calisto MT" w:hAnsi="Calisto MT" w:cs="Calisto MT"/>
                <w:color w:val="000000"/>
                <w:sz w:val="16"/>
                <w:szCs w:val="16"/>
                <w:lang w:val="id-ID"/>
              </w:rPr>
            </w:pPr>
            <w:r w:rsidRPr="00D711FC">
              <w:rPr>
                <w:rFonts w:ascii="Wingdings" w:hAnsi="Wingdings" w:cs="Wingdings"/>
                <w:color w:val="000000"/>
                <w:sz w:val="16"/>
                <w:szCs w:val="16"/>
                <w:vertAlign w:val="superscript"/>
                <w:lang w:val="en-GB"/>
              </w:rPr>
              <w:t></w:t>
            </w:r>
            <w:r w:rsidR="007918C5" w:rsidRPr="00D711FC">
              <w:rPr>
                <w:rFonts w:ascii="Calisto MT" w:hAnsi="Calisto MT" w:cs="Calisto MT"/>
                <w:color w:val="000000"/>
                <w:sz w:val="16"/>
                <w:szCs w:val="16"/>
              </w:rPr>
              <w:t>Corresp</w:t>
            </w:r>
            <w:r w:rsidR="007918C5" w:rsidRPr="00D711FC">
              <w:rPr>
                <w:rFonts w:ascii="Calisto MT" w:hAnsi="Calisto MT" w:cs="Calisto MT"/>
                <w:color w:val="000000"/>
                <w:sz w:val="16"/>
                <w:szCs w:val="16"/>
                <w:lang w:val="id-ID"/>
              </w:rPr>
              <w:t>o</w:t>
            </w:r>
            <w:r w:rsidR="007918C5" w:rsidRPr="00D711FC">
              <w:rPr>
                <w:rFonts w:ascii="Calisto MT" w:hAnsi="Calisto MT" w:cs="Calisto MT"/>
                <w:color w:val="000000"/>
                <w:sz w:val="16"/>
                <w:szCs w:val="16"/>
              </w:rPr>
              <w:t>ndence Address</w:t>
            </w:r>
            <w:r w:rsidR="00E876E9">
              <w:rPr>
                <w:rFonts w:ascii="Calisto MT" w:hAnsi="Calisto MT" w:cs="Calisto MT"/>
                <w:color w:val="000000"/>
                <w:sz w:val="16"/>
                <w:szCs w:val="16"/>
              </w:rPr>
              <w:t xml:space="preserve"> (author1)</w:t>
            </w:r>
            <w:r w:rsidRPr="00D711FC">
              <w:rPr>
                <w:rFonts w:ascii="Calisto MT" w:hAnsi="Calisto MT" w:cs="Calisto MT"/>
                <w:color w:val="000000"/>
                <w:sz w:val="16"/>
                <w:szCs w:val="16"/>
                <w:lang w:val="en-GB"/>
              </w:rPr>
              <w:t xml:space="preserve">: </w:t>
            </w:r>
            <w:r w:rsidR="00157ACE">
              <w:rPr>
                <w:rFonts w:ascii="Calisto MT" w:hAnsi="Calisto MT" w:cs="Calisto MT"/>
                <w:color w:val="000000"/>
                <w:sz w:val="16"/>
                <w:szCs w:val="16"/>
                <w:lang w:val="id-ID"/>
              </w:rPr>
              <w:t xml:space="preserve"> Kelud Utara III Petompon Gajah Mungkur Semarang 50237</w:t>
            </w:r>
          </w:p>
          <w:p w14:paraId="24E52DC8" w14:textId="129548EB" w:rsidR="005447FC" w:rsidRPr="00157ACE" w:rsidRDefault="00590812" w:rsidP="000E13AF">
            <w:pPr>
              <w:ind w:firstLine="0"/>
              <w:jc w:val="left"/>
              <w:rPr>
                <w:sz w:val="16"/>
                <w:szCs w:val="16"/>
                <w:lang w:val="id-ID"/>
              </w:rPr>
            </w:pPr>
            <w:r w:rsidRPr="00D711FC">
              <w:rPr>
                <w:rFonts w:ascii="Calisto MT" w:hAnsi="Calisto MT"/>
                <w:sz w:val="16"/>
                <w:szCs w:val="16"/>
              </w:rPr>
              <w:t>E-mail</w:t>
            </w:r>
            <w:r w:rsidR="00E876E9">
              <w:rPr>
                <w:rFonts w:ascii="Calisto MT" w:hAnsi="Calisto MT"/>
                <w:sz w:val="16"/>
                <w:szCs w:val="16"/>
              </w:rPr>
              <w:t xml:space="preserve"> (author 1)</w:t>
            </w:r>
            <w:r w:rsidRPr="00D711FC">
              <w:rPr>
                <w:rFonts w:ascii="Calisto MT" w:hAnsi="Calisto MT"/>
                <w:sz w:val="16"/>
                <w:szCs w:val="16"/>
              </w:rPr>
              <w:t xml:space="preserve">: </w:t>
            </w:r>
            <w:r w:rsidR="00D03F61">
              <w:rPr>
                <w:rFonts w:ascii="Calisto MT" w:hAnsi="Calisto MT"/>
                <w:sz w:val="16"/>
                <w:szCs w:val="16"/>
                <w:u w:color="0000FF"/>
              </w:rPr>
              <w:t>dewirukmana737@students.unnes.ac.id</w:t>
            </w:r>
            <w:r w:rsidR="00A11DF4">
              <w:rPr>
                <w:rFonts w:ascii="Calisto MT" w:hAnsi="Calisto MT"/>
                <w:sz w:val="16"/>
                <w:szCs w:val="16"/>
                <w:lang w:val="id-ID"/>
              </w:rPr>
              <w:t xml:space="preserve"> </w:t>
            </w:r>
          </w:p>
        </w:tc>
        <w:tc>
          <w:tcPr>
            <w:tcW w:w="3969" w:type="dxa"/>
            <w:gridSpan w:val="2"/>
            <w:tcBorders>
              <w:top w:val="single" w:sz="4" w:space="0" w:color="auto"/>
            </w:tcBorders>
          </w:tcPr>
          <w:p w14:paraId="19484366" w14:textId="42CDFF3E" w:rsidR="001D61B1" w:rsidRPr="001D61B1" w:rsidRDefault="001D61B1" w:rsidP="001D61B1">
            <w:pPr>
              <w:autoSpaceDE w:val="0"/>
              <w:autoSpaceDN w:val="0"/>
              <w:adjustRightInd w:val="0"/>
              <w:jc w:val="right"/>
              <w:textAlignment w:val="center"/>
              <w:rPr>
                <w:rFonts w:ascii="Calisto MT" w:eastAsia="Times New Roman" w:hAnsi="Calisto MT" w:cs="Calisto MT"/>
                <w:b/>
                <w:sz w:val="20"/>
                <w:szCs w:val="20"/>
                <w:lang w:val="id-ID"/>
              </w:rPr>
            </w:pPr>
            <w:r w:rsidRPr="001D61B1">
              <w:rPr>
                <w:rFonts w:ascii="Calisto MT" w:eastAsia="Times New Roman" w:hAnsi="Calisto MT" w:cs="Calisto MT"/>
                <w:b/>
                <w:sz w:val="20"/>
                <w:szCs w:val="20"/>
                <w:lang w:val="en-GB"/>
              </w:rPr>
              <w:t>p-ISSN</w:t>
            </w:r>
            <w:r w:rsidR="00D03F61">
              <w:rPr>
                <w:rFonts w:ascii="Calisto MT" w:eastAsia="Times New Roman" w:hAnsi="Calisto MT" w:cs="Calisto MT"/>
                <w:b/>
                <w:sz w:val="20"/>
                <w:szCs w:val="20"/>
                <w:lang w:val="id-ID"/>
              </w:rPr>
              <w:t xml:space="preserve"> </w:t>
            </w:r>
          </w:p>
          <w:p w14:paraId="0EB65ED5" w14:textId="60C63D05" w:rsidR="0048529F" w:rsidRPr="00A90BD0" w:rsidRDefault="001D61B1" w:rsidP="001D61B1">
            <w:pPr>
              <w:pStyle w:val="BasicParagraph"/>
              <w:tabs>
                <w:tab w:val="left" w:pos="3431"/>
                <w:tab w:val="right" w:pos="4823"/>
              </w:tabs>
              <w:spacing w:line="276" w:lineRule="auto"/>
              <w:jc w:val="right"/>
              <w:rPr>
                <w:rFonts w:cs="Times New Roman"/>
                <w:bCs/>
                <w:position w:val="-18"/>
                <w:sz w:val="22"/>
                <w:szCs w:val="22"/>
              </w:rPr>
            </w:pPr>
            <w:r w:rsidRPr="001D61B1">
              <w:rPr>
                <w:rFonts w:eastAsia="Times New Roman"/>
                <w:b/>
                <w:color w:val="auto"/>
                <w:lang w:val="en-US"/>
              </w:rPr>
              <w:t xml:space="preserve">e-ISSN </w:t>
            </w:r>
          </w:p>
        </w:tc>
      </w:tr>
    </w:tbl>
    <w:p w14:paraId="6FB43177" w14:textId="77777777" w:rsidR="00B60EF7" w:rsidRPr="00A90BD0" w:rsidRDefault="00B60EF7" w:rsidP="00B60EF7">
      <w:pPr>
        <w:spacing w:line="276" w:lineRule="auto"/>
        <w:rPr>
          <w:rFonts w:ascii="Calisto MT" w:hAnsi="Calisto MT" w:cs="Times New Roman"/>
        </w:rPr>
        <w:sectPr w:rsidR="00B60EF7" w:rsidRPr="00A90BD0" w:rsidSect="006070A0">
          <w:headerReference w:type="even" r:id="rId10"/>
          <w:headerReference w:type="default" r:id="rId11"/>
          <w:footerReference w:type="default" r:id="rId12"/>
          <w:footerReference w:type="first" r:id="rId13"/>
          <w:pgSz w:w="11907" w:h="16839" w:code="9"/>
          <w:pgMar w:top="1701" w:right="1701" w:bottom="1701" w:left="1701" w:header="720" w:footer="720" w:gutter="0"/>
          <w:cols w:space="720"/>
          <w:titlePg/>
          <w:docGrid w:linePitch="360"/>
        </w:sectPr>
      </w:pPr>
    </w:p>
    <w:p w14:paraId="6EDA93E5" w14:textId="77777777" w:rsidR="00CC5DD3" w:rsidRDefault="00CC5DD3" w:rsidP="00B316FD">
      <w:pPr>
        <w:pStyle w:val="BAB"/>
        <w:suppressAutoHyphens/>
        <w:rPr>
          <w:sz w:val="20"/>
          <w:szCs w:val="20"/>
        </w:rPr>
      </w:pPr>
    </w:p>
    <w:p w14:paraId="5268A729" w14:textId="77777777" w:rsidR="00883607" w:rsidRDefault="00883607" w:rsidP="00B316FD">
      <w:pPr>
        <w:pStyle w:val="BAB"/>
        <w:suppressAutoHyphens/>
        <w:rPr>
          <w:sz w:val="20"/>
          <w:szCs w:val="20"/>
        </w:rPr>
      </w:pPr>
    </w:p>
    <w:p w14:paraId="13E1AA30" w14:textId="77777777" w:rsidR="00883607" w:rsidRDefault="00883607" w:rsidP="00B316FD">
      <w:pPr>
        <w:pStyle w:val="BAB"/>
        <w:suppressAutoHyphens/>
        <w:rPr>
          <w:sz w:val="20"/>
          <w:szCs w:val="20"/>
        </w:rPr>
      </w:pPr>
    </w:p>
    <w:p w14:paraId="534AA231" w14:textId="77777777" w:rsidR="00883607" w:rsidRDefault="00883607" w:rsidP="00B316FD">
      <w:pPr>
        <w:pStyle w:val="BAB"/>
        <w:suppressAutoHyphens/>
        <w:rPr>
          <w:sz w:val="20"/>
          <w:szCs w:val="20"/>
        </w:rPr>
      </w:pPr>
    </w:p>
    <w:p w14:paraId="580CC53A" w14:textId="3FE1D0F3" w:rsidR="00DF2013" w:rsidRDefault="00DF2013" w:rsidP="009F44A0">
      <w:pPr>
        <w:rPr>
          <w:lang w:val="id-ID"/>
        </w:rPr>
      </w:pPr>
    </w:p>
    <w:p w14:paraId="5519D10B" w14:textId="7DF7E03F" w:rsidR="002352AE" w:rsidRDefault="002352AE" w:rsidP="009F44A0">
      <w:pPr>
        <w:rPr>
          <w:lang w:val="id-ID"/>
        </w:rPr>
      </w:pPr>
    </w:p>
    <w:p w14:paraId="2962DCC8" w14:textId="32D2C67E" w:rsidR="008A22FE" w:rsidRDefault="008A22FE" w:rsidP="009F44A0">
      <w:pPr>
        <w:rPr>
          <w:lang w:val="id-ID"/>
        </w:rPr>
      </w:pPr>
    </w:p>
    <w:p w14:paraId="5B1590F6" w14:textId="65670841" w:rsidR="00F01C27" w:rsidRDefault="00F01C27" w:rsidP="009F44A0">
      <w:pPr>
        <w:rPr>
          <w:lang w:val="id-ID"/>
        </w:rPr>
      </w:pPr>
    </w:p>
    <w:p w14:paraId="3CB48C1E" w14:textId="757020F4" w:rsidR="00F01C27" w:rsidRDefault="00F01C27" w:rsidP="009F44A0">
      <w:pPr>
        <w:rPr>
          <w:lang w:val="id-ID"/>
        </w:rPr>
      </w:pPr>
    </w:p>
    <w:p w14:paraId="69AD2A79" w14:textId="37BB1300" w:rsidR="00F01C27" w:rsidRDefault="00F01C27" w:rsidP="009F44A0">
      <w:pPr>
        <w:rPr>
          <w:lang w:val="id-ID"/>
        </w:rPr>
      </w:pPr>
    </w:p>
    <w:p w14:paraId="1ED4C530" w14:textId="639D8246" w:rsidR="000E13AF" w:rsidRDefault="000E13AF" w:rsidP="009F44A0">
      <w:pPr>
        <w:rPr>
          <w:lang w:val="id-ID"/>
        </w:rPr>
      </w:pPr>
    </w:p>
    <w:p w14:paraId="2C9BAE58" w14:textId="544625C9" w:rsidR="000E13AF" w:rsidRDefault="000E13AF" w:rsidP="009F44A0">
      <w:pPr>
        <w:rPr>
          <w:lang w:val="id-ID"/>
        </w:rPr>
      </w:pPr>
    </w:p>
    <w:p w14:paraId="22246391" w14:textId="77777777" w:rsidR="000E13AF" w:rsidRDefault="000E13AF" w:rsidP="009F44A0">
      <w:pPr>
        <w:rPr>
          <w:lang w:val="id-ID"/>
        </w:rPr>
      </w:pPr>
    </w:p>
    <w:p w14:paraId="6EDD19BE" w14:textId="3470ACAE" w:rsidR="008A22FE" w:rsidRDefault="008A22FE" w:rsidP="009F44A0">
      <w:pPr>
        <w:rPr>
          <w:lang w:val="id-ID"/>
        </w:rPr>
      </w:pPr>
    </w:p>
    <w:p w14:paraId="619D5F28" w14:textId="6D587A77" w:rsidR="00FA54BE" w:rsidRDefault="00FA54BE" w:rsidP="009F44A0">
      <w:pPr>
        <w:rPr>
          <w:lang w:val="id-ID"/>
        </w:rPr>
      </w:pPr>
    </w:p>
    <w:p w14:paraId="765F0783" w14:textId="77777777" w:rsidR="00FA54BE" w:rsidRPr="009F44A0" w:rsidRDefault="00FA54BE" w:rsidP="009F44A0">
      <w:pPr>
        <w:rPr>
          <w:lang w:val="id-ID"/>
        </w:rPr>
      </w:pPr>
    </w:p>
    <w:p w14:paraId="3BF8352F" w14:textId="1543291D" w:rsidR="00883607" w:rsidRDefault="00883607" w:rsidP="00767F25">
      <w:pPr>
        <w:pStyle w:val="Heading2"/>
        <w:rPr>
          <w:color w:val="auto"/>
          <w:lang w:val="id-ID"/>
        </w:rPr>
      </w:pPr>
      <w:r w:rsidRPr="00271F82">
        <w:lastRenderedPageBreak/>
        <w:t>INTRODUCTION</w:t>
      </w:r>
      <w:r w:rsidR="00BF7C53">
        <w:rPr>
          <w:lang w:val="id-ID"/>
        </w:rPr>
        <w:t xml:space="preserve"> </w:t>
      </w:r>
      <w:r w:rsidR="00BF7C53" w:rsidRPr="003C1602">
        <w:rPr>
          <w:color w:val="auto"/>
          <w:lang w:val="id-ID"/>
        </w:rPr>
        <w:t>Pendahuluan</w:t>
      </w:r>
    </w:p>
    <w:p w14:paraId="4C8D0744" w14:textId="77777777" w:rsidR="00F01C27" w:rsidRPr="00F01C27" w:rsidRDefault="00F01C27" w:rsidP="00F01C27">
      <w:pPr>
        <w:rPr>
          <w:lang w:val="id-ID"/>
        </w:rPr>
      </w:pPr>
    </w:p>
    <w:p w14:paraId="005D0633" w14:textId="66E486F1" w:rsidR="00EC0B39" w:rsidRDefault="00EC0B39" w:rsidP="00F01C27">
      <w:pPr>
        <w:pStyle w:val="NoSpacing"/>
        <w:outlineLvl w:val="3"/>
        <w:rPr>
          <w:rFonts w:cs="Times New Roman"/>
          <w:sz w:val="20"/>
          <w:szCs w:val="24"/>
          <w:lang w:val="id"/>
        </w:rPr>
      </w:pPr>
      <w:r w:rsidRPr="00EC0B39">
        <w:rPr>
          <w:rFonts w:cs="Times New Roman"/>
          <w:sz w:val="20"/>
          <w:szCs w:val="24"/>
          <w:lang w:val="id"/>
        </w:rPr>
        <w:t>Penyakit ginjal kronis (PGK) telah menjadi suatu Epidemi Global dengan perkiraan prevalensi 14% di Amerika Serikat dan 5% di seluruh dunia ( Nicola and Zoccali, 2016). Penyakit ginjal kronis juga mempengaruhi permasalah kesehatan utama di masyarakat lebih dari 10 % dari populasi di dunia dan menduduki peringkat ke 16 penyebab utama kematian tahun 2016 dan di harapkan naik di peringkat 5 di tahun 2040 (Id et al.</w:t>
      </w:r>
      <w:r w:rsidRPr="00EC0B39">
        <w:rPr>
          <w:rFonts w:cs="Times New Roman"/>
          <w:sz w:val="20"/>
          <w:szCs w:val="24"/>
          <w:lang w:val="en-US"/>
        </w:rPr>
        <w:t>,</w:t>
      </w:r>
      <w:r w:rsidRPr="00EC0B39">
        <w:rPr>
          <w:rFonts w:cs="Times New Roman"/>
          <w:sz w:val="20"/>
          <w:szCs w:val="24"/>
          <w:lang w:val="id"/>
        </w:rPr>
        <w:t xml:space="preserve"> 2020).</w:t>
      </w:r>
    </w:p>
    <w:p w14:paraId="448FD4F0" w14:textId="2E40F032" w:rsidR="00EC0B39" w:rsidRDefault="00EC0B39" w:rsidP="00F01C27">
      <w:pPr>
        <w:pStyle w:val="NoSpacing"/>
        <w:outlineLvl w:val="3"/>
        <w:rPr>
          <w:rFonts w:cs="Times New Roman"/>
          <w:sz w:val="20"/>
          <w:szCs w:val="24"/>
          <w:lang w:val="id"/>
        </w:rPr>
      </w:pPr>
      <w:r w:rsidRPr="00EC0B39">
        <w:rPr>
          <w:rFonts w:cs="Times New Roman"/>
          <w:sz w:val="20"/>
          <w:szCs w:val="24"/>
          <w:lang w:val="id"/>
        </w:rPr>
        <w:t>World Health Organization (2016) Melaporkan penyakit ginjal kronis berkontribusi pada beban penyakit dunia dengan angka kematian sebesar 850.000 jiwa per tahun Berdasarkan (Kementerian Kesehatan RI, 2018) melaporkan jumlah penduduk Indonesia mencapai 258 juta jiwa dan prevalensi penderita penyakit ginjal kronis (PGK) di Indonesia yang telah terdiagnosa oleh dokter di provinsi sebesar 3,8 % .</w:t>
      </w:r>
    </w:p>
    <w:p w14:paraId="465D3AAD" w14:textId="77777777"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Data di Indonesia pada tahun 2007 - 2017 terdapat pasien terdiagnosis mengalami gagal ginjal akut berjumlah 25.854 orang dan pasien aktif  yang  sudah mendapatkan  terapi  hemodialisis  sebanyak  76.007 orang (Infodatin  et  al. 2017).</w:t>
      </w:r>
    </w:p>
    <w:p w14:paraId="50E97080" w14:textId="77777777"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Berdasarkan data provinsi Jawa Tengah pasien penyakit ginjal kronis mengalami peningkatan sebesar 0,06%. Pada tahun 2013 sebesar 0,3% dan tahun 2018 sebesar 0,37% per penduduk Jawa Tengah (Dinkes Jateng 2017) pada penderita penyakit ginjal kronis ada 3 terapi modalitas pengobatan yang tersedia untuk gagal ginjal kronik yaitu  hemodialisa,  peritoneal  dialisis  dan transplantasi ginjal , Hemodialisa merupakan terapi cuci darah paling banyak dilakukan 2-3 kali seminggu dengan lama  waktu  4-5 jam,  yang  bertujuan  untuk  mengeluarkan  sisa-sisa  metabolisme   protein   dan   mengoreksi gangguan keseimbangan cairan dan elektrolit (Arya, 2018).</w:t>
      </w:r>
    </w:p>
    <w:p w14:paraId="37A155C6" w14:textId="77777777"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 xml:space="preserve">Penyakit ginjal kronis adalah penyakit menahun dan bersifat progresif, dimana kemampuan tubuh gagal untuk mempertahankan metabolisme atau keseimbanagan cairan dan </w:t>
      </w:r>
      <w:r w:rsidRPr="00EC0B39">
        <w:rPr>
          <w:rFonts w:cs="Times New Roman"/>
          <w:sz w:val="20"/>
          <w:szCs w:val="24"/>
          <w:lang w:val="id"/>
        </w:rPr>
        <w:lastRenderedPageBreak/>
        <w:t>elektrolit, menyebabkan uremia (Fishbane, 2018).</w:t>
      </w:r>
    </w:p>
    <w:p w14:paraId="22BB9E91" w14:textId="77777777" w:rsidR="00EC0B39" w:rsidRPr="00EC0B39" w:rsidRDefault="00EC0B39" w:rsidP="00F01C27">
      <w:pPr>
        <w:pStyle w:val="NoSpacing"/>
        <w:outlineLvl w:val="3"/>
        <w:rPr>
          <w:sz w:val="20"/>
          <w:lang w:val="id"/>
        </w:rPr>
      </w:pPr>
      <w:r w:rsidRPr="00EC0B39">
        <w:rPr>
          <w:rFonts w:cs="Times New Roman"/>
          <w:sz w:val="20"/>
          <w:szCs w:val="24"/>
          <w:lang w:val="id"/>
        </w:rPr>
        <w:t>Pemeriksaan laboratorium hematologi yang sering dilakukan pada penyakit ginjal kronis adalah pemeriksaan darah lengkap (DL) yaitu untuk mengetahui anemia (Becker et al.</w:t>
      </w:r>
      <w:r w:rsidRPr="00EC0B39">
        <w:rPr>
          <w:rFonts w:cs="Times New Roman"/>
          <w:sz w:val="20"/>
          <w:szCs w:val="24"/>
          <w:lang w:val="en-US"/>
        </w:rPr>
        <w:t>,</w:t>
      </w:r>
      <w:r w:rsidRPr="00EC0B39">
        <w:rPr>
          <w:rFonts w:cs="Times New Roman"/>
          <w:sz w:val="20"/>
          <w:szCs w:val="24"/>
          <w:lang w:val="id"/>
        </w:rPr>
        <w:t xml:space="preserve"> 2012). Penurunan kadar hemoglobin &lt; 13 g/dL pada laki- laki dan pada perempuan Hemoglobin &lt; 12 g/dL. Ginjal memiliki peran penting pada eritropoiesis, karena sel intertestisial peritubular ginjal mengatur produksi eritropoetin yang tergantung jumlah oksigen dalam darah. Produksi eritropoietin akan meningkat ketika sel tersebut mendeteksi penurunan oksigen. Eritropoietin berperan penting untuk meningktakan produksi </w:t>
      </w:r>
      <w:r w:rsidRPr="00EC0B39">
        <w:rPr>
          <w:rFonts w:cs="Times New Roman"/>
          <w:i/>
          <w:sz w:val="20"/>
          <w:szCs w:val="24"/>
          <w:lang w:val="id"/>
        </w:rPr>
        <w:t xml:space="preserve">Red Blood Cell </w:t>
      </w:r>
      <w:r w:rsidRPr="00EC0B39">
        <w:rPr>
          <w:rFonts w:cs="Times New Roman"/>
          <w:sz w:val="20"/>
          <w:szCs w:val="24"/>
          <w:lang w:val="id"/>
        </w:rPr>
        <w:t>(RBC) di sumsum tulang. Kemampuan sumsum tulang untuk memberikan respon yang baik tergantung pada kecukupan nutrisi seperti zat besi, asam folat, vitamin C, vitamin</w:t>
      </w:r>
      <w:r>
        <w:rPr>
          <w:rFonts w:cs="Times New Roman"/>
          <w:sz w:val="20"/>
          <w:szCs w:val="24"/>
          <w:lang w:val="en-US"/>
        </w:rPr>
        <w:t xml:space="preserve"> </w:t>
      </w:r>
      <w:r w:rsidRPr="00EC0B39">
        <w:rPr>
          <w:sz w:val="20"/>
          <w:lang w:val="id"/>
        </w:rPr>
        <w:t>D, dan vitamin B12. beberapa proses yang mengganggu eritropoiesis akan mengakibatkan anemia Susianti. H (2019)</w:t>
      </w:r>
    </w:p>
    <w:p w14:paraId="441F7285" w14:textId="44AEFDCC"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Prevalensi Anemia tinggi diantara</w:t>
      </w:r>
      <w:r w:rsidR="0065757F">
        <w:rPr>
          <w:rFonts w:cs="Times New Roman"/>
          <w:sz w:val="20"/>
          <w:szCs w:val="24"/>
          <w:lang w:val="en-US"/>
        </w:rPr>
        <w:t>nya yaitu</w:t>
      </w:r>
      <w:r w:rsidRPr="00EC0B39">
        <w:rPr>
          <w:rFonts w:cs="Times New Roman"/>
          <w:sz w:val="20"/>
          <w:szCs w:val="24"/>
          <w:lang w:val="id"/>
        </w:rPr>
        <w:t xml:space="preserve"> pasien penyakit ginjal kronis karena berbagai </w:t>
      </w:r>
      <w:r w:rsidR="0065757F">
        <w:rPr>
          <w:rFonts w:cs="Times New Roman"/>
          <w:sz w:val="20"/>
          <w:szCs w:val="24"/>
          <w:lang w:val="en-US"/>
        </w:rPr>
        <w:t xml:space="preserve"> </w:t>
      </w:r>
      <w:r w:rsidRPr="00EC0B39">
        <w:rPr>
          <w:rFonts w:cs="Times New Roman"/>
          <w:sz w:val="20"/>
          <w:szCs w:val="24"/>
          <w:lang w:val="id"/>
        </w:rPr>
        <w:t xml:space="preserve">faktor penyebab. </w:t>
      </w:r>
      <w:r w:rsidR="0065757F" w:rsidRPr="00EC0B39">
        <w:rPr>
          <w:rFonts w:cs="Times New Roman"/>
          <w:sz w:val="20"/>
          <w:szCs w:val="24"/>
          <w:lang w:val="id"/>
        </w:rPr>
        <w:t xml:space="preserve">Penyebab anemia pada penyakit ginjal kronis adalah penurunan produksi eritropoetin, defisiensi besi, pemendekan umur sel darah merah, anemia akibat toksik uremia, inflamasi atau perdarahan. Proses inflamasi dan peningkatan CPR ditemukan pada pasien Hemodialisis rutin </w:t>
      </w:r>
      <w:r w:rsidRPr="00EC0B39">
        <w:rPr>
          <w:rFonts w:cs="Times New Roman"/>
          <w:sz w:val="20"/>
          <w:szCs w:val="24"/>
          <w:lang w:val="id"/>
        </w:rPr>
        <w:t>Pasien anemia penyakit ginjal kronis stadium satu 8.4%, stadium dua 12.2 %, stadium tiga 17.4%, stadium empat 50.3%, stadium lima 53.4%. (Evitasari et al.</w:t>
      </w:r>
      <w:r w:rsidRPr="00EC0B39">
        <w:rPr>
          <w:rFonts w:cs="Times New Roman"/>
          <w:sz w:val="20"/>
          <w:szCs w:val="24"/>
        </w:rPr>
        <w:t>,</w:t>
      </w:r>
      <w:r w:rsidRPr="00EC0B39">
        <w:rPr>
          <w:rFonts w:cs="Times New Roman"/>
          <w:sz w:val="20"/>
          <w:szCs w:val="24"/>
          <w:lang w:val="id"/>
        </w:rPr>
        <w:t xml:space="preserve"> 2017)</w:t>
      </w:r>
    </w:p>
    <w:p w14:paraId="53C95B84" w14:textId="5E06A91B"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 xml:space="preserve">Beberapa penelitian yang dilakukan (Payana, D 2020) di Bali bahwa </w:t>
      </w:r>
      <w:r w:rsidRPr="00EC0B39">
        <w:rPr>
          <w:rFonts w:cs="Times New Roman"/>
          <w:i/>
          <w:sz w:val="20"/>
          <w:szCs w:val="24"/>
          <w:lang w:val="id"/>
        </w:rPr>
        <w:t xml:space="preserve">biomarker </w:t>
      </w:r>
      <w:r w:rsidRPr="00EC0B39">
        <w:rPr>
          <w:rFonts w:cs="Times New Roman"/>
          <w:sz w:val="20"/>
          <w:szCs w:val="24"/>
          <w:lang w:val="id"/>
        </w:rPr>
        <w:t>pada penyakit ginjal kronis di dapatkan Hasil pemeriksaan laboratorium menunjukkan pasien memiliki kadar hemoglobin rendah (4,6 g / dL) dan normositik normokromik (MCV 92,4 fl. ons) dan (MCH 30,5 pg) uji fungsi ginjal menunjukkan pasien mengalami</w:t>
      </w:r>
      <w:r w:rsidR="006D07BA">
        <w:rPr>
          <w:rFonts w:cs="Times New Roman"/>
          <w:sz w:val="20"/>
          <w:szCs w:val="24"/>
          <w:lang w:val="id"/>
        </w:rPr>
        <w:t xml:space="preserve"> azotemia dengan ureum 240 mg/</w:t>
      </w:r>
      <w:r w:rsidRPr="00EC0B39">
        <w:rPr>
          <w:rFonts w:cs="Times New Roman"/>
          <w:sz w:val="20"/>
          <w:szCs w:val="24"/>
          <w:lang w:val="id"/>
        </w:rPr>
        <w:t>dL dan ti</w:t>
      </w:r>
      <w:r w:rsidR="00E11931">
        <w:rPr>
          <w:rFonts w:cs="Times New Roman"/>
          <w:sz w:val="20"/>
          <w:szCs w:val="24"/>
          <w:lang w:val="id"/>
        </w:rPr>
        <w:t>ngkat kreatinin dari 35,98 mg/dL</w:t>
      </w:r>
      <w:r w:rsidRPr="00EC0B39">
        <w:rPr>
          <w:rFonts w:cs="Times New Roman"/>
          <w:sz w:val="20"/>
          <w:szCs w:val="24"/>
          <w:lang w:val="id"/>
        </w:rPr>
        <w:t>. Hasil penelitian yang dilakukan (Sakaguchi et al. 2019) di jepang dengan menggunakan ESA jangka pendek men</w:t>
      </w:r>
      <w:r w:rsidR="00E11931">
        <w:rPr>
          <w:rFonts w:cs="Times New Roman"/>
          <w:sz w:val="20"/>
          <w:szCs w:val="24"/>
          <w:lang w:val="id"/>
        </w:rPr>
        <w:t>unjukan (hemoglobin 9.0–9.9 g/d</w:t>
      </w:r>
      <w:r w:rsidR="00E11931">
        <w:rPr>
          <w:rFonts w:cs="Times New Roman"/>
          <w:sz w:val="20"/>
          <w:szCs w:val="24"/>
          <w:lang w:val="en-US"/>
        </w:rPr>
        <w:t>L</w:t>
      </w:r>
      <w:r w:rsidRPr="00EC0B39">
        <w:rPr>
          <w:rFonts w:cs="Times New Roman"/>
          <w:sz w:val="20"/>
          <w:szCs w:val="24"/>
          <w:lang w:val="id"/>
        </w:rPr>
        <w:t xml:space="preserve">), </w:t>
      </w:r>
      <w:r w:rsidRPr="00EC0B39">
        <w:rPr>
          <w:rFonts w:cs="Times New Roman"/>
          <w:sz w:val="20"/>
          <w:szCs w:val="24"/>
          <w:lang w:val="id"/>
        </w:rPr>
        <w:lastRenderedPageBreak/>
        <w:t>pengguna ESA kerja lama yang mencapai kadar hemoglo</w:t>
      </w:r>
      <w:r w:rsidR="000F77C9">
        <w:rPr>
          <w:rFonts w:cs="Times New Roman"/>
          <w:sz w:val="20"/>
          <w:szCs w:val="24"/>
          <w:lang w:val="id"/>
        </w:rPr>
        <w:t>bin lebih optimal (10,0-10,9 g/</w:t>
      </w:r>
      <w:r w:rsidR="000F77C9">
        <w:rPr>
          <w:rFonts w:cs="Times New Roman"/>
          <w:sz w:val="20"/>
          <w:szCs w:val="24"/>
          <w:lang w:val="en-US"/>
        </w:rPr>
        <w:t>dL</w:t>
      </w:r>
      <w:r w:rsidRPr="00EC0B39">
        <w:rPr>
          <w:rFonts w:cs="Times New Roman"/>
          <w:sz w:val="20"/>
          <w:szCs w:val="24"/>
          <w:lang w:val="id"/>
        </w:rPr>
        <w:t>)</w:t>
      </w:r>
    </w:p>
    <w:p w14:paraId="66A4FCB9" w14:textId="08A02164"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Hasil penelitian (Marchitto et al., 2020) penggunaan vitamin C dan asam folat menunjukan bahwa efikasi kadar hemoglobin dan sideremia setelah pengobatan meningkat secara signifikan. Hasil penelitian yang dilakukan oleh (Xu et al.</w:t>
      </w:r>
      <w:r w:rsidRPr="00EC0B39">
        <w:rPr>
          <w:rFonts w:cs="Times New Roman"/>
          <w:sz w:val="20"/>
          <w:szCs w:val="24"/>
        </w:rPr>
        <w:t>,</w:t>
      </w:r>
      <w:r w:rsidRPr="00EC0B39">
        <w:rPr>
          <w:rFonts w:cs="Times New Roman"/>
          <w:sz w:val="20"/>
          <w:szCs w:val="24"/>
          <w:lang w:val="id"/>
        </w:rPr>
        <w:t xml:space="preserve"> 2016) menyatakan bahwa penggunaan terapi besi IV</w:t>
      </w:r>
      <w:r w:rsidR="00E11931">
        <w:rPr>
          <w:rFonts w:cs="Times New Roman"/>
          <w:sz w:val="20"/>
          <w:szCs w:val="24"/>
          <w:lang w:val="id"/>
        </w:rPr>
        <w:t xml:space="preserve"> mengalami peningkatan 1 Hb 1 g</w:t>
      </w:r>
      <w:r w:rsidRPr="00EC0B39">
        <w:rPr>
          <w:rFonts w:cs="Times New Roman"/>
          <w:sz w:val="20"/>
          <w:szCs w:val="24"/>
          <w:lang w:val="id"/>
        </w:rPr>
        <w:t>/dL pada pasien penyakit ginjal kronik di China. Penelitian lain yang mendukung dari (Shepshelovich et al. 2016) menyatakan bahwa zat besi oral yang dikirim melalui SFC dapat ditoleransi dengan baik dan efektif bentuk suplementasi zat besi pada pasien hemodialisa (HD) dan IDA jangka panjang di Jepang. Hasil penelitian (Rafiu et al. 2019) di Alexandria menyatakan bahwa haemoglobin (Hb) meningkat secara signifikan dari 8,34 ± 0,9 menjadi 9,48 ± 0,9 g / dl (P = 0,000).</w:t>
      </w:r>
    </w:p>
    <w:p w14:paraId="459F2FDB" w14:textId="0FF5DD73" w:rsidR="00EC0B39" w:rsidRPr="0065757F" w:rsidRDefault="00EC0B39" w:rsidP="00F01C27">
      <w:pPr>
        <w:pStyle w:val="NoSpacing"/>
        <w:outlineLvl w:val="3"/>
        <w:rPr>
          <w:rFonts w:cs="Times New Roman"/>
          <w:color w:val="FF0000"/>
          <w:sz w:val="20"/>
          <w:szCs w:val="24"/>
          <w:lang w:val="en-US"/>
        </w:rPr>
      </w:pPr>
      <w:r w:rsidRPr="00EC0B39">
        <w:rPr>
          <w:rFonts w:cs="Times New Roman"/>
          <w:sz w:val="20"/>
          <w:szCs w:val="24"/>
          <w:lang w:val="id"/>
        </w:rPr>
        <w:t>Hasil penelitian yang dilakukan oleh (Zheng et al.</w:t>
      </w:r>
      <w:r w:rsidRPr="00EC0B39">
        <w:rPr>
          <w:rFonts w:cs="Times New Roman"/>
          <w:sz w:val="20"/>
          <w:szCs w:val="24"/>
        </w:rPr>
        <w:t>,</w:t>
      </w:r>
      <w:r w:rsidRPr="00EC0B39">
        <w:rPr>
          <w:rFonts w:cs="Times New Roman"/>
          <w:sz w:val="20"/>
          <w:szCs w:val="24"/>
          <w:lang w:val="id"/>
        </w:rPr>
        <w:t xml:space="preserve"> 2016) tekanan darah sistolik dan diastolik secara signifikan di temukan pada pasien anemia yang menjalani hemodialisa yang memiliki haemoglobin y</w:t>
      </w:r>
      <w:r w:rsidR="0065757F">
        <w:rPr>
          <w:rFonts w:cs="Times New Roman"/>
          <w:sz w:val="20"/>
          <w:szCs w:val="24"/>
          <w:lang w:val="id"/>
        </w:rPr>
        <w:t>ang lebih rendah</w:t>
      </w:r>
      <w:r w:rsidRPr="00EC0B39">
        <w:rPr>
          <w:rFonts w:cs="Times New Roman"/>
          <w:sz w:val="20"/>
          <w:szCs w:val="24"/>
          <w:lang w:val="id"/>
        </w:rPr>
        <w:t xml:space="preserve">. </w:t>
      </w:r>
      <w:r w:rsidRPr="0065757F">
        <w:rPr>
          <w:rFonts w:cs="Times New Roman"/>
          <w:color w:val="000000" w:themeColor="text1"/>
          <w:sz w:val="20"/>
          <w:szCs w:val="24"/>
          <w:lang w:val="id"/>
        </w:rPr>
        <w:t>Penel</w:t>
      </w:r>
      <w:r w:rsidR="0065757F" w:rsidRPr="0065757F">
        <w:rPr>
          <w:rFonts w:cs="Times New Roman"/>
          <w:color w:val="000000" w:themeColor="text1"/>
          <w:sz w:val="20"/>
          <w:szCs w:val="24"/>
          <w:lang w:val="id"/>
        </w:rPr>
        <w:t xml:space="preserve">itian juga dilakukan oleh </w:t>
      </w:r>
      <w:r w:rsidRPr="0065757F">
        <w:rPr>
          <w:rFonts w:cs="Times New Roman"/>
          <w:color w:val="000000" w:themeColor="text1"/>
          <w:sz w:val="20"/>
          <w:szCs w:val="24"/>
          <w:lang w:val="id"/>
        </w:rPr>
        <w:t>(Study, 2016) prevalensi</w:t>
      </w:r>
      <w:r w:rsidR="0065757F" w:rsidRPr="0065757F">
        <w:rPr>
          <w:rFonts w:cs="Times New Roman"/>
          <w:color w:val="000000" w:themeColor="text1"/>
          <w:sz w:val="20"/>
          <w:szCs w:val="24"/>
          <w:lang w:val="en-US"/>
        </w:rPr>
        <w:t xml:space="preserve"> diantara penyakit penyerta komplikasi gagal ginjal kronis prevalensi tertinggi adalah diabetes militus (DM). </w:t>
      </w:r>
      <w:r w:rsidR="0065757F">
        <w:rPr>
          <w:rFonts w:cs="Times New Roman"/>
          <w:sz w:val="20"/>
          <w:szCs w:val="24"/>
          <w:lang w:val="en-US"/>
        </w:rPr>
        <w:t xml:space="preserve">Menurut </w:t>
      </w:r>
      <w:r w:rsidR="0065757F">
        <w:rPr>
          <w:rFonts w:cs="Times New Roman"/>
          <w:sz w:val="20"/>
          <w:szCs w:val="24"/>
          <w:lang w:val="id"/>
        </w:rPr>
        <w:t xml:space="preserve">Winata </w:t>
      </w:r>
      <w:r w:rsidR="0065757F">
        <w:rPr>
          <w:rFonts w:cs="Times New Roman"/>
          <w:sz w:val="20"/>
          <w:szCs w:val="24"/>
          <w:lang w:val="en-US"/>
        </w:rPr>
        <w:t>(</w:t>
      </w:r>
      <w:r w:rsidRPr="00EC0B39">
        <w:rPr>
          <w:rFonts w:cs="Times New Roman"/>
          <w:sz w:val="20"/>
          <w:szCs w:val="24"/>
          <w:lang w:val="id"/>
        </w:rPr>
        <w:t>2017) pada pasien penyakit ginjal kronis lebih baik menjalani pengobatan adekuasi hemodialisa dengan mendapat dukungan keluarga (p &lt; 0,001)</w:t>
      </w:r>
    </w:p>
    <w:p w14:paraId="06FBB9E8" w14:textId="77777777"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Dari beberapa penelitian diatas menunjukan bahwa faktor penyebab kejadian anemia pada pasien penyakit ginjal kronis yaitu kreatinin serum, ureum, dukungan keluarga, dan penyakit penyerta deangan variabel moderator Eritropoietin (EPO), asam folat dan zat besi.</w:t>
      </w:r>
    </w:p>
    <w:p w14:paraId="2470A0D4" w14:textId="78609BFE"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Data tahun 2020 dari 36 Rumah Sakit yang ada di kota semarang menunjukan Rumah Sakit Telogorejo terdapat kasus 13.551 pasien dengan peserta 1.732 pasien, Rumah Sakit RSUP DR. Karyadi terdapat kasus 11.720 pasien dengan peserta</w:t>
      </w:r>
      <w:r w:rsidR="00E11931">
        <w:rPr>
          <w:rFonts w:cs="Times New Roman"/>
          <w:sz w:val="20"/>
          <w:szCs w:val="24"/>
          <w:lang w:val="en-US"/>
        </w:rPr>
        <w:t xml:space="preserve"> </w:t>
      </w:r>
      <w:r w:rsidRPr="00EC0B39">
        <w:rPr>
          <w:rFonts w:cs="Times New Roman"/>
          <w:sz w:val="20"/>
          <w:szCs w:val="24"/>
          <w:lang w:val="id"/>
        </w:rPr>
        <w:t>2.094 pasien, Rumah Sakit   Islam Sultan Agung terdapat kasus   11.342 pasien</w:t>
      </w:r>
      <w:r>
        <w:rPr>
          <w:rFonts w:cs="Times New Roman"/>
          <w:sz w:val="20"/>
          <w:szCs w:val="24"/>
          <w:lang w:val="en-US"/>
        </w:rPr>
        <w:t xml:space="preserve"> </w:t>
      </w:r>
      <w:r w:rsidRPr="00EC0B39">
        <w:rPr>
          <w:sz w:val="20"/>
          <w:lang w:val="id"/>
        </w:rPr>
        <w:t xml:space="preserve">dengan peserta 1.631 pasien, Rumah Sakit Pelita Anugrah terdapat kasus 3.074 pasien dengan peserta 395 orang, Rumah Sakit Panti Wilasa DR </w:t>
      </w:r>
      <w:r w:rsidRPr="00EC0B39">
        <w:rPr>
          <w:sz w:val="20"/>
          <w:lang w:val="id"/>
        </w:rPr>
        <w:lastRenderedPageBreak/>
        <w:t>Cipto kasus 3.976 pasien dengan peserta 541 pasien, Rumah Sakit Bayangkara Semarang terdapat kasus 3.494 pasien dengan 495 peserta, Rumah Sakit Sunan Kalijaga Demak terdapat kasus 2.998 pasien dengan paserta 410 pasien, Rumah sakit panti wilasa citarum terdapat kasus 1.145 pasien dengan peserta 712 pasien, Rumah Sakit Bhakti Wira Tamtama terdapat kasus 1.389 pasien dengan peserta 200 pasien, Rumah sakit permata medika tedapat kasus 4.575 dengan peserta 568, Rumah sakit nasional diponegoro terdapat kasus 2.242 pasien dengan peserta 283 pasien, Rumah sakit KRMT wongso negoro terdapat kasus 9.657 pasien dengan jumlah peserta</w:t>
      </w:r>
      <w:r w:rsidR="00E11931">
        <w:rPr>
          <w:rFonts w:cs="Times New Roman"/>
          <w:sz w:val="20"/>
          <w:szCs w:val="24"/>
          <w:lang w:val="en-US"/>
        </w:rPr>
        <w:t xml:space="preserve"> </w:t>
      </w:r>
      <w:r w:rsidRPr="00EC0B39">
        <w:rPr>
          <w:rFonts w:cs="Times New Roman"/>
          <w:sz w:val="20"/>
          <w:szCs w:val="24"/>
          <w:lang w:val="id"/>
        </w:rPr>
        <w:t>1.542 pasien, Rumah sakit roemani muhamadiyah terdapat kasus 9.993 dengan peserta 1.358 pasien, Rumah Sakit Culombia Asia Semarang terdapat kasus 885 dengan peserta 119 pasien, Rumah Sakit ST Elisabeth terdapat kasus 4.704 pasien dengan peserta 636 pasien, Rumah Sakit Permata Medika terdapat kasus 4.575 pas</w:t>
      </w:r>
      <w:r w:rsidR="001302B8">
        <w:rPr>
          <w:rFonts w:cs="Times New Roman"/>
          <w:sz w:val="20"/>
          <w:szCs w:val="24"/>
          <w:lang w:val="id"/>
        </w:rPr>
        <w:t>ien dengan peserta 568 pasien (</w:t>
      </w:r>
      <w:r w:rsidRPr="00EC0B39">
        <w:rPr>
          <w:rFonts w:cs="Times New Roman"/>
          <w:sz w:val="20"/>
          <w:szCs w:val="24"/>
          <w:lang w:val="id"/>
        </w:rPr>
        <w:t>BPJS Kota Semarang, 2020)</w:t>
      </w:r>
    </w:p>
    <w:p w14:paraId="314C34DD" w14:textId="05CFE4AE" w:rsidR="00EC0B39" w:rsidRPr="00EC0B39" w:rsidRDefault="00EC0B39" w:rsidP="00F01C27">
      <w:pPr>
        <w:pStyle w:val="NoSpacing"/>
        <w:outlineLvl w:val="3"/>
        <w:rPr>
          <w:rFonts w:cs="Times New Roman"/>
          <w:sz w:val="20"/>
          <w:szCs w:val="24"/>
          <w:lang w:val="id"/>
        </w:rPr>
      </w:pPr>
      <w:r w:rsidRPr="00EC0B39">
        <w:rPr>
          <w:rFonts w:cs="Times New Roman"/>
          <w:sz w:val="20"/>
          <w:szCs w:val="24"/>
          <w:lang w:val="id"/>
        </w:rPr>
        <w:t>Rumah Sakit Islam Sultan Agung adalah rumah sakit tipe B di kota semarang saat ini memiliki 17 Unit alat Hemodialisa, 17 Unit tempat tidur, serta di dukung oleh tenaga perawat dan dokter spesialis yang terlatih di bidang hemodialisa. Data yang dilaporkan dari RS Islam Sultan agung semarang merupakan salah satu rumah sakit rujukan di provinsi jawa tengah, pada tahun 2017 terdapat pasien anemia penaykit ginjal kronis 265 orang yang menjalani hemodialisa (100%), tahun 2018 terdapat 227 orang anemia penyakit ginjal kronis yang menjalani hemodialisa</w:t>
      </w:r>
      <w:r w:rsidR="00E11931">
        <w:rPr>
          <w:rFonts w:cs="Times New Roman"/>
          <w:sz w:val="20"/>
          <w:szCs w:val="24"/>
          <w:lang w:val="en-US"/>
        </w:rPr>
        <w:t xml:space="preserve"> </w:t>
      </w:r>
      <w:r w:rsidRPr="00EC0B39">
        <w:rPr>
          <w:rFonts w:cs="Times New Roman"/>
          <w:sz w:val="20"/>
          <w:szCs w:val="24"/>
          <w:lang w:val="id"/>
        </w:rPr>
        <w:t>(100%), tahun 2019 terdapat 339 orang anemia penyakit ginjal kronis yang menjalani hemodialisa (100%), tahun 2020 terdapat 211 orang penyakit ginjal kronis yang menjalani hemodialisa (100%) (Instalasi HD RS Islam Sultan Agung Semarang, 2020).</w:t>
      </w:r>
    </w:p>
    <w:p w14:paraId="565D865E" w14:textId="032C5666" w:rsidR="00767F25" w:rsidRDefault="00EC0B39" w:rsidP="00F01C27">
      <w:pPr>
        <w:pStyle w:val="NoSpacing"/>
        <w:outlineLvl w:val="3"/>
        <w:rPr>
          <w:rFonts w:cs="Times New Roman"/>
          <w:sz w:val="20"/>
          <w:szCs w:val="24"/>
          <w:lang w:val="id"/>
        </w:rPr>
      </w:pPr>
      <w:r w:rsidRPr="00EC0B39">
        <w:rPr>
          <w:rFonts w:cs="Times New Roman"/>
          <w:sz w:val="20"/>
          <w:szCs w:val="24"/>
          <w:lang w:val="id"/>
        </w:rPr>
        <w:t xml:space="preserve">Berdasarkan studi pendahuluan yang dilakukan oleh peneliti pada tanggal 27 Oktober 2020 dilakukan wawancara dengan 10 responden pasien penyakit ginjal kronik yang menjalani hemodialisa 3 responden mengatakan pusing setiap hari karena Hb yang rendah 4 mengatakan lemas kemudian 3 responden mengatakan ingin </w:t>
      </w:r>
      <w:r w:rsidRPr="00EC0B39">
        <w:rPr>
          <w:rFonts w:cs="Times New Roman"/>
          <w:sz w:val="20"/>
          <w:szCs w:val="24"/>
          <w:lang w:val="id"/>
        </w:rPr>
        <w:lastRenderedPageBreak/>
        <w:t>mual. Dari hasil pengamatan peneliti didapatkan Pasien penyakit ginjal kronis yang menjalani hemodialisa masih banyak pasien yang</w:t>
      </w:r>
      <w:r w:rsidRPr="00EC0B39">
        <w:rPr>
          <w:rFonts w:cs="Times New Roman"/>
          <w:sz w:val="20"/>
          <w:szCs w:val="24"/>
        </w:rPr>
        <w:t xml:space="preserve"> hemoglobin (</w:t>
      </w:r>
      <w:r w:rsidRPr="00EC0B39">
        <w:rPr>
          <w:rFonts w:cs="Times New Roman"/>
          <w:sz w:val="20"/>
          <w:szCs w:val="24"/>
          <w:lang w:val="id"/>
        </w:rPr>
        <w:t>Hb</w:t>
      </w:r>
      <w:r w:rsidRPr="00EC0B39">
        <w:rPr>
          <w:rFonts w:cs="Times New Roman"/>
          <w:sz w:val="20"/>
          <w:szCs w:val="24"/>
        </w:rPr>
        <w:t>)</w:t>
      </w:r>
      <w:r w:rsidRPr="00EC0B39">
        <w:rPr>
          <w:rFonts w:cs="Times New Roman"/>
          <w:sz w:val="20"/>
          <w:szCs w:val="24"/>
          <w:lang w:val="id"/>
        </w:rPr>
        <w:t xml:space="preserve"> di bawah 13 mg/dL pada pria dan 12 mg/dL pada wanita maka dari itu perlu di lakukan penelitian anemia penyakit ginjal kronis untuk mengontrol Hemoglobin (Hb) agar memperpanjang hidup pasien. Masih banyak pasien yang tidak rutin mengonsumsi obat pada pihak rumah sakit maka dari itu meneliti ingin mengetahui Pengaruh penyakit penyerta, dukungan keluarga, tingkat pengetahun, tingkat kepatuhan, kreatinin serum, ureum, </w:t>
      </w:r>
      <w:r w:rsidRPr="00EC0B39">
        <w:rPr>
          <w:rFonts w:cs="Times New Roman"/>
          <w:sz w:val="20"/>
          <w:szCs w:val="24"/>
        </w:rPr>
        <w:t xml:space="preserve">dan </w:t>
      </w:r>
      <w:r w:rsidRPr="00EC0B39">
        <w:rPr>
          <w:rFonts w:cs="Times New Roman"/>
          <w:sz w:val="20"/>
          <w:szCs w:val="24"/>
          <w:lang w:val="id"/>
        </w:rPr>
        <w:t>konsumsi Eritropoietin (EPO) yang mempengaruhi anemia pada pasien penyakit ginjal kronis yang menjalani hemodialisa di RS Islam Sultan Agung Semarang.</w:t>
      </w:r>
    </w:p>
    <w:p w14:paraId="56FB3210" w14:textId="77777777" w:rsidR="00F01C27" w:rsidRPr="00EC0B39" w:rsidRDefault="00F01C27" w:rsidP="00F01C27">
      <w:pPr>
        <w:pStyle w:val="NoSpacing"/>
        <w:outlineLvl w:val="3"/>
        <w:rPr>
          <w:rFonts w:cs="Times New Roman"/>
          <w:sz w:val="20"/>
          <w:szCs w:val="24"/>
          <w:lang w:val="id"/>
        </w:rPr>
      </w:pPr>
    </w:p>
    <w:p w14:paraId="0E53AB68" w14:textId="62BB92BB" w:rsidR="00EC0B39" w:rsidRDefault="00BF7C53" w:rsidP="00EC0B39">
      <w:pPr>
        <w:pStyle w:val="Heading2"/>
        <w:rPr>
          <w:lang w:val="id-ID"/>
        </w:rPr>
      </w:pPr>
      <w:r w:rsidRPr="003C1602">
        <w:rPr>
          <w:lang w:val="id-ID"/>
        </w:rPr>
        <w:t>Metode</w:t>
      </w:r>
    </w:p>
    <w:p w14:paraId="50F8FE27" w14:textId="77777777" w:rsidR="00AD0CB5" w:rsidRPr="00AD0CB5" w:rsidRDefault="00AD0CB5" w:rsidP="00AD0CB5">
      <w:pPr>
        <w:rPr>
          <w:lang w:val="id-ID"/>
        </w:rPr>
      </w:pPr>
    </w:p>
    <w:p w14:paraId="07BD7E3F" w14:textId="777ECA43" w:rsidR="00A66FC9" w:rsidRDefault="00A66FC9" w:rsidP="00A66FC9">
      <w:pPr>
        <w:outlineLvl w:val="3"/>
        <w:rPr>
          <w:rFonts w:ascii="Calisto MT" w:hAnsi="Calisto MT"/>
          <w:sz w:val="20"/>
          <w:szCs w:val="20"/>
        </w:rPr>
      </w:pPr>
      <w:r w:rsidRPr="00A66FC9">
        <w:rPr>
          <w:rFonts w:ascii="Calisto MT" w:hAnsi="Calisto MT"/>
          <w:sz w:val="20"/>
          <w:szCs w:val="20"/>
        </w:rPr>
        <w:t xml:space="preserve">Penelitian </w:t>
      </w:r>
      <w:r>
        <w:rPr>
          <w:rFonts w:ascii="Calisto MT" w:hAnsi="Calisto MT"/>
          <w:sz w:val="20"/>
          <w:szCs w:val="20"/>
        </w:rPr>
        <w:t>ini merupakan jenis penelitian observasi analitik menggunakan desain cross sectional yaitu penelusuran sesaat artinya mengukur variabel yang dilakukan hanya satu kali untuk memperoleh informasi tentang variabel dependent dan variabel independent maka pengukuran dilakukan besama-sama pada saat penelitian meng</w:t>
      </w:r>
      <w:r w:rsidR="00AD0CB5">
        <w:rPr>
          <w:rFonts w:ascii="Calisto MT" w:hAnsi="Calisto MT"/>
          <w:sz w:val="20"/>
          <w:szCs w:val="20"/>
        </w:rPr>
        <w:t>gunakan kuisioner dan rekamedik. Populasi dalam penelitian ini 162 responden. Pengambilan sampel menggunakan tehnik total sampling. Selama 4 minggu. Populasi adalah seluruh pasien anemia penyakit ginjal kronis di RS Islam Sultan Agung Semarang.</w:t>
      </w:r>
    </w:p>
    <w:p w14:paraId="56226F77" w14:textId="3B745E4A" w:rsidR="00AD0CB5" w:rsidRPr="00A66FC9" w:rsidRDefault="00AD0CB5" w:rsidP="00A66FC9">
      <w:pPr>
        <w:outlineLvl w:val="3"/>
        <w:rPr>
          <w:rFonts w:ascii="Calisto MT" w:hAnsi="Calisto MT"/>
          <w:sz w:val="20"/>
          <w:szCs w:val="20"/>
        </w:rPr>
      </w:pPr>
      <w:r>
        <w:rPr>
          <w:rFonts w:ascii="Calisto MT" w:hAnsi="Calisto MT"/>
          <w:sz w:val="20"/>
          <w:szCs w:val="20"/>
        </w:rPr>
        <w:t>Instrument pengumpulan data menggunakan rekamedik dan kuisioner yang telah dilakukan uji validitas penelitian di bantu   enumerator. Data yang telah diperoleh di olah menggunakan path analysis untuk mengetahui pengaruh langsung dan tidak langsung.</w:t>
      </w:r>
    </w:p>
    <w:p w14:paraId="188033AA" w14:textId="6B4F7800" w:rsidR="00955D51" w:rsidRPr="00955D51" w:rsidRDefault="00955D51" w:rsidP="00F01C27">
      <w:pPr>
        <w:autoSpaceDE w:val="0"/>
        <w:autoSpaceDN w:val="0"/>
        <w:adjustRightInd w:val="0"/>
        <w:ind w:firstLine="0"/>
        <w:outlineLvl w:val="3"/>
        <w:rPr>
          <w:rFonts w:ascii="Calisto MT" w:hAnsi="Calisto MT" w:cs="Times New Roman"/>
          <w:sz w:val="20"/>
          <w:szCs w:val="20"/>
          <w:lang w:val="id-ID"/>
        </w:rPr>
      </w:pPr>
    </w:p>
    <w:p w14:paraId="45D7F3F0" w14:textId="0E3A54E2" w:rsidR="00812287" w:rsidRDefault="00BF7C53" w:rsidP="00812287">
      <w:pPr>
        <w:pStyle w:val="Heading2"/>
        <w:rPr>
          <w:lang w:val="id-ID"/>
        </w:rPr>
      </w:pPr>
      <w:r w:rsidRPr="003C1602">
        <w:rPr>
          <w:lang w:val="id-ID"/>
        </w:rPr>
        <w:t>Hasil dan pembahasan</w:t>
      </w:r>
    </w:p>
    <w:p w14:paraId="6ED723BC" w14:textId="77777777" w:rsidR="00F01C27" w:rsidRPr="00F01C27" w:rsidRDefault="00F01C27" w:rsidP="00F01C27">
      <w:pPr>
        <w:rPr>
          <w:lang w:val="id-ID"/>
        </w:rPr>
      </w:pPr>
    </w:p>
    <w:p w14:paraId="71644F54" w14:textId="77777777" w:rsidR="000F77C9" w:rsidRDefault="000F77C9" w:rsidP="00F01C27">
      <w:pPr>
        <w:outlineLvl w:val="3"/>
        <w:rPr>
          <w:rFonts w:ascii="Calisto MT" w:hAnsi="Calisto MT"/>
          <w:sz w:val="20"/>
          <w:szCs w:val="20"/>
        </w:rPr>
      </w:pPr>
      <w:r w:rsidRPr="000F77C9">
        <w:rPr>
          <w:rFonts w:ascii="Calisto MT" w:hAnsi="Calisto MT"/>
          <w:sz w:val="20"/>
          <w:szCs w:val="20"/>
        </w:rPr>
        <w:t>Model pengembangan teoritis</w:t>
      </w:r>
    </w:p>
    <w:p w14:paraId="4C2B8376" w14:textId="59DC3EDB" w:rsidR="000F77C9" w:rsidRPr="000F77C9" w:rsidRDefault="000F77C9" w:rsidP="00F01C27">
      <w:pPr>
        <w:outlineLvl w:val="3"/>
        <w:rPr>
          <w:rFonts w:ascii="Calisto MT" w:hAnsi="Calisto MT"/>
          <w:sz w:val="20"/>
          <w:szCs w:val="20"/>
        </w:rPr>
      </w:pPr>
      <w:r w:rsidRPr="000F77C9">
        <w:rPr>
          <w:rFonts w:ascii="Calisto MT" w:hAnsi="Calisto MT"/>
          <w:sz w:val="20"/>
          <w:szCs w:val="20"/>
        </w:rPr>
        <w:t xml:space="preserve">Gambar 1 diagram jalur model teoritis penelitian </w:t>
      </w:r>
    </w:p>
    <w:p w14:paraId="2B172A1A" w14:textId="2B696AC4" w:rsidR="000F77C9" w:rsidRPr="000F77C9" w:rsidRDefault="000F77C9" w:rsidP="00F01C27">
      <w:pPr>
        <w:outlineLvl w:val="3"/>
        <w:rPr>
          <w:rFonts w:ascii="Calisto MT" w:hAnsi="Calisto MT"/>
          <w:sz w:val="20"/>
          <w:szCs w:val="20"/>
          <w:lang w:val="id-ID"/>
        </w:rPr>
      </w:pPr>
      <w:r w:rsidRPr="000F77C9">
        <w:rPr>
          <w:rFonts w:ascii="Calisto MT" w:hAnsi="Calisto MT"/>
          <w:b/>
          <w:noProof/>
          <w:sz w:val="20"/>
          <w:szCs w:val="20"/>
        </w:rPr>
        <w:lastRenderedPageBreak/>
        <w:drawing>
          <wp:inline distT="0" distB="0" distL="0" distR="0" wp14:anchorId="3BB4268A" wp14:editId="02BA4CC5">
            <wp:extent cx="2625090" cy="1645194"/>
            <wp:effectExtent l="0" t="0" r="3810" b="0"/>
            <wp:docPr id="3" name="Picture 3" descr="SE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_1"/>
                    <pic:cNvPicPr>
                      <a:picLocks noChangeAspect="1" noChangeArrowheads="1"/>
                    </pic:cNvPicPr>
                  </pic:nvPicPr>
                  <pic:blipFill>
                    <a:blip r:embed="rId14">
                      <a:extLst>
                        <a:ext uri="{28A0092B-C50C-407E-A947-70E740481C1C}">
                          <a14:useLocalDpi xmlns:a14="http://schemas.microsoft.com/office/drawing/2010/main" val="0"/>
                        </a:ext>
                      </a:extLst>
                    </a:blip>
                    <a:srcRect r="15729" b="20647"/>
                    <a:stretch>
                      <a:fillRect/>
                    </a:stretch>
                  </pic:blipFill>
                  <pic:spPr bwMode="auto">
                    <a:xfrm>
                      <a:off x="0" y="0"/>
                      <a:ext cx="2625090" cy="1645194"/>
                    </a:xfrm>
                    <a:prstGeom prst="rect">
                      <a:avLst/>
                    </a:prstGeom>
                    <a:noFill/>
                    <a:ln>
                      <a:noFill/>
                    </a:ln>
                  </pic:spPr>
                </pic:pic>
              </a:graphicData>
            </a:graphic>
          </wp:inline>
        </w:drawing>
      </w:r>
      <w:r w:rsidRPr="000F77C9">
        <w:rPr>
          <w:rFonts w:ascii="Calisto MT" w:hAnsi="Calisto MT"/>
          <w:sz w:val="20"/>
          <w:szCs w:val="20"/>
          <w:lang w:val="sv-SE"/>
        </w:rPr>
        <w:t xml:space="preserve"> Gambar 1 di atas, dapat pula dinyatakan dalam bentuk persamaan sebagai berikut:</w:t>
      </w:r>
    </w:p>
    <w:p w14:paraId="769F8F6D" w14:textId="77777777" w:rsidR="00167B51" w:rsidRPr="00167B51" w:rsidRDefault="000F77C9" w:rsidP="00167B51">
      <w:pPr>
        <w:pStyle w:val="ListParagraph"/>
        <w:numPr>
          <w:ilvl w:val="0"/>
          <w:numId w:val="23"/>
        </w:numPr>
        <w:ind w:left="284" w:hanging="284"/>
        <w:outlineLvl w:val="3"/>
        <w:rPr>
          <w:rFonts w:ascii="Calisto MT" w:hAnsi="Calisto MT"/>
          <w:sz w:val="20"/>
          <w:szCs w:val="20"/>
          <w:lang w:val="id-ID"/>
        </w:rPr>
      </w:pPr>
      <w:r w:rsidRPr="000F77C9">
        <w:rPr>
          <w:rFonts w:ascii="Calisto MT" w:hAnsi="Calisto MT"/>
          <w:sz w:val="20"/>
          <w:szCs w:val="20"/>
        </w:rPr>
        <w:t xml:space="preserve">Y1 = </w:t>
      </w:r>
      <w:r w:rsidRPr="000F77C9">
        <w:rPr>
          <w:rFonts w:ascii="Cambria" w:hAnsi="Cambria" w:cs="Cambria"/>
          <w:sz w:val="20"/>
          <w:szCs w:val="20"/>
        </w:rPr>
        <w:t>β</w:t>
      </w:r>
      <w:r w:rsidRPr="000F77C9">
        <w:rPr>
          <w:rFonts w:ascii="Calisto MT" w:hAnsi="Calisto MT"/>
          <w:sz w:val="20"/>
          <w:szCs w:val="20"/>
          <w:vertAlign w:val="subscript"/>
        </w:rPr>
        <w:t>1</w:t>
      </w:r>
      <w:r w:rsidRPr="000F77C9">
        <w:rPr>
          <w:rFonts w:ascii="Calisto MT" w:hAnsi="Calisto MT"/>
          <w:sz w:val="20"/>
          <w:szCs w:val="20"/>
        </w:rPr>
        <w:t xml:space="preserve"> X1 + </w:t>
      </w:r>
      <w:r w:rsidRPr="000F77C9">
        <w:rPr>
          <w:rFonts w:ascii="Cambria" w:hAnsi="Cambria" w:cs="Cambria"/>
          <w:sz w:val="20"/>
          <w:szCs w:val="20"/>
        </w:rPr>
        <w:t>β</w:t>
      </w:r>
      <w:r w:rsidRPr="000F77C9">
        <w:rPr>
          <w:rFonts w:ascii="Calisto MT" w:hAnsi="Calisto MT"/>
          <w:sz w:val="20"/>
          <w:szCs w:val="20"/>
          <w:vertAlign w:val="subscript"/>
        </w:rPr>
        <w:t>2</w:t>
      </w:r>
      <w:r w:rsidRPr="000F77C9">
        <w:rPr>
          <w:rFonts w:ascii="Calisto MT" w:hAnsi="Calisto MT"/>
          <w:sz w:val="20"/>
          <w:szCs w:val="20"/>
        </w:rPr>
        <w:t xml:space="preserve"> X2 + </w:t>
      </w:r>
      <w:r w:rsidRPr="000F77C9">
        <w:rPr>
          <w:rFonts w:ascii="Cambria" w:hAnsi="Cambria" w:cs="Cambria"/>
          <w:sz w:val="20"/>
          <w:szCs w:val="20"/>
        </w:rPr>
        <w:t>β</w:t>
      </w:r>
      <w:r w:rsidRPr="000F77C9">
        <w:rPr>
          <w:rFonts w:ascii="Calisto MT" w:hAnsi="Calisto MT"/>
          <w:sz w:val="20"/>
          <w:szCs w:val="20"/>
          <w:vertAlign w:val="subscript"/>
        </w:rPr>
        <w:t>3</w:t>
      </w:r>
      <w:r w:rsidRPr="000F77C9">
        <w:rPr>
          <w:rFonts w:ascii="Calisto MT" w:hAnsi="Calisto MT"/>
          <w:sz w:val="20"/>
          <w:szCs w:val="20"/>
        </w:rPr>
        <w:t xml:space="preserve"> X3 + </w:t>
      </w:r>
      <w:r w:rsidRPr="000F77C9">
        <w:rPr>
          <w:rFonts w:ascii="Cambria" w:hAnsi="Cambria" w:cs="Cambria"/>
          <w:sz w:val="20"/>
          <w:szCs w:val="20"/>
        </w:rPr>
        <w:t>β</w:t>
      </w:r>
      <w:r w:rsidRPr="000F77C9">
        <w:rPr>
          <w:rFonts w:ascii="Calisto MT" w:hAnsi="Calisto MT"/>
          <w:sz w:val="20"/>
          <w:szCs w:val="20"/>
          <w:vertAlign w:val="subscript"/>
        </w:rPr>
        <w:t>4</w:t>
      </w:r>
      <w:r w:rsidRPr="000F77C9">
        <w:rPr>
          <w:rFonts w:ascii="Calisto MT" w:hAnsi="Calisto MT"/>
          <w:sz w:val="20"/>
          <w:szCs w:val="20"/>
        </w:rPr>
        <w:t xml:space="preserve"> X4 + </w:t>
      </w:r>
      <w:r w:rsidRPr="000F77C9">
        <w:rPr>
          <w:rFonts w:ascii="Cambria" w:hAnsi="Cambria" w:cs="Cambria"/>
          <w:sz w:val="20"/>
          <w:szCs w:val="20"/>
        </w:rPr>
        <w:t>β</w:t>
      </w:r>
      <w:r w:rsidRPr="000F77C9">
        <w:rPr>
          <w:rFonts w:ascii="Calisto MT" w:hAnsi="Calisto MT"/>
          <w:sz w:val="20"/>
          <w:szCs w:val="20"/>
          <w:vertAlign w:val="subscript"/>
        </w:rPr>
        <w:t>5</w:t>
      </w:r>
      <w:r w:rsidRPr="000F77C9">
        <w:rPr>
          <w:rFonts w:ascii="Calisto MT" w:hAnsi="Calisto MT"/>
          <w:sz w:val="20"/>
          <w:szCs w:val="20"/>
        </w:rPr>
        <w:t xml:space="preserve"> X5 + </w:t>
      </w:r>
      <w:r w:rsidRPr="000F77C9">
        <w:rPr>
          <w:rFonts w:ascii="Cambria" w:hAnsi="Cambria" w:cs="Cambria"/>
          <w:sz w:val="20"/>
          <w:szCs w:val="20"/>
        </w:rPr>
        <w:t>β</w:t>
      </w:r>
      <w:r w:rsidRPr="000F77C9">
        <w:rPr>
          <w:rFonts w:ascii="Calisto MT" w:hAnsi="Calisto MT"/>
          <w:sz w:val="20"/>
          <w:szCs w:val="20"/>
          <w:vertAlign w:val="subscript"/>
        </w:rPr>
        <w:t>6</w:t>
      </w:r>
      <w:r w:rsidRPr="000F77C9">
        <w:rPr>
          <w:rFonts w:ascii="Calisto MT" w:hAnsi="Calisto MT"/>
          <w:sz w:val="20"/>
          <w:szCs w:val="20"/>
        </w:rPr>
        <w:t xml:space="preserve"> X6 + </w:t>
      </w:r>
      <w:r w:rsidRPr="000F77C9">
        <w:rPr>
          <w:rFonts w:ascii="Cambria" w:hAnsi="Cambria" w:cs="Cambria"/>
          <w:sz w:val="20"/>
          <w:szCs w:val="20"/>
        </w:rPr>
        <w:t>ε</w:t>
      </w:r>
      <w:r w:rsidRPr="000F77C9">
        <w:rPr>
          <w:rFonts w:ascii="Calisto MT" w:hAnsi="Calisto MT"/>
          <w:sz w:val="20"/>
          <w:szCs w:val="20"/>
          <w:vertAlign w:val="subscript"/>
        </w:rPr>
        <w:t>i</w:t>
      </w:r>
      <w:r w:rsidRPr="000F77C9">
        <w:rPr>
          <w:rFonts w:ascii="Calisto MT" w:hAnsi="Calisto MT"/>
          <w:sz w:val="20"/>
          <w:szCs w:val="20"/>
        </w:rPr>
        <w:tab/>
      </w:r>
      <w:r w:rsidRPr="000F77C9">
        <w:rPr>
          <w:rFonts w:ascii="Calisto MT" w:hAnsi="Calisto MT"/>
          <w:sz w:val="20"/>
          <w:szCs w:val="20"/>
        </w:rPr>
        <w:tab/>
        <w:t>(Substruktur 1)</w:t>
      </w:r>
    </w:p>
    <w:p w14:paraId="2CA0996B" w14:textId="3B98F945" w:rsidR="000F77C9" w:rsidRPr="00167B51" w:rsidRDefault="000F77C9" w:rsidP="00167B51">
      <w:pPr>
        <w:pStyle w:val="ListParagraph"/>
        <w:numPr>
          <w:ilvl w:val="0"/>
          <w:numId w:val="23"/>
        </w:numPr>
        <w:ind w:left="284" w:hanging="284"/>
        <w:outlineLvl w:val="3"/>
        <w:rPr>
          <w:rFonts w:ascii="Calisto MT" w:hAnsi="Calisto MT"/>
          <w:sz w:val="20"/>
          <w:szCs w:val="20"/>
          <w:lang w:val="id-ID"/>
        </w:rPr>
      </w:pPr>
      <w:r w:rsidRPr="00167B51">
        <w:rPr>
          <w:rFonts w:ascii="Calisto MT" w:hAnsi="Calisto MT"/>
          <w:sz w:val="20"/>
          <w:szCs w:val="20"/>
        </w:rPr>
        <w:t xml:space="preserve">Y2 = </w:t>
      </w:r>
      <w:r w:rsidRPr="00167B51">
        <w:rPr>
          <w:rFonts w:ascii="Cambria" w:hAnsi="Cambria" w:cs="Cambria"/>
          <w:sz w:val="20"/>
          <w:szCs w:val="20"/>
        </w:rPr>
        <w:t>β</w:t>
      </w:r>
      <w:r w:rsidRPr="00167B51">
        <w:rPr>
          <w:rFonts w:ascii="Calisto MT" w:hAnsi="Calisto MT"/>
          <w:sz w:val="20"/>
          <w:szCs w:val="20"/>
          <w:vertAlign w:val="subscript"/>
        </w:rPr>
        <w:t>7</w:t>
      </w:r>
      <w:r w:rsidRPr="00167B51">
        <w:rPr>
          <w:rFonts w:ascii="Calisto MT" w:hAnsi="Calisto MT"/>
          <w:sz w:val="20"/>
          <w:szCs w:val="20"/>
        </w:rPr>
        <w:t xml:space="preserve"> Y1 + </w:t>
      </w:r>
      <w:r w:rsidRPr="00167B51">
        <w:rPr>
          <w:rFonts w:ascii="Cambria" w:hAnsi="Cambria" w:cs="Cambria"/>
          <w:sz w:val="20"/>
          <w:szCs w:val="20"/>
        </w:rPr>
        <w:t>β</w:t>
      </w:r>
      <w:r w:rsidRPr="00167B51">
        <w:rPr>
          <w:rFonts w:ascii="Calisto MT" w:hAnsi="Calisto MT"/>
          <w:sz w:val="20"/>
          <w:szCs w:val="20"/>
          <w:vertAlign w:val="subscript"/>
        </w:rPr>
        <w:t>8</w:t>
      </w:r>
      <w:r w:rsidRPr="00167B51">
        <w:rPr>
          <w:rFonts w:ascii="Calisto MT" w:hAnsi="Calisto MT"/>
          <w:sz w:val="20"/>
          <w:szCs w:val="20"/>
        </w:rPr>
        <w:t xml:space="preserve"> X1 + </w:t>
      </w:r>
      <w:r w:rsidRPr="00167B51">
        <w:rPr>
          <w:rFonts w:ascii="Cambria" w:hAnsi="Cambria" w:cs="Cambria"/>
          <w:sz w:val="20"/>
          <w:szCs w:val="20"/>
        </w:rPr>
        <w:t>β</w:t>
      </w:r>
      <w:r w:rsidRPr="00167B51">
        <w:rPr>
          <w:rFonts w:ascii="Calisto MT" w:hAnsi="Calisto MT"/>
          <w:sz w:val="20"/>
          <w:szCs w:val="20"/>
          <w:vertAlign w:val="subscript"/>
        </w:rPr>
        <w:t>9</w:t>
      </w:r>
      <w:r w:rsidRPr="00167B51">
        <w:rPr>
          <w:rFonts w:ascii="Calisto MT" w:hAnsi="Calisto MT"/>
          <w:sz w:val="20"/>
          <w:szCs w:val="20"/>
        </w:rPr>
        <w:t xml:space="preserve"> X2 + </w:t>
      </w:r>
      <w:r w:rsidRPr="00167B51">
        <w:rPr>
          <w:rFonts w:ascii="Cambria" w:hAnsi="Cambria" w:cs="Cambria"/>
          <w:sz w:val="20"/>
          <w:szCs w:val="20"/>
        </w:rPr>
        <w:t>β</w:t>
      </w:r>
      <w:r w:rsidRPr="00167B51">
        <w:rPr>
          <w:rFonts w:ascii="Calisto MT" w:hAnsi="Calisto MT"/>
          <w:sz w:val="20"/>
          <w:szCs w:val="20"/>
          <w:vertAlign w:val="subscript"/>
        </w:rPr>
        <w:t>10</w:t>
      </w:r>
      <w:r w:rsidRPr="00167B51">
        <w:rPr>
          <w:rFonts w:ascii="Calisto MT" w:hAnsi="Calisto MT"/>
          <w:sz w:val="20"/>
          <w:szCs w:val="20"/>
        </w:rPr>
        <w:t xml:space="preserve"> X3 + </w:t>
      </w:r>
      <w:r w:rsidRPr="00167B51">
        <w:rPr>
          <w:rFonts w:ascii="Cambria" w:hAnsi="Cambria" w:cs="Cambria"/>
          <w:sz w:val="20"/>
          <w:szCs w:val="20"/>
        </w:rPr>
        <w:t>β</w:t>
      </w:r>
      <w:r w:rsidRPr="00167B51">
        <w:rPr>
          <w:rFonts w:ascii="Calisto MT" w:hAnsi="Calisto MT"/>
          <w:sz w:val="20"/>
          <w:szCs w:val="20"/>
          <w:vertAlign w:val="subscript"/>
        </w:rPr>
        <w:t>11</w:t>
      </w:r>
      <w:r w:rsidRPr="00167B51">
        <w:rPr>
          <w:rFonts w:ascii="Calisto MT" w:hAnsi="Calisto MT"/>
          <w:sz w:val="20"/>
          <w:szCs w:val="20"/>
        </w:rPr>
        <w:t xml:space="preserve"> X4 + </w:t>
      </w:r>
      <w:r w:rsidRPr="00167B51">
        <w:rPr>
          <w:rFonts w:ascii="Cambria" w:hAnsi="Cambria" w:cs="Cambria"/>
          <w:sz w:val="20"/>
          <w:szCs w:val="20"/>
        </w:rPr>
        <w:t>β</w:t>
      </w:r>
      <w:r w:rsidRPr="00167B51">
        <w:rPr>
          <w:rFonts w:ascii="Calisto MT" w:hAnsi="Calisto MT"/>
          <w:sz w:val="20"/>
          <w:szCs w:val="20"/>
          <w:vertAlign w:val="subscript"/>
        </w:rPr>
        <w:t>12</w:t>
      </w:r>
      <w:r w:rsidRPr="00167B51">
        <w:rPr>
          <w:rFonts w:ascii="Calisto MT" w:hAnsi="Calisto MT"/>
          <w:sz w:val="20"/>
          <w:szCs w:val="20"/>
        </w:rPr>
        <w:t xml:space="preserve"> X5 + </w:t>
      </w:r>
      <w:r w:rsidRPr="00167B51">
        <w:rPr>
          <w:rFonts w:ascii="Cambria" w:hAnsi="Cambria" w:cs="Cambria"/>
          <w:sz w:val="20"/>
          <w:szCs w:val="20"/>
        </w:rPr>
        <w:t>β</w:t>
      </w:r>
      <w:r w:rsidRPr="00167B51">
        <w:rPr>
          <w:rFonts w:ascii="Calisto MT" w:hAnsi="Calisto MT"/>
          <w:sz w:val="20"/>
          <w:szCs w:val="20"/>
          <w:vertAlign w:val="subscript"/>
        </w:rPr>
        <w:t>13</w:t>
      </w:r>
      <w:r w:rsidRPr="00167B51">
        <w:rPr>
          <w:rFonts w:ascii="Calisto MT" w:hAnsi="Calisto MT"/>
          <w:sz w:val="20"/>
          <w:szCs w:val="20"/>
        </w:rPr>
        <w:t xml:space="preserve"> X6 + </w:t>
      </w:r>
      <w:r w:rsidRPr="00167B51">
        <w:rPr>
          <w:rFonts w:ascii="Cambria" w:hAnsi="Cambria" w:cs="Cambria"/>
          <w:sz w:val="20"/>
          <w:szCs w:val="20"/>
        </w:rPr>
        <w:t>ε</w:t>
      </w:r>
      <w:r w:rsidRPr="00167B51">
        <w:rPr>
          <w:rFonts w:ascii="Calisto MT" w:hAnsi="Calisto MT"/>
          <w:sz w:val="20"/>
          <w:szCs w:val="20"/>
          <w:vertAlign w:val="subscript"/>
        </w:rPr>
        <w:t>i</w:t>
      </w:r>
      <w:r w:rsidRPr="00167B51">
        <w:rPr>
          <w:rFonts w:ascii="Calisto MT" w:hAnsi="Calisto MT"/>
          <w:sz w:val="20"/>
          <w:szCs w:val="20"/>
        </w:rPr>
        <w:tab/>
        <w:t>(Substruktur 2)</w:t>
      </w:r>
      <w:r w:rsidR="00E64050" w:rsidRPr="00167B51">
        <w:rPr>
          <w:rFonts w:ascii="Calisto MT" w:hAnsi="Calisto MT"/>
          <w:sz w:val="20"/>
          <w:szCs w:val="20"/>
        </w:rPr>
        <w:br/>
      </w:r>
    </w:p>
    <w:p w14:paraId="3963BBEB" w14:textId="4D7AA0AA" w:rsidR="001302B8" w:rsidRPr="000F77C9" w:rsidRDefault="001302B8" w:rsidP="00F01C27">
      <w:pPr>
        <w:pStyle w:val="ListParagraph"/>
        <w:ind w:left="284"/>
        <w:outlineLvl w:val="3"/>
        <w:rPr>
          <w:rFonts w:ascii="Calisto MT" w:hAnsi="Calisto MT"/>
          <w:sz w:val="20"/>
          <w:szCs w:val="20"/>
          <w:lang w:val="id-ID"/>
        </w:rPr>
      </w:pPr>
      <w:r>
        <w:rPr>
          <w:rFonts w:ascii="Calisto MT" w:hAnsi="Calisto MT"/>
          <w:sz w:val="20"/>
          <w:szCs w:val="20"/>
        </w:rPr>
        <w:t>Tabel</w:t>
      </w:r>
      <w:r w:rsidR="00622712">
        <w:rPr>
          <w:rFonts w:ascii="Calisto MT" w:hAnsi="Calisto MT"/>
          <w:sz w:val="20"/>
          <w:szCs w:val="20"/>
        </w:rPr>
        <w:t xml:space="preserve"> 1 hasil analisis regresi</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680"/>
        <w:gridCol w:w="579"/>
        <w:gridCol w:w="692"/>
        <w:gridCol w:w="1074"/>
      </w:tblGrid>
      <w:tr w:rsidR="00E64050" w:rsidRPr="000F77C9" w14:paraId="7835C553" w14:textId="77777777" w:rsidTr="00AD0CB5">
        <w:trPr>
          <w:trHeight w:val="58"/>
          <w:jc w:val="center"/>
        </w:trPr>
        <w:tc>
          <w:tcPr>
            <w:tcW w:w="1337" w:type="pct"/>
            <w:tcBorders>
              <w:top w:val="single" w:sz="4" w:space="0" w:color="auto"/>
              <w:left w:val="single" w:sz="4" w:space="0" w:color="auto"/>
              <w:bottom w:val="single" w:sz="4" w:space="0" w:color="auto"/>
              <w:right w:val="single" w:sz="4" w:space="0" w:color="auto"/>
            </w:tcBorders>
            <w:vAlign w:val="center"/>
          </w:tcPr>
          <w:p w14:paraId="29AABF15" w14:textId="77777777" w:rsidR="000F77C9" w:rsidRPr="000F77C9" w:rsidRDefault="000F77C9" w:rsidP="00E64050">
            <w:pPr>
              <w:pStyle w:val="NoSpacing"/>
              <w:tabs>
                <w:tab w:val="left" w:pos="2394"/>
              </w:tabs>
              <w:spacing w:line="240" w:lineRule="auto"/>
              <w:ind w:firstLine="0"/>
              <w:rPr>
                <w:b/>
                <w:sz w:val="20"/>
                <w:szCs w:val="20"/>
              </w:rPr>
            </w:pPr>
            <w:r w:rsidRPr="000F77C9">
              <w:rPr>
                <w:b/>
                <w:sz w:val="20"/>
                <w:szCs w:val="20"/>
              </w:rPr>
              <w:t>Variabel</w:t>
            </w:r>
          </w:p>
        </w:tc>
        <w:tc>
          <w:tcPr>
            <w:tcW w:w="823" w:type="pct"/>
            <w:tcBorders>
              <w:top w:val="single" w:sz="4" w:space="0" w:color="auto"/>
              <w:left w:val="single" w:sz="4" w:space="0" w:color="auto"/>
              <w:bottom w:val="single" w:sz="4" w:space="0" w:color="auto"/>
              <w:right w:val="single" w:sz="4" w:space="0" w:color="auto"/>
            </w:tcBorders>
            <w:vAlign w:val="center"/>
          </w:tcPr>
          <w:p w14:paraId="167158A8" w14:textId="77777777" w:rsidR="000F77C9" w:rsidRPr="000F77C9" w:rsidRDefault="000F77C9" w:rsidP="00E64050">
            <w:pPr>
              <w:pStyle w:val="NoSpacing"/>
              <w:tabs>
                <w:tab w:val="left" w:pos="2394"/>
              </w:tabs>
              <w:spacing w:line="240" w:lineRule="auto"/>
              <w:ind w:firstLine="0"/>
              <w:rPr>
                <w:b/>
                <w:sz w:val="20"/>
                <w:szCs w:val="20"/>
              </w:rPr>
            </w:pPr>
            <w:r w:rsidRPr="000F77C9">
              <w:rPr>
                <w:b/>
                <w:sz w:val="20"/>
                <w:szCs w:val="20"/>
              </w:rPr>
              <w:t>Beta</w:t>
            </w:r>
          </w:p>
        </w:tc>
        <w:tc>
          <w:tcPr>
            <w:tcW w:w="701" w:type="pct"/>
            <w:tcBorders>
              <w:top w:val="single" w:sz="4" w:space="0" w:color="auto"/>
              <w:left w:val="single" w:sz="4" w:space="0" w:color="auto"/>
              <w:bottom w:val="single" w:sz="4" w:space="0" w:color="auto"/>
              <w:right w:val="single" w:sz="4" w:space="0" w:color="auto"/>
            </w:tcBorders>
            <w:vAlign w:val="center"/>
          </w:tcPr>
          <w:p w14:paraId="1562D836" w14:textId="77777777" w:rsidR="000F77C9" w:rsidRPr="000F77C9" w:rsidRDefault="000F77C9" w:rsidP="00E64050">
            <w:pPr>
              <w:pStyle w:val="NoSpacing"/>
              <w:tabs>
                <w:tab w:val="left" w:pos="2394"/>
              </w:tabs>
              <w:spacing w:line="240" w:lineRule="auto"/>
              <w:ind w:firstLine="0"/>
              <w:rPr>
                <w:b/>
                <w:sz w:val="20"/>
                <w:szCs w:val="20"/>
                <w:lang w:val="en-US"/>
              </w:rPr>
            </w:pPr>
            <w:r w:rsidRPr="000F77C9">
              <w:rPr>
                <w:b/>
                <w:sz w:val="20"/>
                <w:szCs w:val="20"/>
                <w:lang w:val="en-US"/>
              </w:rPr>
              <w:t>z</w:t>
            </w:r>
          </w:p>
        </w:tc>
        <w:tc>
          <w:tcPr>
            <w:tcW w:w="838" w:type="pct"/>
            <w:tcBorders>
              <w:top w:val="single" w:sz="4" w:space="0" w:color="auto"/>
              <w:left w:val="single" w:sz="4" w:space="0" w:color="auto"/>
              <w:bottom w:val="single" w:sz="4" w:space="0" w:color="auto"/>
              <w:right w:val="single" w:sz="4" w:space="0" w:color="auto"/>
            </w:tcBorders>
            <w:vAlign w:val="center"/>
          </w:tcPr>
          <w:p w14:paraId="0C0D456B" w14:textId="71C47D17" w:rsidR="000F77C9" w:rsidRPr="00E64050" w:rsidRDefault="00E64050" w:rsidP="00E64050">
            <w:pPr>
              <w:pStyle w:val="NoSpacing"/>
              <w:tabs>
                <w:tab w:val="left" w:pos="2394"/>
              </w:tabs>
              <w:spacing w:line="240" w:lineRule="auto"/>
              <w:ind w:firstLine="0"/>
              <w:rPr>
                <w:b/>
                <w:i/>
                <w:sz w:val="20"/>
                <w:szCs w:val="20"/>
                <w:lang w:val="en-US"/>
              </w:rPr>
            </w:pPr>
            <w:r w:rsidRPr="00E64050">
              <w:rPr>
                <w:b/>
                <w:i/>
                <w:sz w:val="20"/>
                <w:szCs w:val="20"/>
                <w:lang w:val="en-US"/>
              </w:rPr>
              <w:t>V</w:t>
            </w:r>
            <w:r w:rsidR="000F77C9" w:rsidRPr="00E64050">
              <w:rPr>
                <w:b/>
                <w:i/>
                <w:sz w:val="20"/>
                <w:szCs w:val="20"/>
                <w:lang w:val="en-US"/>
              </w:rPr>
              <w:t>alue</w:t>
            </w:r>
          </w:p>
        </w:tc>
        <w:tc>
          <w:tcPr>
            <w:tcW w:w="1301" w:type="pct"/>
            <w:tcBorders>
              <w:top w:val="single" w:sz="4" w:space="0" w:color="auto"/>
              <w:left w:val="single" w:sz="4" w:space="0" w:color="auto"/>
              <w:bottom w:val="single" w:sz="4" w:space="0" w:color="auto"/>
              <w:right w:val="single" w:sz="4" w:space="0" w:color="auto"/>
            </w:tcBorders>
            <w:vAlign w:val="center"/>
          </w:tcPr>
          <w:p w14:paraId="742CDD61" w14:textId="70C6ED29" w:rsidR="000F77C9" w:rsidRPr="000F77C9" w:rsidRDefault="00E64050" w:rsidP="00E64050">
            <w:pPr>
              <w:pStyle w:val="NoSpacing"/>
              <w:tabs>
                <w:tab w:val="left" w:pos="2394"/>
              </w:tabs>
              <w:spacing w:line="240" w:lineRule="auto"/>
              <w:ind w:firstLine="0"/>
              <w:rPr>
                <w:b/>
                <w:sz w:val="20"/>
                <w:szCs w:val="20"/>
              </w:rPr>
            </w:pPr>
            <w:r>
              <w:rPr>
                <w:b/>
                <w:sz w:val="20"/>
                <w:szCs w:val="20"/>
              </w:rPr>
              <w:t>Ket.</w:t>
            </w:r>
          </w:p>
        </w:tc>
      </w:tr>
      <w:tr w:rsidR="00E64050" w:rsidRPr="000F77C9" w14:paraId="6836E19E" w14:textId="77777777" w:rsidTr="00AD0CB5">
        <w:trPr>
          <w:trHeight w:val="58"/>
          <w:jc w:val="center"/>
        </w:trPr>
        <w:tc>
          <w:tcPr>
            <w:tcW w:w="1337" w:type="pct"/>
            <w:tcBorders>
              <w:top w:val="single" w:sz="4" w:space="0" w:color="auto"/>
              <w:left w:val="single" w:sz="4" w:space="0" w:color="auto"/>
              <w:bottom w:val="nil"/>
              <w:right w:val="single" w:sz="4" w:space="0" w:color="auto"/>
            </w:tcBorders>
            <w:vAlign w:val="center"/>
          </w:tcPr>
          <w:p w14:paraId="41E0015B"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X1 (penyakit penyerta)</w:t>
            </w:r>
          </w:p>
        </w:tc>
        <w:tc>
          <w:tcPr>
            <w:tcW w:w="823" w:type="pct"/>
            <w:tcBorders>
              <w:top w:val="single" w:sz="4" w:space="0" w:color="auto"/>
              <w:left w:val="single" w:sz="4" w:space="0" w:color="auto"/>
              <w:bottom w:val="nil"/>
              <w:right w:val="single" w:sz="4" w:space="0" w:color="auto"/>
            </w:tcBorders>
            <w:vAlign w:val="center"/>
          </w:tcPr>
          <w:p w14:paraId="49A0D1CE"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0.104</w:t>
            </w:r>
          </w:p>
        </w:tc>
        <w:tc>
          <w:tcPr>
            <w:tcW w:w="701" w:type="pct"/>
            <w:tcBorders>
              <w:top w:val="single" w:sz="4" w:space="0" w:color="auto"/>
              <w:left w:val="single" w:sz="4" w:space="0" w:color="auto"/>
              <w:bottom w:val="nil"/>
              <w:right w:val="single" w:sz="4" w:space="0" w:color="auto"/>
            </w:tcBorders>
            <w:vAlign w:val="center"/>
          </w:tcPr>
          <w:p w14:paraId="399DAC32"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0.80</w:t>
            </w:r>
          </w:p>
        </w:tc>
        <w:tc>
          <w:tcPr>
            <w:tcW w:w="838" w:type="pct"/>
            <w:tcBorders>
              <w:top w:val="single" w:sz="4" w:space="0" w:color="auto"/>
              <w:left w:val="single" w:sz="4" w:space="0" w:color="auto"/>
              <w:bottom w:val="nil"/>
              <w:right w:val="single" w:sz="4" w:space="0" w:color="auto"/>
            </w:tcBorders>
            <w:vAlign w:val="center"/>
          </w:tcPr>
          <w:p w14:paraId="70E3C444"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0.424</w:t>
            </w:r>
          </w:p>
        </w:tc>
        <w:tc>
          <w:tcPr>
            <w:tcW w:w="1301" w:type="pct"/>
            <w:tcBorders>
              <w:top w:val="single" w:sz="4" w:space="0" w:color="auto"/>
              <w:left w:val="single" w:sz="4" w:space="0" w:color="auto"/>
              <w:bottom w:val="nil"/>
              <w:right w:val="single" w:sz="4" w:space="0" w:color="auto"/>
            </w:tcBorders>
            <w:vAlign w:val="center"/>
          </w:tcPr>
          <w:p w14:paraId="6CED5731" w14:textId="77777777" w:rsidR="000F77C9" w:rsidRPr="000F77C9" w:rsidRDefault="000F77C9" w:rsidP="00E64050">
            <w:pPr>
              <w:pStyle w:val="NoSpacing"/>
              <w:tabs>
                <w:tab w:val="left" w:pos="2394"/>
              </w:tabs>
              <w:spacing w:line="240" w:lineRule="auto"/>
              <w:ind w:firstLine="0"/>
              <w:rPr>
                <w:sz w:val="20"/>
                <w:szCs w:val="20"/>
              </w:rPr>
            </w:pPr>
            <w:r w:rsidRPr="000F77C9">
              <w:rPr>
                <w:sz w:val="20"/>
                <w:szCs w:val="20"/>
                <w:lang w:val="en-US"/>
              </w:rPr>
              <w:t>Tidak signifikan</w:t>
            </w:r>
          </w:p>
        </w:tc>
      </w:tr>
      <w:tr w:rsidR="00E64050" w:rsidRPr="000F77C9" w14:paraId="47BEB26A" w14:textId="77777777" w:rsidTr="00AD0CB5">
        <w:trPr>
          <w:trHeight w:val="58"/>
          <w:jc w:val="center"/>
        </w:trPr>
        <w:tc>
          <w:tcPr>
            <w:tcW w:w="1337" w:type="pct"/>
            <w:tcBorders>
              <w:top w:val="single" w:sz="4" w:space="0" w:color="auto"/>
              <w:left w:val="single" w:sz="4" w:space="0" w:color="auto"/>
              <w:bottom w:val="nil"/>
              <w:right w:val="single" w:sz="4" w:space="0" w:color="auto"/>
            </w:tcBorders>
            <w:vAlign w:val="center"/>
          </w:tcPr>
          <w:p w14:paraId="1C7A5D1E"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X2 (Dukungan Keluarga)</w:t>
            </w:r>
          </w:p>
        </w:tc>
        <w:tc>
          <w:tcPr>
            <w:tcW w:w="823" w:type="pct"/>
            <w:tcBorders>
              <w:top w:val="single" w:sz="4" w:space="0" w:color="auto"/>
              <w:left w:val="single" w:sz="4" w:space="0" w:color="auto"/>
              <w:bottom w:val="nil"/>
              <w:right w:val="single" w:sz="4" w:space="0" w:color="auto"/>
            </w:tcBorders>
            <w:vAlign w:val="center"/>
          </w:tcPr>
          <w:p w14:paraId="1D52FEE6"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0.281</w:t>
            </w:r>
          </w:p>
        </w:tc>
        <w:tc>
          <w:tcPr>
            <w:tcW w:w="701" w:type="pct"/>
            <w:tcBorders>
              <w:top w:val="single" w:sz="4" w:space="0" w:color="auto"/>
              <w:left w:val="single" w:sz="4" w:space="0" w:color="auto"/>
              <w:bottom w:val="nil"/>
              <w:right w:val="single" w:sz="4" w:space="0" w:color="auto"/>
            </w:tcBorders>
            <w:vAlign w:val="center"/>
          </w:tcPr>
          <w:p w14:paraId="14097D79"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4.74</w:t>
            </w:r>
          </w:p>
        </w:tc>
        <w:tc>
          <w:tcPr>
            <w:tcW w:w="838" w:type="pct"/>
            <w:tcBorders>
              <w:top w:val="single" w:sz="4" w:space="0" w:color="auto"/>
              <w:left w:val="single" w:sz="4" w:space="0" w:color="auto"/>
              <w:bottom w:val="nil"/>
              <w:right w:val="single" w:sz="4" w:space="0" w:color="auto"/>
            </w:tcBorders>
            <w:vAlign w:val="center"/>
          </w:tcPr>
          <w:p w14:paraId="4B1F3C1C"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0.000</w:t>
            </w:r>
          </w:p>
        </w:tc>
        <w:tc>
          <w:tcPr>
            <w:tcW w:w="1301" w:type="pct"/>
            <w:tcBorders>
              <w:top w:val="single" w:sz="4" w:space="0" w:color="auto"/>
              <w:left w:val="single" w:sz="4" w:space="0" w:color="auto"/>
              <w:bottom w:val="nil"/>
              <w:right w:val="single" w:sz="4" w:space="0" w:color="auto"/>
            </w:tcBorders>
            <w:vAlign w:val="center"/>
          </w:tcPr>
          <w:p w14:paraId="0851DE02"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Signifikan</w:t>
            </w:r>
          </w:p>
        </w:tc>
      </w:tr>
      <w:tr w:rsidR="00E64050" w:rsidRPr="000F77C9" w14:paraId="3BB5DC80" w14:textId="77777777" w:rsidTr="00AD0CB5">
        <w:trPr>
          <w:trHeight w:val="58"/>
          <w:jc w:val="center"/>
        </w:trPr>
        <w:tc>
          <w:tcPr>
            <w:tcW w:w="1337" w:type="pct"/>
            <w:tcBorders>
              <w:top w:val="single" w:sz="4" w:space="0" w:color="auto"/>
              <w:left w:val="single" w:sz="4" w:space="0" w:color="auto"/>
              <w:bottom w:val="nil"/>
              <w:right w:val="single" w:sz="4" w:space="0" w:color="auto"/>
            </w:tcBorders>
            <w:vAlign w:val="center"/>
          </w:tcPr>
          <w:p w14:paraId="79CF757B"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X3 (Tingkat Kepatuhan)</w:t>
            </w:r>
          </w:p>
        </w:tc>
        <w:tc>
          <w:tcPr>
            <w:tcW w:w="823" w:type="pct"/>
            <w:tcBorders>
              <w:top w:val="single" w:sz="4" w:space="0" w:color="auto"/>
              <w:left w:val="single" w:sz="4" w:space="0" w:color="auto"/>
              <w:bottom w:val="nil"/>
              <w:right w:val="single" w:sz="4" w:space="0" w:color="auto"/>
            </w:tcBorders>
            <w:vAlign w:val="center"/>
          </w:tcPr>
          <w:p w14:paraId="26DADBE2"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0.307</w:t>
            </w:r>
          </w:p>
        </w:tc>
        <w:tc>
          <w:tcPr>
            <w:tcW w:w="701" w:type="pct"/>
            <w:tcBorders>
              <w:top w:val="single" w:sz="4" w:space="0" w:color="auto"/>
              <w:left w:val="single" w:sz="4" w:space="0" w:color="auto"/>
              <w:bottom w:val="nil"/>
              <w:right w:val="single" w:sz="4" w:space="0" w:color="auto"/>
            </w:tcBorders>
            <w:vAlign w:val="center"/>
          </w:tcPr>
          <w:p w14:paraId="35322BAB"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4.33</w:t>
            </w:r>
          </w:p>
        </w:tc>
        <w:tc>
          <w:tcPr>
            <w:tcW w:w="838" w:type="pct"/>
            <w:tcBorders>
              <w:top w:val="single" w:sz="4" w:space="0" w:color="auto"/>
              <w:left w:val="single" w:sz="4" w:space="0" w:color="auto"/>
              <w:bottom w:val="nil"/>
              <w:right w:val="single" w:sz="4" w:space="0" w:color="auto"/>
            </w:tcBorders>
            <w:vAlign w:val="center"/>
          </w:tcPr>
          <w:p w14:paraId="60C20C4C"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0.000</w:t>
            </w:r>
          </w:p>
        </w:tc>
        <w:tc>
          <w:tcPr>
            <w:tcW w:w="1301" w:type="pct"/>
            <w:tcBorders>
              <w:top w:val="single" w:sz="4" w:space="0" w:color="auto"/>
              <w:left w:val="single" w:sz="4" w:space="0" w:color="auto"/>
              <w:bottom w:val="nil"/>
              <w:right w:val="single" w:sz="4" w:space="0" w:color="auto"/>
            </w:tcBorders>
            <w:vAlign w:val="center"/>
          </w:tcPr>
          <w:p w14:paraId="0F5E9CE6"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Signifikan</w:t>
            </w:r>
          </w:p>
        </w:tc>
      </w:tr>
      <w:tr w:rsidR="00E64050" w:rsidRPr="000F77C9" w14:paraId="71863A78" w14:textId="77777777" w:rsidTr="00AD0CB5">
        <w:trPr>
          <w:trHeight w:val="58"/>
          <w:jc w:val="center"/>
        </w:trPr>
        <w:tc>
          <w:tcPr>
            <w:tcW w:w="1337" w:type="pct"/>
            <w:tcBorders>
              <w:top w:val="single" w:sz="4" w:space="0" w:color="auto"/>
              <w:left w:val="single" w:sz="4" w:space="0" w:color="auto"/>
              <w:bottom w:val="nil"/>
              <w:right w:val="single" w:sz="4" w:space="0" w:color="auto"/>
            </w:tcBorders>
            <w:vAlign w:val="center"/>
          </w:tcPr>
          <w:p w14:paraId="4AD8F623"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X4 (Tingkat Pengetahuan)</w:t>
            </w:r>
          </w:p>
        </w:tc>
        <w:tc>
          <w:tcPr>
            <w:tcW w:w="823" w:type="pct"/>
            <w:tcBorders>
              <w:top w:val="single" w:sz="4" w:space="0" w:color="auto"/>
              <w:left w:val="single" w:sz="4" w:space="0" w:color="auto"/>
              <w:bottom w:val="nil"/>
              <w:right w:val="single" w:sz="4" w:space="0" w:color="auto"/>
            </w:tcBorders>
            <w:vAlign w:val="center"/>
          </w:tcPr>
          <w:p w14:paraId="00677C2D"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0.414</w:t>
            </w:r>
          </w:p>
        </w:tc>
        <w:tc>
          <w:tcPr>
            <w:tcW w:w="701" w:type="pct"/>
            <w:tcBorders>
              <w:top w:val="single" w:sz="4" w:space="0" w:color="auto"/>
              <w:left w:val="single" w:sz="4" w:space="0" w:color="auto"/>
              <w:bottom w:val="nil"/>
              <w:right w:val="single" w:sz="4" w:space="0" w:color="auto"/>
            </w:tcBorders>
            <w:vAlign w:val="center"/>
          </w:tcPr>
          <w:p w14:paraId="1D138D90"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3.61</w:t>
            </w:r>
          </w:p>
        </w:tc>
        <w:tc>
          <w:tcPr>
            <w:tcW w:w="838" w:type="pct"/>
            <w:tcBorders>
              <w:top w:val="single" w:sz="4" w:space="0" w:color="auto"/>
              <w:left w:val="single" w:sz="4" w:space="0" w:color="auto"/>
              <w:bottom w:val="nil"/>
              <w:right w:val="single" w:sz="4" w:space="0" w:color="auto"/>
            </w:tcBorders>
            <w:vAlign w:val="center"/>
          </w:tcPr>
          <w:p w14:paraId="122A7E2C"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0.000</w:t>
            </w:r>
          </w:p>
        </w:tc>
        <w:tc>
          <w:tcPr>
            <w:tcW w:w="1301" w:type="pct"/>
            <w:tcBorders>
              <w:top w:val="single" w:sz="4" w:space="0" w:color="auto"/>
              <w:left w:val="single" w:sz="4" w:space="0" w:color="auto"/>
              <w:bottom w:val="nil"/>
              <w:right w:val="single" w:sz="4" w:space="0" w:color="auto"/>
            </w:tcBorders>
            <w:vAlign w:val="center"/>
          </w:tcPr>
          <w:p w14:paraId="033709F9" w14:textId="7777777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Signifikan</w:t>
            </w:r>
          </w:p>
        </w:tc>
      </w:tr>
      <w:tr w:rsidR="00E64050" w:rsidRPr="000F77C9" w14:paraId="5D9AC00E" w14:textId="77777777" w:rsidTr="00AD0CB5">
        <w:trPr>
          <w:trHeight w:val="58"/>
          <w:jc w:val="center"/>
        </w:trPr>
        <w:tc>
          <w:tcPr>
            <w:tcW w:w="1337" w:type="pct"/>
            <w:tcBorders>
              <w:top w:val="single" w:sz="4" w:space="0" w:color="auto"/>
              <w:left w:val="single" w:sz="4" w:space="0" w:color="auto"/>
              <w:bottom w:val="nil"/>
              <w:right w:val="single" w:sz="4" w:space="0" w:color="auto"/>
            </w:tcBorders>
            <w:vAlign w:val="center"/>
          </w:tcPr>
          <w:p w14:paraId="457E0375"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X5 (kreatinin)</w:t>
            </w:r>
          </w:p>
        </w:tc>
        <w:tc>
          <w:tcPr>
            <w:tcW w:w="823" w:type="pct"/>
            <w:tcBorders>
              <w:top w:val="single" w:sz="4" w:space="0" w:color="auto"/>
              <w:left w:val="single" w:sz="4" w:space="0" w:color="auto"/>
              <w:bottom w:val="nil"/>
              <w:right w:val="single" w:sz="4" w:space="0" w:color="auto"/>
            </w:tcBorders>
            <w:vAlign w:val="center"/>
          </w:tcPr>
          <w:p w14:paraId="0E5785A2" w14:textId="1232C5AB"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0.015</w:t>
            </w:r>
          </w:p>
        </w:tc>
        <w:tc>
          <w:tcPr>
            <w:tcW w:w="701" w:type="pct"/>
            <w:tcBorders>
              <w:top w:val="single" w:sz="4" w:space="0" w:color="auto"/>
              <w:left w:val="single" w:sz="4" w:space="0" w:color="auto"/>
              <w:bottom w:val="nil"/>
              <w:right w:val="single" w:sz="4" w:space="0" w:color="auto"/>
            </w:tcBorders>
            <w:vAlign w:val="center"/>
          </w:tcPr>
          <w:p w14:paraId="4EAE616E" w14:textId="6D2EFB6C"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0.57</w:t>
            </w:r>
          </w:p>
        </w:tc>
        <w:tc>
          <w:tcPr>
            <w:tcW w:w="838" w:type="pct"/>
            <w:tcBorders>
              <w:top w:val="single" w:sz="4" w:space="0" w:color="auto"/>
              <w:left w:val="single" w:sz="4" w:space="0" w:color="auto"/>
              <w:bottom w:val="nil"/>
              <w:right w:val="single" w:sz="4" w:space="0" w:color="auto"/>
            </w:tcBorders>
            <w:vAlign w:val="center"/>
          </w:tcPr>
          <w:p w14:paraId="12DCA10A"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0.569</w:t>
            </w:r>
          </w:p>
        </w:tc>
        <w:tc>
          <w:tcPr>
            <w:tcW w:w="1301" w:type="pct"/>
            <w:tcBorders>
              <w:top w:val="single" w:sz="4" w:space="0" w:color="auto"/>
              <w:left w:val="single" w:sz="4" w:space="0" w:color="auto"/>
              <w:bottom w:val="nil"/>
              <w:right w:val="single" w:sz="4" w:space="0" w:color="auto"/>
            </w:tcBorders>
            <w:vAlign w:val="center"/>
          </w:tcPr>
          <w:p w14:paraId="351ABB93" w14:textId="77777777" w:rsidR="000F77C9" w:rsidRPr="000F77C9" w:rsidRDefault="000F77C9" w:rsidP="00E64050">
            <w:pPr>
              <w:pStyle w:val="NoSpacing"/>
              <w:tabs>
                <w:tab w:val="left" w:pos="2394"/>
              </w:tabs>
              <w:spacing w:line="240" w:lineRule="auto"/>
              <w:ind w:firstLine="0"/>
              <w:rPr>
                <w:sz w:val="20"/>
                <w:szCs w:val="20"/>
              </w:rPr>
            </w:pPr>
            <w:r w:rsidRPr="000F77C9">
              <w:rPr>
                <w:sz w:val="20"/>
                <w:szCs w:val="20"/>
                <w:lang w:val="en-US"/>
              </w:rPr>
              <w:t>Tidak signifikan</w:t>
            </w:r>
          </w:p>
        </w:tc>
      </w:tr>
      <w:tr w:rsidR="00E64050" w:rsidRPr="000F77C9" w14:paraId="57D79CF0" w14:textId="77777777" w:rsidTr="00AD0CB5">
        <w:trPr>
          <w:trHeight w:val="58"/>
          <w:jc w:val="center"/>
        </w:trPr>
        <w:tc>
          <w:tcPr>
            <w:tcW w:w="1337" w:type="pct"/>
            <w:tcBorders>
              <w:top w:val="single" w:sz="4" w:space="0" w:color="auto"/>
              <w:left w:val="single" w:sz="4" w:space="0" w:color="auto"/>
              <w:bottom w:val="single" w:sz="4" w:space="0" w:color="auto"/>
              <w:right w:val="single" w:sz="4" w:space="0" w:color="auto"/>
            </w:tcBorders>
            <w:vAlign w:val="center"/>
          </w:tcPr>
          <w:p w14:paraId="14C6C822" w14:textId="77777777" w:rsidR="000F77C9" w:rsidRPr="000F77C9" w:rsidRDefault="000F77C9" w:rsidP="00E64050">
            <w:pPr>
              <w:tabs>
                <w:tab w:val="left" w:pos="2394"/>
              </w:tabs>
              <w:ind w:firstLine="0"/>
              <w:jc w:val="left"/>
              <w:rPr>
                <w:rFonts w:ascii="Calisto MT" w:hAnsi="Calisto MT"/>
                <w:color w:val="000000"/>
                <w:sz w:val="20"/>
                <w:szCs w:val="20"/>
              </w:rPr>
            </w:pPr>
            <w:r w:rsidRPr="000F77C9">
              <w:rPr>
                <w:rFonts w:ascii="Calisto MT" w:hAnsi="Calisto MT"/>
                <w:color w:val="000000"/>
                <w:sz w:val="20"/>
                <w:szCs w:val="20"/>
              </w:rPr>
              <w:t>X6 (ureum)</w:t>
            </w:r>
          </w:p>
        </w:tc>
        <w:tc>
          <w:tcPr>
            <w:tcW w:w="823" w:type="pct"/>
            <w:tcBorders>
              <w:top w:val="single" w:sz="4" w:space="0" w:color="auto"/>
              <w:left w:val="single" w:sz="4" w:space="0" w:color="auto"/>
              <w:bottom w:val="single" w:sz="4" w:space="0" w:color="auto"/>
              <w:right w:val="single" w:sz="4" w:space="0" w:color="auto"/>
            </w:tcBorders>
            <w:vAlign w:val="center"/>
          </w:tcPr>
          <w:p w14:paraId="28F87B2C" w14:textId="69702A96"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lang w:val="en-US"/>
              </w:rPr>
              <w:t>0.002</w:t>
            </w:r>
          </w:p>
        </w:tc>
        <w:tc>
          <w:tcPr>
            <w:tcW w:w="701" w:type="pct"/>
            <w:tcBorders>
              <w:top w:val="single" w:sz="4" w:space="0" w:color="auto"/>
              <w:left w:val="single" w:sz="4" w:space="0" w:color="auto"/>
              <w:bottom w:val="single" w:sz="4" w:space="0" w:color="auto"/>
              <w:right w:val="single" w:sz="4" w:space="0" w:color="auto"/>
            </w:tcBorders>
            <w:vAlign w:val="center"/>
          </w:tcPr>
          <w:p w14:paraId="5F9A1103" w14:textId="2806382D"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1.09</w:t>
            </w:r>
          </w:p>
        </w:tc>
        <w:tc>
          <w:tcPr>
            <w:tcW w:w="838" w:type="pct"/>
            <w:tcBorders>
              <w:top w:val="single" w:sz="4" w:space="0" w:color="auto"/>
              <w:left w:val="single" w:sz="4" w:space="0" w:color="auto"/>
              <w:bottom w:val="single" w:sz="4" w:space="0" w:color="auto"/>
              <w:right w:val="single" w:sz="4" w:space="0" w:color="auto"/>
            </w:tcBorders>
            <w:vAlign w:val="center"/>
          </w:tcPr>
          <w:p w14:paraId="348B8B9D" w14:textId="77777777" w:rsidR="000F77C9" w:rsidRPr="000F77C9" w:rsidRDefault="000F77C9" w:rsidP="00E64050">
            <w:pPr>
              <w:tabs>
                <w:tab w:val="left" w:pos="2394"/>
              </w:tabs>
              <w:autoSpaceDE w:val="0"/>
              <w:autoSpaceDN w:val="0"/>
              <w:adjustRightInd w:val="0"/>
              <w:ind w:firstLine="0"/>
              <w:rPr>
                <w:rFonts w:ascii="Calisto MT" w:hAnsi="Calisto MT"/>
                <w:color w:val="000000"/>
                <w:sz w:val="20"/>
                <w:szCs w:val="20"/>
              </w:rPr>
            </w:pPr>
            <w:r w:rsidRPr="000F77C9">
              <w:rPr>
                <w:rFonts w:ascii="Calisto MT" w:hAnsi="Calisto MT"/>
                <w:color w:val="000000"/>
                <w:sz w:val="20"/>
                <w:szCs w:val="20"/>
              </w:rPr>
              <w:t>0.274</w:t>
            </w:r>
          </w:p>
        </w:tc>
        <w:tc>
          <w:tcPr>
            <w:tcW w:w="1301" w:type="pct"/>
            <w:tcBorders>
              <w:top w:val="single" w:sz="4" w:space="0" w:color="auto"/>
              <w:left w:val="single" w:sz="4" w:space="0" w:color="auto"/>
              <w:bottom w:val="single" w:sz="4" w:space="0" w:color="auto"/>
              <w:right w:val="single" w:sz="4" w:space="0" w:color="auto"/>
            </w:tcBorders>
            <w:vAlign w:val="center"/>
          </w:tcPr>
          <w:p w14:paraId="6877D29C" w14:textId="77777777" w:rsidR="000F77C9" w:rsidRPr="000F77C9" w:rsidRDefault="000F77C9" w:rsidP="00E64050">
            <w:pPr>
              <w:pStyle w:val="NoSpacing"/>
              <w:tabs>
                <w:tab w:val="left" w:pos="2394"/>
              </w:tabs>
              <w:spacing w:line="240" w:lineRule="auto"/>
              <w:ind w:firstLine="0"/>
              <w:rPr>
                <w:sz w:val="20"/>
                <w:szCs w:val="20"/>
              </w:rPr>
            </w:pPr>
            <w:r w:rsidRPr="000F77C9">
              <w:rPr>
                <w:sz w:val="20"/>
                <w:szCs w:val="20"/>
                <w:lang w:val="en-US"/>
              </w:rPr>
              <w:t>Tidak signifikan</w:t>
            </w:r>
          </w:p>
        </w:tc>
      </w:tr>
      <w:tr w:rsidR="00E64050" w:rsidRPr="000F77C9" w14:paraId="5407FB43" w14:textId="77777777" w:rsidTr="00AD0CB5">
        <w:trPr>
          <w:trHeight w:val="340"/>
          <w:jc w:val="center"/>
        </w:trPr>
        <w:tc>
          <w:tcPr>
            <w:tcW w:w="1337" w:type="pct"/>
            <w:tcBorders>
              <w:top w:val="single" w:sz="4" w:space="0" w:color="auto"/>
              <w:left w:val="single" w:sz="4" w:space="0" w:color="auto"/>
              <w:bottom w:val="single" w:sz="4" w:space="0" w:color="auto"/>
              <w:right w:val="nil"/>
            </w:tcBorders>
            <w:vAlign w:val="center"/>
          </w:tcPr>
          <w:p w14:paraId="05AC7D1B" w14:textId="77777777" w:rsidR="000F77C9" w:rsidRPr="000F77C9" w:rsidRDefault="000F77C9" w:rsidP="00E64050">
            <w:pPr>
              <w:pStyle w:val="NoSpacing"/>
              <w:tabs>
                <w:tab w:val="left" w:pos="2394"/>
              </w:tabs>
              <w:spacing w:line="240" w:lineRule="auto"/>
              <w:ind w:firstLine="0"/>
              <w:rPr>
                <w:sz w:val="20"/>
                <w:szCs w:val="20"/>
              </w:rPr>
            </w:pPr>
            <w:r w:rsidRPr="000F77C9">
              <w:rPr>
                <w:sz w:val="20"/>
                <w:szCs w:val="20"/>
              </w:rPr>
              <w:t>R Square</w:t>
            </w:r>
          </w:p>
        </w:tc>
        <w:tc>
          <w:tcPr>
            <w:tcW w:w="823" w:type="pct"/>
            <w:tcBorders>
              <w:top w:val="single" w:sz="4" w:space="0" w:color="auto"/>
              <w:left w:val="nil"/>
              <w:bottom w:val="single" w:sz="4" w:space="0" w:color="auto"/>
              <w:right w:val="nil"/>
            </w:tcBorders>
            <w:vAlign w:val="center"/>
          </w:tcPr>
          <w:p w14:paraId="45482716" w14:textId="384DB4B7" w:rsidR="000F77C9" w:rsidRPr="000F77C9" w:rsidRDefault="000F77C9" w:rsidP="00E64050">
            <w:pPr>
              <w:pStyle w:val="NoSpacing"/>
              <w:tabs>
                <w:tab w:val="left" w:pos="2394"/>
              </w:tabs>
              <w:spacing w:line="240" w:lineRule="auto"/>
              <w:ind w:firstLine="0"/>
              <w:rPr>
                <w:sz w:val="20"/>
                <w:szCs w:val="20"/>
                <w:lang w:val="en-US"/>
              </w:rPr>
            </w:pPr>
            <w:r w:rsidRPr="000F77C9">
              <w:rPr>
                <w:sz w:val="20"/>
                <w:szCs w:val="20"/>
              </w:rPr>
              <w:t>=</w:t>
            </w:r>
            <w:r w:rsidR="00E64050">
              <w:rPr>
                <w:sz w:val="20"/>
                <w:szCs w:val="20"/>
                <w:lang w:val="en-US"/>
              </w:rPr>
              <w:t xml:space="preserve"> </w:t>
            </w:r>
            <w:r w:rsidRPr="000F77C9">
              <w:rPr>
                <w:sz w:val="20"/>
                <w:szCs w:val="20"/>
                <w:lang w:val="en-US"/>
              </w:rPr>
              <w:t>0.415</w:t>
            </w:r>
          </w:p>
        </w:tc>
        <w:tc>
          <w:tcPr>
            <w:tcW w:w="701" w:type="pct"/>
            <w:tcBorders>
              <w:top w:val="single" w:sz="4" w:space="0" w:color="auto"/>
              <w:left w:val="nil"/>
              <w:bottom w:val="single" w:sz="4" w:space="0" w:color="auto"/>
              <w:right w:val="nil"/>
            </w:tcBorders>
            <w:vAlign w:val="center"/>
          </w:tcPr>
          <w:p w14:paraId="7C104C42" w14:textId="77777777" w:rsidR="000F77C9" w:rsidRPr="000F77C9" w:rsidRDefault="000F77C9" w:rsidP="000F77C9">
            <w:pPr>
              <w:pStyle w:val="NoSpacing"/>
              <w:tabs>
                <w:tab w:val="left" w:pos="2394"/>
              </w:tabs>
              <w:spacing w:line="240" w:lineRule="auto"/>
              <w:rPr>
                <w:sz w:val="20"/>
                <w:szCs w:val="20"/>
                <w:lang w:val="en-US"/>
              </w:rPr>
            </w:pPr>
          </w:p>
        </w:tc>
        <w:tc>
          <w:tcPr>
            <w:tcW w:w="838" w:type="pct"/>
            <w:tcBorders>
              <w:top w:val="single" w:sz="4" w:space="0" w:color="auto"/>
              <w:left w:val="nil"/>
              <w:bottom w:val="single" w:sz="4" w:space="0" w:color="auto"/>
              <w:right w:val="nil"/>
            </w:tcBorders>
            <w:vAlign w:val="center"/>
          </w:tcPr>
          <w:p w14:paraId="184A74F1" w14:textId="77777777" w:rsidR="000F77C9" w:rsidRPr="000F77C9" w:rsidRDefault="000F77C9" w:rsidP="000F77C9">
            <w:pPr>
              <w:pStyle w:val="NoSpacing"/>
              <w:tabs>
                <w:tab w:val="left" w:pos="2394"/>
              </w:tabs>
              <w:spacing w:line="240" w:lineRule="auto"/>
              <w:jc w:val="center"/>
              <w:rPr>
                <w:sz w:val="20"/>
                <w:szCs w:val="20"/>
              </w:rPr>
            </w:pPr>
          </w:p>
        </w:tc>
        <w:tc>
          <w:tcPr>
            <w:tcW w:w="1301" w:type="pct"/>
            <w:tcBorders>
              <w:top w:val="single" w:sz="4" w:space="0" w:color="auto"/>
              <w:left w:val="nil"/>
              <w:bottom w:val="single" w:sz="4" w:space="0" w:color="auto"/>
              <w:right w:val="single" w:sz="4" w:space="0" w:color="auto"/>
            </w:tcBorders>
            <w:vAlign w:val="center"/>
          </w:tcPr>
          <w:p w14:paraId="7B7509DA" w14:textId="77777777" w:rsidR="000F77C9" w:rsidRPr="000F77C9" w:rsidRDefault="000F77C9" w:rsidP="000F77C9">
            <w:pPr>
              <w:pStyle w:val="NoSpacing"/>
              <w:tabs>
                <w:tab w:val="left" w:pos="2394"/>
              </w:tabs>
              <w:spacing w:line="240" w:lineRule="auto"/>
              <w:jc w:val="center"/>
              <w:rPr>
                <w:sz w:val="20"/>
                <w:szCs w:val="20"/>
              </w:rPr>
            </w:pPr>
          </w:p>
        </w:tc>
      </w:tr>
    </w:tbl>
    <w:p w14:paraId="5BE635CC" w14:textId="0C00AF4D" w:rsidR="000F77C9" w:rsidRDefault="001302B8" w:rsidP="00E64050">
      <w:pPr>
        <w:ind w:firstLine="0"/>
        <w:rPr>
          <w:rFonts w:ascii="Calisto MT" w:hAnsi="Calisto MT"/>
          <w:sz w:val="20"/>
          <w:szCs w:val="20"/>
        </w:rPr>
      </w:pPr>
      <w:r>
        <w:rPr>
          <w:rFonts w:ascii="Calisto MT" w:hAnsi="Calisto MT"/>
          <w:sz w:val="20"/>
          <w:szCs w:val="20"/>
        </w:rPr>
        <w:t xml:space="preserve">Sumber: data primer </w:t>
      </w:r>
      <w:r w:rsidR="000F77C9" w:rsidRPr="000F77C9">
        <w:rPr>
          <w:rFonts w:ascii="Calisto MT" w:hAnsi="Calisto MT"/>
          <w:sz w:val="20"/>
          <w:szCs w:val="20"/>
        </w:rPr>
        <w:t>2021</w:t>
      </w:r>
    </w:p>
    <w:p w14:paraId="1151C92F" w14:textId="77777777" w:rsidR="00E64050" w:rsidRPr="000F77C9" w:rsidRDefault="00E64050" w:rsidP="00E64050">
      <w:pPr>
        <w:ind w:firstLine="0"/>
        <w:rPr>
          <w:rFonts w:ascii="Calisto MT" w:hAnsi="Calisto MT"/>
          <w:sz w:val="20"/>
          <w:szCs w:val="20"/>
        </w:rPr>
      </w:pPr>
    </w:p>
    <w:p w14:paraId="1047CF4E" w14:textId="70D96E73" w:rsidR="00DA5B6C"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Dari nilai </w:t>
      </w:r>
      <w:r w:rsidRPr="00E64050">
        <w:rPr>
          <w:rFonts w:ascii="Calisto MT" w:eastAsia="Times New Roman" w:hAnsi="Calisto MT" w:cs="Times New Roman"/>
          <w:i/>
          <w:sz w:val="20"/>
          <w:szCs w:val="20"/>
        </w:rPr>
        <w:t>R Square</w:t>
      </w:r>
      <w:r w:rsidRPr="00E64050">
        <w:rPr>
          <w:rFonts w:ascii="Calisto MT" w:eastAsia="Times New Roman" w:hAnsi="Calisto MT" w:cs="Times New Roman"/>
          <w:sz w:val="20"/>
          <w:szCs w:val="20"/>
        </w:rPr>
        <w:t xml:space="preserve"> menunjukkan nilai sebesar 0.415 atau 41.5%. Artinya bahwa variabel Y1 (konsumsi EPO) dijelaskan oleh variabel X1 (penyakit penyerta), X2 (Dukungan Keluarga), X3 (Tingkat Kepatuhan), X4 (Tingkat Pengetahuan), X5 (kreatinin), dan X6 (ureum) sebesar 41.5%, sedangkan sisanya sebesar 58.5% dipengaruhi oleh variabel di luar variabel bebas yang diteliti.</w:t>
      </w:r>
      <w:r w:rsidR="006D07BA" w:rsidRPr="00E64050">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rPr>
        <w:t xml:space="preserve">Persamaan regresi </w:t>
      </w:r>
      <w:r w:rsidRPr="00E64050">
        <w:rPr>
          <w:rFonts w:ascii="Calisto MT" w:eastAsia="Times New Roman" w:hAnsi="Calisto MT" w:cs="Times New Roman"/>
          <w:i/>
          <w:sz w:val="20"/>
          <w:szCs w:val="20"/>
        </w:rPr>
        <w:t>standardize</w:t>
      </w:r>
      <w:r w:rsidRPr="00E64050">
        <w:rPr>
          <w:rFonts w:ascii="Calisto MT" w:eastAsia="Times New Roman" w:hAnsi="Calisto MT" w:cs="Times New Roman"/>
          <w:sz w:val="20"/>
          <w:szCs w:val="20"/>
        </w:rPr>
        <w:t>:</w:t>
      </w:r>
      <w:r w:rsidR="00DA5B6C" w:rsidRPr="00E64050">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rPr>
        <w:t xml:space="preserve">Y1 = 0.104 X1 + 0.281 X2 + 0.307 X3 + 0.414 X4 – 0.015 X5 – 0.002 X6 + </w:t>
      </w:r>
      <w:r w:rsidRPr="00E64050">
        <w:rPr>
          <w:rFonts w:ascii="Cambria" w:eastAsia="Times New Roman" w:hAnsi="Cambria" w:cs="Cambria"/>
          <w:sz w:val="20"/>
          <w:szCs w:val="20"/>
        </w:rPr>
        <w:t>ε</w:t>
      </w:r>
      <w:r w:rsidRPr="00E64050">
        <w:rPr>
          <w:rFonts w:ascii="Calisto MT" w:eastAsia="Times New Roman" w:hAnsi="Calisto MT" w:cs="Times New Roman"/>
          <w:sz w:val="20"/>
          <w:szCs w:val="20"/>
          <w:vertAlign w:val="subscript"/>
        </w:rPr>
        <w:t>i</w:t>
      </w:r>
      <w:r w:rsidRPr="00E64050">
        <w:rPr>
          <w:rFonts w:ascii="Calisto MT" w:eastAsia="Times New Roman" w:hAnsi="Calisto MT" w:cs="Times New Roman"/>
          <w:sz w:val="20"/>
          <w:szCs w:val="20"/>
        </w:rPr>
        <w:t xml:space="preserve"> Dari nilai Z statistics menunjukkan bahwa Variabel X1 (penyakit penyerta)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 xml:space="preserve">tidak </w:t>
      </w:r>
      <w:r w:rsidRPr="00E64050">
        <w:rPr>
          <w:rFonts w:ascii="Calisto MT" w:eastAsia="Times New Roman" w:hAnsi="Calisto MT" w:cs="Times New Roman"/>
          <w:b/>
          <w:sz w:val="20"/>
          <w:szCs w:val="20"/>
        </w:rPr>
        <w:lastRenderedPageBreak/>
        <w:t>signifikan</w:t>
      </w:r>
      <w:r w:rsidRPr="00E64050">
        <w:rPr>
          <w:rFonts w:ascii="Calisto MT" w:eastAsia="Times New Roman" w:hAnsi="Calisto MT" w:cs="Times New Roman"/>
          <w:sz w:val="20"/>
          <w:szCs w:val="20"/>
        </w:rPr>
        <w:t xml:space="preserve"> terhadap variabel Y1 (konsumsi EPO), dengan nilai </w:t>
      </w:r>
      <w:r w:rsidRPr="0022777A">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besar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(0.424 &gt; 0.050). Koefisien yang positif menunjukkan bahwa variabel X1 kategori 2 (hipertensi) dapat meningkatkan variabel Y1 (konsumsi EPO) tetapi tidak signifikan. </w:t>
      </w:r>
    </w:p>
    <w:p w14:paraId="5FE27733" w14:textId="54D55232" w:rsidR="00BD6B44" w:rsidRDefault="00BD6B44" w:rsidP="00BD6B44">
      <w:pPr>
        <w:tabs>
          <w:tab w:val="left" w:pos="2394"/>
        </w:tabs>
        <w:autoSpaceDE w:val="0"/>
        <w:autoSpaceDN w:val="0"/>
        <w:adjustRightInd w:val="0"/>
        <w:outlineLvl w:val="3"/>
        <w:rPr>
          <w:rFonts w:ascii="Calisto MT" w:eastAsia="Times New Roman" w:hAnsi="Calisto MT" w:cs="Times New Roman"/>
          <w:sz w:val="20"/>
          <w:szCs w:val="20"/>
        </w:rPr>
      </w:pPr>
      <w:r>
        <w:rPr>
          <w:rFonts w:ascii="Calisto MT" w:eastAsia="Times New Roman" w:hAnsi="Calisto MT" w:cs="Times New Roman"/>
          <w:sz w:val="20"/>
          <w:szCs w:val="20"/>
        </w:rPr>
        <w:t xml:space="preserve">Hasil penelitian </w:t>
      </w:r>
      <w:r>
        <w:rPr>
          <w:rFonts w:ascii="Calisto MT" w:eastAsia="Times New Roman" w:hAnsi="Calisto MT" w:cs="Times New Roman"/>
          <w:sz w:val="20"/>
          <w:szCs w:val="20"/>
          <w:lang w:val="id-ID"/>
        </w:rPr>
        <w:fldChar w:fldCharType="begin" w:fldLock="1"/>
      </w:r>
      <w:r>
        <w:rPr>
          <w:rFonts w:ascii="Calisto MT" w:eastAsia="Times New Roman" w:hAnsi="Calisto MT" w:cs="Times New Roman"/>
          <w:sz w:val="20"/>
          <w:szCs w:val="20"/>
          <w:lang w:val="id-ID"/>
        </w:rPr>
        <w:instrText>ADDIN CSL_CITATION {"citationItems":[{"id":"ITEM-1","itemData":{"DOI":"10.7759/cureus.12804","ISSN":"2168-8184","PMID":"33628672","abstract":"Anemia is a common complication of certain chronic diseases and can be treated by stimulating hematopoietic cells to increase red blood cell count, and this action is achieved by recombinant human erythropoietin. In this review article, we have discussed about hypertension, which develops as a result of erythropoietin therapy. We have explored the pathogenesis of erythropoietin-induced hypertension and discussed some ways to prevent and treat this condition. Also, an attempt has been made to find out the role of blood viscosity in erythropoietin-induced hypertension. We conducted a comprehensive review of literature by collecting data from online databases like PubMed and Google Scholar. We mainly studied clinical trials that unraveled the mechanism of hypertension caused by erythropoietin. Hypertension is mainly caused due to enhanced vascular responsiveness to constrictors and impaired action of vasodilators. Role of blood viscosity in the pathogenesis of hypertension is doubtful due to the lack of consistency in the studies. Incidence of hypertension can be reduced by achieving slow correction of anemia and by switching to subcutaneous route of administration. Conventional anti-hypertensives have been found to be beneficial in the treatment. In some severe and persistent cases, temporary discontinuation of erythropoietin may be needed.","author":[{"dropping-particle":"","family":"Brar","given":"Simrandeep K","non-dropping-particle":"","parse-names":false,"suffix":""},{"dropping-particle":"","family":"Perveen","given":"Sumera","non-dropping-particle":"","parse-names":false,"suffix":""},{"dropping-particle":"","family":"Chaudhry","given":"Muhammad Reza","non-dropping-particle":"","parse-names":false,"suffix":""},{"dropping-particle":"","family":"AlBabtain","given":"Sarah","non-dropping-particle":"","parse-names":false,"suffix":""},{"dropping-particle":"","family":"Amreen","given":"Sana","non-dropping-particle":"","parse-names":false,"suffix":""},{"dropping-particle":"","family":"Khan","given":"Safeera","non-dropping-particle":"","parse-names":false,"suffix":""}],"container-title":"Cureus","id":"ITEM-1","issue":"1","issued":{"date-parts":[["2021"]]},"page":"e12804","title":"Erythropoietin-Induced Hypertension: A Review of Pathogenesis, Treatment, and Role of Blood Viscosity.","type":"article-journal","volume":"13"},"uris":["http://www.mendeley.com/documents/?uuid=d8c2124f-1090-425e-89c1-a5fba6d1f0d1"]}],"mendeley":{"formattedCitation":"(Brar et al., 2021)","plainTextFormattedCitation":"(Brar et al., 2021)","previouslyFormattedCitation":"(Brar et al., 2021)"},"properties":{"noteIndex":0},"schema":"https://github.com/citation-style-language/schema/raw/master/csl-citation.json"}</w:instrText>
      </w:r>
      <w:r>
        <w:rPr>
          <w:rFonts w:ascii="Calisto MT" w:eastAsia="Times New Roman" w:hAnsi="Calisto MT" w:cs="Times New Roman"/>
          <w:sz w:val="20"/>
          <w:szCs w:val="20"/>
          <w:lang w:val="id-ID"/>
        </w:rPr>
        <w:fldChar w:fldCharType="separate"/>
      </w:r>
      <w:r w:rsidRPr="00BD6B44">
        <w:rPr>
          <w:rFonts w:ascii="Calisto MT" w:eastAsia="Times New Roman" w:hAnsi="Calisto MT" w:cs="Times New Roman"/>
          <w:noProof/>
          <w:sz w:val="20"/>
          <w:szCs w:val="20"/>
          <w:lang w:val="id-ID"/>
        </w:rPr>
        <w:t>(Brar et al., 2021)</w:t>
      </w:r>
      <w:r>
        <w:rPr>
          <w:rFonts w:ascii="Calisto MT" w:eastAsia="Times New Roman" w:hAnsi="Calisto MT" w:cs="Times New Roman"/>
          <w:sz w:val="20"/>
          <w:szCs w:val="20"/>
          <w:lang w:val="id-ID"/>
        </w:rPr>
        <w:fldChar w:fldCharType="end"/>
      </w:r>
      <w:r>
        <w:rPr>
          <w:rFonts w:ascii="Calisto MT" w:eastAsia="Times New Roman" w:hAnsi="Calisto MT" w:cs="Times New Roman"/>
          <w:sz w:val="20"/>
          <w:szCs w:val="20"/>
        </w:rPr>
        <w:t xml:space="preserve"> </w:t>
      </w:r>
      <w:r w:rsidRPr="00BD6B44">
        <w:rPr>
          <w:rFonts w:ascii="Calisto MT" w:eastAsia="Times New Roman" w:hAnsi="Calisto MT" w:cs="Times New Roman"/>
          <w:sz w:val="20"/>
          <w:szCs w:val="20"/>
          <w:lang w:val="id-ID"/>
        </w:rPr>
        <w:t>Ada hubungan yang terdokumentasi dengan baik antara erythropoiesis-stimulating agents (ESA) dan hipertensi pada penyakit ginjal kronis</w:t>
      </w:r>
      <w:r>
        <w:rPr>
          <w:rFonts w:ascii="Calisto MT" w:eastAsia="Times New Roman" w:hAnsi="Calisto MT" w:cs="Times New Roman"/>
          <w:sz w:val="20"/>
          <w:szCs w:val="20"/>
        </w:rPr>
        <w:t>.</w:t>
      </w:r>
    </w:p>
    <w:p w14:paraId="4D7497F6" w14:textId="4A815D3B" w:rsidR="00DA5B6C" w:rsidRPr="00E64050" w:rsidRDefault="000F77C9" w:rsidP="00BD6B44">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X2 (Dukungan Keluarga)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Y1 (konsumsi EPO), dengan nilai </w:t>
      </w:r>
      <w:r w:rsidRPr="0022777A">
        <w:rPr>
          <w:rFonts w:ascii="Calisto MT" w:eastAsia="Times New Roman" w:hAnsi="Calisto MT" w:cs="Times New Roman"/>
          <w:i/>
          <w:sz w:val="20"/>
          <w:szCs w:val="20"/>
        </w:rPr>
        <w:t xml:space="preserve">p-value </w:t>
      </w:r>
      <w:r w:rsidRPr="00E64050">
        <w:rPr>
          <w:rFonts w:ascii="Calisto MT" w:eastAsia="Times New Roman" w:hAnsi="Calisto MT" w:cs="Times New Roman"/>
          <w:sz w:val="20"/>
          <w:szCs w:val="20"/>
        </w:rPr>
        <w:t xml:space="preserve">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(0.000 &lt; 0.050). Koefisien yang positif menunjukkan bahwa peningkatan variabel X2 dapat meningkatkan variabel Y1 (konsumsi EPO) secara signifikan. </w:t>
      </w:r>
    </w:p>
    <w:p w14:paraId="07943422" w14:textId="77777777" w:rsidR="001B113D" w:rsidRDefault="006D07BA" w:rsidP="001B113D">
      <w:pPr>
        <w:tabs>
          <w:tab w:val="left" w:pos="2394"/>
        </w:tabs>
        <w:autoSpaceDE w:val="0"/>
        <w:autoSpaceDN w:val="0"/>
        <w:adjustRightInd w:val="0"/>
        <w:outlineLvl w:val="3"/>
        <w:rPr>
          <w:rFonts w:ascii="Calisto MT" w:eastAsia="Times New Roman" w:hAnsi="Calisto MT" w:cs="Times New Roman"/>
          <w:sz w:val="20"/>
          <w:szCs w:val="20"/>
          <w:lang w:val="nl-NL"/>
        </w:rPr>
      </w:pPr>
      <w:r w:rsidRPr="00E64050">
        <w:rPr>
          <w:rFonts w:ascii="Calisto MT" w:eastAsia="Times New Roman" w:hAnsi="Calisto MT" w:cs="Times New Roman"/>
          <w:sz w:val="20"/>
          <w:szCs w:val="20"/>
          <w:lang w:val="nl-NL"/>
        </w:rPr>
        <w:t xml:space="preserve">Penelitian yang dilakukan </w:t>
      </w:r>
      <w:r w:rsidRPr="00E64050">
        <w:rPr>
          <w:rFonts w:ascii="Calisto MT" w:eastAsia="Times New Roman" w:hAnsi="Calisto MT" w:cs="Times New Roman"/>
          <w:sz w:val="20"/>
          <w:szCs w:val="20"/>
          <w:lang w:val="nl-NL"/>
        </w:rPr>
        <w:fldChar w:fldCharType="begin" w:fldLock="1"/>
      </w:r>
      <w:r w:rsidRPr="00E64050">
        <w:rPr>
          <w:rFonts w:ascii="Calisto MT" w:eastAsia="Times New Roman" w:hAnsi="Calisto MT" w:cs="Times New Roman"/>
          <w:sz w:val="20"/>
          <w:szCs w:val="20"/>
          <w:lang w:val="nl-NL"/>
        </w:rPr>
        <w:instrText>ADDIN CSL_CITATION {"citationItems":[{"id":"ITEM-1","itemData":{"author":[{"dropping-particle":"","family":"Desitasari","given":"","non-dropping-particle":"","parse-names":false,"suffix":""}],"id":"ITEM-1","issued":{"date-parts":[["2014"]]},"page":"1-8","title":"Hubungan Tingkat Pengetahuan, Sikap Dan Dukungan Keluarga Terhadap Kepatuhan Diet Pada Pasien Gagal Ginjal","type":"article-journal"},"uris":["http://www.mendeley.com/documents/?uuid=9d5da380-7789-4a0c-835b-61778dfb634d"]}],"mendeley":{"formattedCitation":"(Desitasari, 2014)","plainTextFormattedCitation":"(Desitasari, 2014)","previouslyFormattedCitation":"(Desitasari, 2014)"},"properties":{"noteIndex":0},"schema":"https://github.com/citation-style-language/schema/raw/master/csl-citation.json"}</w:instrText>
      </w:r>
      <w:r w:rsidRPr="00E64050">
        <w:rPr>
          <w:rFonts w:ascii="Calisto MT" w:eastAsia="Times New Roman" w:hAnsi="Calisto MT" w:cs="Times New Roman"/>
          <w:sz w:val="20"/>
          <w:szCs w:val="20"/>
          <w:lang w:val="nl-NL"/>
        </w:rPr>
        <w:fldChar w:fldCharType="separate"/>
      </w:r>
      <w:r w:rsidRPr="00E64050">
        <w:rPr>
          <w:rFonts w:ascii="Calisto MT" w:eastAsia="Times New Roman" w:hAnsi="Calisto MT" w:cs="Times New Roman"/>
          <w:noProof/>
          <w:sz w:val="20"/>
          <w:szCs w:val="20"/>
          <w:lang w:val="nl-NL"/>
        </w:rPr>
        <w:t>(Desitasari, 2014)</w:t>
      </w:r>
      <w:r w:rsidRPr="00E64050">
        <w:rPr>
          <w:rFonts w:ascii="Calisto MT" w:eastAsia="Times New Roman" w:hAnsi="Calisto MT" w:cs="Times New Roman"/>
          <w:sz w:val="20"/>
          <w:szCs w:val="20"/>
        </w:rPr>
        <w:fldChar w:fldCharType="end"/>
      </w:r>
      <w:r w:rsidRPr="00E64050">
        <w:rPr>
          <w:rFonts w:ascii="Calisto MT" w:eastAsia="Times New Roman" w:hAnsi="Calisto MT" w:cs="Times New Roman"/>
          <w:sz w:val="20"/>
          <w:szCs w:val="20"/>
          <w:lang w:val="nl-NL"/>
        </w:rPr>
        <w:t xml:space="preserve"> Hasilnya menunjukkan Tidak ada hubungan an</w:t>
      </w:r>
      <w:r w:rsidR="00A66FC9">
        <w:rPr>
          <w:rFonts w:ascii="Calisto MT" w:eastAsia="Times New Roman" w:hAnsi="Calisto MT" w:cs="Times New Roman"/>
          <w:sz w:val="20"/>
          <w:szCs w:val="20"/>
          <w:lang w:val="nl-NL"/>
        </w:rPr>
        <w:t xml:space="preserve">tara dukungan keluarga dengan </w:t>
      </w:r>
      <w:r w:rsidRPr="00E64050">
        <w:rPr>
          <w:rFonts w:ascii="Calisto MT" w:eastAsia="Times New Roman" w:hAnsi="Calisto MT" w:cs="Times New Roman"/>
          <w:sz w:val="20"/>
          <w:szCs w:val="20"/>
          <w:lang w:val="nl-NL"/>
        </w:rPr>
        <w:t xml:space="preserve">kepatuhan pasien gagal ginjal kronik yang menjalani hemodialisa (0,243)&gt; </w:t>
      </w:r>
      <w:r w:rsidRPr="00E64050">
        <w:rPr>
          <w:rFonts w:ascii="Cambria" w:eastAsia="Times New Roman" w:hAnsi="Cambria" w:cs="Cambria"/>
          <w:sz w:val="20"/>
          <w:szCs w:val="20"/>
          <w:lang w:val="nl-NL"/>
        </w:rPr>
        <w:t>α</w:t>
      </w:r>
      <w:r w:rsidRPr="00E64050">
        <w:rPr>
          <w:rFonts w:ascii="Calisto MT" w:eastAsia="Times New Roman" w:hAnsi="Calisto MT" w:cs="Times New Roman"/>
          <w:sz w:val="20"/>
          <w:szCs w:val="20"/>
          <w:lang w:val="nl-NL"/>
        </w:rPr>
        <w:t xml:space="preserve"> (0,05).</w:t>
      </w:r>
    </w:p>
    <w:p w14:paraId="3207732D" w14:textId="016B2C6E" w:rsidR="00DA5B6C" w:rsidRPr="001B113D" w:rsidRDefault="000F77C9" w:rsidP="001B113D">
      <w:pPr>
        <w:tabs>
          <w:tab w:val="left" w:pos="2394"/>
        </w:tabs>
        <w:autoSpaceDE w:val="0"/>
        <w:autoSpaceDN w:val="0"/>
        <w:adjustRightInd w:val="0"/>
        <w:outlineLvl w:val="3"/>
        <w:rPr>
          <w:rFonts w:ascii="Calisto MT" w:eastAsia="Times New Roman" w:hAnsi="Calisto MT" w:cs="Times New Roman"/>
          <w:sz w:val="20"/>
          <w:szCs w:val="20"/>
          <w:lang w:val="nl-NL"/>
        </w:rPr>
      </w:pPr>
      <w:r w:rsidRPr="00E64050">
        <w:rPr>
          <w:rFonts w:ascii="Calisto MT" w:eastAsia="Times New Roman" w:hAnsi="Calisto MT" w:cs="Times New Roman"/>
          <w:sz w:val="20"/>
          <w:szCs w:val="20"/>
        </w:rPr>
        <w:t xml:space="preserve">Variabel X3 (Tingkat Kepatuhan)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Y1 (konsumsi EPO), dengan nilai p-value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(0.000 &lt; 0.050). Koefisien yang positif menunjukkan bahwa peningkatan variabel X3 dapat meningkatkan variabel Y1 (konsumsi EPO) secara signifikan.</w:t>
      </w:r>
    </w:p>
    <w:p w14:paraId="4FC36E59" w14:textId="53A89D46" w:rsidR="002C3BA2" w:rsidRPr="00E64050" w:rsidRDefault="002C3BA2"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lang w:val="id"/>
        </w:rPr>
        <w:t xml:space="preserve">Hasil </w:t>
      </w:r>
      <w:r w:rsidRPr="00E64050">
        <w:rPr>
          <w:rFonts w:ascii="Calisto MT" w:eastAsia="Times New Roman" w:hAnsi="Calisto MT" w:cs="Times New Roman"/>
          <w:sz w:val="20"/>
          <w:szCs w:val="20"/>
        </w:rPr>
        <w:t xml:space="preserve">Penelitian yang dilakukan </w:t>
      </w:r>
      <w:r w:rsidRPr="00E64050">
        <w:rPr>
          <w:rFonts w:ascii="Calisto MT" w:eastAsia="Times New Roman" w:hAnsi="Calisto MT" w:cs="Times New Roman"/>
          <w:sz w:val="20"/>
          <w:szCs w:val="20"/>
        </w:rPr>
        <w:fldChar w:fldCharType="begin" w:fldLock="1"/>
      </w:r>
      <w:r w:rsidRPr="00E64050">
        <w:rPr>
          <w:rFonts w:ascii="Calisto MT" w:eastAsia="Times New Roman" w:hAnsi="Calisto MT"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Pr="00E64050">
        <w:rPr>
          <w:rFonts w:ascii="Times New Roman" w:eastAsia="Times New Roman" w:hAnsi="Times New Roman" w:cs="Times New Roman"/>
          <w:sz w:val="20"/>
          <w:szCs w:val="20"/>
        </w:rPr>
        <w:instrText>−</w:instrText>
      </w:r>
      <w:r w:rsidRPr="00E64050">
        <w:rPr>
          <w:rFonts w:ascii="Calisto MT" w:eastAsia="Times New Roman" w:hAnsi="Calisto MT" w:cs="Times New Roman"/>
          <w:sz w:val="20"/>
          <w:szCs w:val="20"/>
        </w:rPr>
        <w:instrText>protein docking tools. Here, we test the small molecule flexible ligand docking program Glide on a set of 19 non-</w:instrText>
      </w:r>
      <w:r w:rsidRPr="00E64050">
        <w:rPr>
          <w:rFonts w:ascii="Cambria" w:eastAsia="Times New Roman" w:hAnsi="Cambria" w:cs="Cambria"/>
          <w:sz w:val="20"/>
          <w:szCs w:val="20"/>
        </w:rPr>
        <w:instrText>α</w:instrText>
      </w:r>
      <w:r w:rsidRPr="00E64050">
        <w:rPr>
          <w:rFonts w:ascii="Calisto MT" w:eastAsia="Times New Roman" w:hAnsi="Calisto MT" w:cs="Times New Roman"/>
          <w:sz w:val="20"/>
          <w:szCs w:val="20"/>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approach.","author":[{"dropping-particle":"","family":"Fitria","given":"","non-dropping-particle":"","parse-names":false,"suffix":""}],"container-title":"Journal of Chemical Information and Modeling","id":"ITEM-1","issue":"9","issued":{"date-parts":[["2013"]]},"page":"1689-1699","title":"</w:instrText>
      </w:r>
      <w:r w:rsidRPr="00E64050">
        <w:rPr>
          <w:rFonts w:ascii="Calisto MT" w:eastAsia="MS Gothic" w:hAnsi="Calisto MT" w:cs="MS Gothic"/>
          <w:sz w:val="20"/>
          <w:szCs w:val="20"/>
        </w:rPr>
        <w:instrText>済無</w:instrText>
      </w:r>
      <w:r w:rsidRPr="00E64050">
        <w:rPr>
          <w:rFonts w:ascii="Calisto MT" w:eastAsia="Times New Roman" w:hAnsi="Calisto MT" w:cs="Times New Roman"/>
          <w:sz w:val="20"/>
          <w:szCs w:val="20"/>
        </w:rPr>
        <w:instrText>No Title No Title","type":"article-journal","volume":"53"},"uris":["http://www.mendeley.com/documents/?uuid=96df58bf-63f2-40de-bc38-b3fadb959f98"]}],"mendeley":{"formattedCitation":"(Fitria, 2013)","plainTextFormattedCitation":"(Fitria, 2013)","previouslyFormattedCitation":"(Fitria, 2013)"},"properties":{"noteIndex":0},"schema":"https://github.com/citation-style-language/schema/raw/master/csl-citation.json"}</w:instrText>
      </w:r>
      <w:r w:rsidRPr="00E64050">
        <w:rPr>
          <w:rFonts w:ascii="Calisto MT" w:eastAsia="Times New Roman" w:hAnsi="Calisto MT" w:cs="Times New Roman"/>
          <w:sz w:val="20"/>
          <w:szCs w:val="20"/>
        </w:rPr>
        <w:fldChar w:fldCharType="separate"/>
      </w:r>
      <w:r w:rsidRPr="00E64050">
        <w:rPr>
          <w:rFonts w:ascii="Calisto MT" w:eastAsia="Times New Roman" w:hAnsi="Calisto MT" w:cs="Times New Roman"/>
          <w:noProof/>
          <w:sz w:val="20"/>
          <w:szCs w:val="20"/>
        </w:rPr>
        <w:t>(Fitria, 2013)</w:t>
      </w:r>
      <w:r w:rsidRPr="00E64050">
        <w:rPr>
          <w:rFonts w:ascii="Calisto MT" w:eastAsia="Times New Roman" w:hAnsi="Calisto MT" w:cs="Times New Roman"/>
          <w:sz w:val="20"/>
          <w:szCs w:val="20"/>
        </w:rPr>
        <w:fldChar w:fldCharType="end"/>
      </w:r>
      <w:r w:rsidRPr="00E64050">
        <w:rPr>
          <w:rFonts w:ascii="Calisto MT" w:eastAsia="Times New Roman" w:hAnsi="Calisto MT" w:cs="Times New Roman"/>
          <w:sz w:val="20"/>
          <w:szCs w:val="20"/>
        </w:rPr>
        <w:t xml:space="preserve"> hasil penelitian dengan mengkonsumsi </w:t>
      </w:r>
      <w:r w:rsidRPr="00E64050">
        <w:rPr>
          <w:rFonts w:ascii="Calisto MT" w:eastAsia="Times New Roman" w:hAnsi="Calisto MT" w:cs="Times New Roman"/>
          <w:sz w:val="20"/>
          <w:szCs w:val="20"/>
          <w:lang w:val="id"/>
        </w:rPr>
        <w:t>jumlah obat yang diterima responden dengan kepatuhan minum obat responden didapatkan (p=0.02)</w:t>
      </w:r>
      <w:r w:rsidRPr="00E64050">
        <w:rPr>
          <w:rFonts w:ascii="Calisto MT" w:eastAsia="Times New Roman" w:hAnsi="Calisto MT" w:cs="Times New Roman"/>
          <w:sz w:val="20"/>
          <w:szCs w:val="20"/>
        </w:rPr>
        <w:t>.</w:t>
      </w:r>
    </w:p>
    <w:p w14:paraId="66136E79" w14:textId="77777777" w:rsidR="006D07BA"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 Variabel X4 (Tingkat Pengetahuan)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Y1 (konsumsi EPO), dengan nilai p-value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(0.000 &lt; 0.050). Koefisien yang positif menunjukkan bahwa peningkatan variabel X4 dapat meningkatkan variabel Y1 (konsumsi EPO) secara signifikan. </w:t>
      </w:r>
    </w:p>
    <w:p w14:paraId="6ACE479E" w14:textId="45548E05" w:rsidR="00DA5B6C" w:rsidRPr="00E64050" w:rsidRDefault="006D07BA"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lang w:val="nl-NL"/>
        </w:rPr>
        <w:t>Penelitian yang dilakukan</w:t>
      </w:r>
      <w:r w:rsidRPr="00E64050">
        <w:rPr>
          <w:rFonts w:ascii="Calisto MT" w:eastAsia="Times New Roman" w:hAnsi="Calisto MT" w:cs="Times New Roman"/>
          <w:sz w:val="20"/>
          <w:szCs w:val="20"/>
          <w:lang w:val="nl-NL"/>
        </w:rPr>
        <w:fldChar w:fldCharType="begin" w:fldLock="1"/>
      </w:r>
      <w:r w:rsidRPr="00E64050">
        <w:rPr>
          <w:rFonts w:ascii="Calisto MT" w:eastAsia="Times New Roman" w:hAnsi="Calisto MT" w:cs="Times New Roman"/>
          <w:sz w:val="20"/>
          <w:szCs w:val="20"/>
          <w:lang w:val="nl-NL"/>
        </w:rPr>
        <w:instrText>ADDIN CSL_CITATION {"citationItems":[{"id":"ITEM-1","itemData":{"DOI":"10.1016/j.ijans.2020.100203","ISSN":"22141391","abstract":"Introduction: Chronic Kidney Disease (CKD) is a serious condition to manage and requires multidisciplinary team involvement. Nurse's knowledge and perceptions regarding management of CKD is paramount as this decrease the morbidity and mortality among the population. Purpose of the study: The purpose of this study was to assess the knowledge related to CKD and perceived inpatient management among nurses at selected referral hospital in Rwanda. Methodology: This study used a non-experimental descriptive correlation design. A purposive sampling strategy was used in selection of 120 nurses working in internal medicine, emergency and renal units. Data was collected using a self-administered questionnaire. Descriptive statistics and inferential of Chi -square and Pearson's correlation coefficient were used to analyze the data. Results: Eighty four percent (84%) had moderate level of knowledge related to CKD and 51% of nurses had moderate level of perceptions regarding of inpatient management of CKD. The factors associated with knowledge were institution type (p = 0.024), department (p = 0.000), level of education (p = 0.010) and type of specialty (p = 0.000). The factor associated perceived inpatient management of CKD was department type (p = 0.015). A very weak non-significant positive relationship (r = 0.115, N = 120, p = 0.21) between knowledge and practice was observed. Conclusion: The level of knowledge related to CKD and perceived inpatient management was moderate among nurses. Therefore, in-service training for registered nurses working in the internal medicine and emergency is called for and further research is needed to elicit the major contributory factors to improper inpatient management.","author":[{"dropping-particle":"","family":"Emmanuel Gapira","given":"B.","non-dropping-particle":"","parse-names":false,"suffix":""},{"dropping-particle":"","family":"Chironda","given":"Geldine","non-dropping-particle":"","parse-names":false,"suffix":""},{"dropping-particle":"","family":"Ndahayo","given":"Didace","non-dropping-particle":"","parse-names":false,"suffix":""},{"dropping-particle":"","family":"Pierre Marie Theos","given":"Mbabazi","non-dropping-particle":"","parse-names":false,"suffix":""},{"dropping-particle":"","family":"Jeanne Tuyisenge","given":"Marie","non-dropping-particle":"","parse-names":false,"suffix":""},{"dropping-particle":"","family":"Rajeswaran","given":"Lakshmi","non-dropping-particle":"","parse-names":false,"suffix":""}],"container-title":"International Journal of Africa Nursing Sciences","id":"ITEM-1","issue":"May","issued":{"date-parts":[["2020"]]},"page":"100203","publisher":"Elsevier","title":"Knowledge related to Chronic Kidney Disease (CKD) and perceptions on inpatient management practices among nurses at selected referral hospitals in Rwanda: A non-experimental descriptive correlational study","type":"article-journal","volume":"13"},"uris":["http://www.mendeley.com/documents/?uuid=566ad12d-3b5a-4fdd-bd2b-5f6f673dbbe2"]}],"mendeley":{"formattedCitation":"(Emmanuel Gapira et al., 2020)","plainTextFormattedCitation":"(Emmanuel Gapira et al., 2020)","previouslyFormattedCitation":"(Emmanuel Gapira et al., 2020)"},"properties":{"noteIndex":0},"schema":"https://github.com/citation-style-language/schema/raw/master/csl-citation.json"}</w:instrText>
      </w:r>
      <w:r w:rsidRPr="00E64050">
        <w:rPr>
          <w:rFonts w:ascii="Calisto MT" w:eastAsia="Times New Roman" w:hAnsi="Calisto MT" w:cs="Times New Roman"/>
          <w:sz w:val="20"/>
          <w:szCs w:val="20"/>
          <w:lang w:val="nl-NL"/>
        </w:rPr>
        <w:fldChar w:fldCharType="separate"/>
      </w:r>
      <w:r w:rsidRPr="00E64050">
        <w:rPr>
          <w:rFonts w:ascii="Calisto MT" w:eastAsia="Times New Roman" w:hAnsi="Calisto MT" w:cs="Times New Roman"/>
          <w:noProof/>
          <w:sz w:val="20"/>
          <w:szCs w:val="20"/>
          <w:lang w:val="nl-NL"/>
        </w:rPr>
        <w:t>(Emmanuel Gapira et al., 2020)</w:t>
      </w:r>
      <w:r w:rsidRPr="00E64050">
        <w:rPr>
          <w:rFonts w:ascii="Calisto MT" w:eastAsia="Times New Roman" w:hAnsi="Calisto MT" w:cs="Times New Roman"/>
          <w:sz w:val="20"/>
          <w:szCs w:val="20"/>
        </w:rPr>
        <w:fldChar w:fldCharType="end"/>
      </w:r>
      <w:r w:rsidRPr="00E64050">
        <w:rPr>
          <w:rFonts w:ascii="Calisto MT" w:eastAsia="Times New Roman" w:hAnsi="Calisto MT" w:cs="Times New Roman"/>
          <w:sz w:val="20"/>
          <w:szCs w:val="20"/>
          <w:lang w:val="nl-NL"/>
        </w:rPr>
        <w:t xml:space="preserve"> dengan responden </w:t>
      </w:r>
      <w:r w:rsidRPr="00E64050">
        <w:rPr>
          <w:rFonts w:ascii="Calisto MT" w:eastAsia="Times New Roman" w:hAnsi="Calisto MT" w:cs="Times New Roman"/>
          <w:sz w:val="20"/>
          <w:szCs w:val="20"/>
          <w:lang w:val="id-ID"/>
        </w:rPr>
        <w:t xml:space="preserve">Delapan puluh empat persen (84%) memiliki tingkat pengetahuan sedang terkait </w:t>
      </w:r>
      <w:r w:rsidRPr="00E64050">
        <w:rPr>
          <w:rFonts w:ascii="Calisto MT" w:eastAsia="Times New Roman" w:hAnsi="Calisto MT" w:cs="Times New Roman"/>
          <w:sz w:val="20"/>
          <w:szCs w:val="20"/>
        </w:rPr>
        <w:t xml:space="preserve">penyakit ginjal kronis. Kemudian penelitan </w:t>
      </w:r>
      <w:r w:rsidRPr="00E64050">
        <w:rPr>
          <w:rFonts w:ascii="Calisto MT" w:eastAsia="Times New Roman" w:hAnsi="Calisto MT" w:cs="Times New Roman"/>
          <w:sz w:val="20"/>
          <w:szCs w:val="20"/>
        </w:rPr>
        <w:fldChar w:fldCharType="begin" w:fldLock="1"/>
      </w:r>
      <w:r w:rsidRPr="00E64050">
        <w:rPr>
          <w:rFonts w:ascii="Calisto MT" w:eastAsia="Times New Roman" w:hAnsi="Calisto MT" w:cs="Times New Roman"/>
          <w:sz w:val="20"/>
          <w:szCs w:val="20"/>
        </w:rPr>
        <w:instrText>ADDIN CSL_CITATION {"citationItems":[{"id":"ITEM-1","itemData":{"DOI":"10.5530/ijopp.9.3.6","author":[{"dropping-particle":"","family":"Mathew","given":"Meby Susan","non-dropping-particle":"","parse-names":false,"suffix":""},{"dropping-particle":"","family":"Keerthi","given":"Nama Ravi Sneha","non-dropping-particle":"","parse-names":false,"suffix":""},{"dropping-particle":"","family":"Meera","given":"Neelathahalli Kasturirangan","non-dropping-particle":"","parse-names":false,"suffix":""}],"container-title":"Indian Journal of Pharmacy Practice","id":"ITEM-1","issue":"3","issued":{"date-parts":[["2016"]]},"page":"162-166","title":"Study of Management of anemia in Chronic Kidney Disease Patients","type":"article-journal","volume":"9"},"uris":["http://www.mendeley.com/documents/?uuid=4d7ebe8d-3b7e-4284-a737-80aa3160841c"]}],"mendeley":{"formattedCitation":"(Mathew et al., 2016)","plainTextFormattedCitation":"(Mathew et al., 2016)","previouslyFormattedCitation":"(Mathew et al., 2016)"},"properties":{"noteIndex":0},"schema":"https://github.com/citation-style-language/schema/raw/master/csl-citation.json"}</w:instrText>
      </w:r>
      <w:r w:rsidRPr="00E64050">
        <w:rPr>
          <w:rFonts w:ascii="Calisto MT" w:eastAsia="Times New Roman" w:hAnsi="Calisto MT" w:cs="Times New Roman"/>
          <w:sz w:val="20"/>
          <w:szCs w:val="20"/>
        </w:rPr>
        <w:fldChar w:fldCharType="separate"/>
      </w:r>
      <w:r w:rsidRPr="00E64050">
        <w:rPr>
          <w:rFonts w:ascii="Calisto MT" w:eastAsia="Times New Roman" w:hAnsi="Calisto MT" w:cs="Times New Roman"/>
          <w:noProof/>
          <w:sz w:val="20"/>
          <w:szCs w:val="20"/>
        </w:rPr>
        <w:t>(Mathew et al., 2016)</w:t>
      </w:r>
      <w:r w:rsidRPr="00E64050">
        <w:rPr>
          <w:rFonts w:ascii="Calisto MT" w:eastAsia="Times New Roman" w:hAnsi="Calisto MT" w:cs="Times New Roman"/>
          <w:sz w:val="20"/>
          <w:szCs w:val="20"/>
        </w:rPr>
        <w:fldChar w:fldCharType="end"/>
      </w:r>
      <w:r w:rsidRPr="00E64050">
        <w:rPr>
          <w:rFonts w:ascii="Calisto MT" w:eastAsia="Times New Roman" w:hAnsi="Calisto MT" w:cs="Times New Roman"/>
          <w:sz w:val="20"/>
          <w:szCs w:val="20"/>
        </w:rPr>
        <w:t xml:space="preserve"> menunjukan </w:t>
      </w:r>
      <w:r w:rsidRPr="00E64050">
        <w:rPr>
          <w:rFonts w:ascii="Calisto MT" w:eastAsia="Times New Roman" w:hAnsi="Calisto MT" w:cs="Times New Roman"/>
          <w:sz w:val="20"/>
          <w:szCs w:val="20"/>
          <w:lang w:val="id-ID"/>
        </w:rPr>
        <w:t xml:space="preserve">menunjukkan peningkatan </w:t>
      </w:r>
      <w:r w:rsidRPr="00E64050">
        <w:rPr>
          <w:rFonts w:ascii="Calisto MT" w:eastAsia="Times New Roman" w:hAnsi="Calisto MT" w:cs="Times New Roman"/>
          <w:sz w:val="20"/>
          <w:szCs w:val="20"/>
          <w:lang w:val="id-ID"/>
        </w:rPr>
        <w:lastRenderedPageBreak/>
        <w:t xml:space="preserve">pada pasien dengan terapi eritropoietin </w:t>
      </w:r>
      <w:r w:rsidRPr="00E64050">
        <w:rPr>
          <w:rFonts w:ascii="Calisto MT" w:eastAsia="Times New Roman" w:hAnsi="Calisto MT" w:cs="Times New Roman"/>
          <w:sz w:val="20"/>
          <w:szCs w:val="20"/>
        </w:rPr>
        <w:t>(EPO)  pada peningkatan hemoglobin</w:t>
      </w:r>
    </w:p>
    <w:p w14:paraId="3AA330F6" w14:textId="0E03C668" w:rsidR="00DF1088"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X5 (kreatinin) berpengaruh </w:t>
      </w:r>
      <w:r w:rsidRPr="00E64050">
        <w:rPr>
          <w:rFonts w:ascii="Calisto MT" w:eastAsia="Times New Roman" w:hAnsi="Calisto MT" w:cs="Times New Roman"/>
          <w:b/>
          <w:sz w:val="20"/>
          <w:szCs w:val="20"/>
        </w:rPr>
        <w:t>negatif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tidak signifikan</w:t>
      </w:r>
      <w:r w:rsidRPr="00E64050">
        <w:rPr>
          <w:rFonts w:ascii="Calisto MT" w:eastAsia="Times New Roman" w:hAnsi="Calisto MT" w:cs="Times New Roman"/>
          <w:sz w:val="20"/>
          <w:szCs w:val="20"/>
        </w:rPr>
        <w:t xml:space="preserve"> terhadap variabel Y1 (konsumsi EPO), dengan nilai </w:t>
      </w:r>
      <w:r w:rsidRPr="0022777A">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besar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(0.569 &gt; 0.050). Koefisien yang negatif menunjukkan bahwa peningkatan variabel X5 dapat menurunkan variabel Y1 (konsumsi EPO) tetapi tidak signifikan. </w:t>
      </w:r>
    </w:p>
    <w:p w14:paraId="7B6B22E2" w14:textId="218F6CBD" w:rsidR="00BD6B44" w:rsidRDefault="00BD6B44" w:rsidP="00BD6B44">
      <w:pPr>
        <w:tabs>
          <w:tab w:val="left" w:pos="2394"/>
        </w:tabs>
        <w:autoSpaceDE w:val="0"/>
        <w:autoSpaceDN w:val="0"/>
        <w:adjustRightInd w:val="0"/>
        <w:outlineLvl w:val="3"/>
        <w:rPr>
          <w:rFonts w:ascii="Calisto MT" w:eastAsia="Times New Roman" w:hAnsi="Calisto MT" w:cs="Times New Roman"/>
          <w:sz w:val="20"/>
          <w:szCs w:val="20"/>
        </w:rPr>
      </w:pPr>
      <w:r>
        <w:rPr>
          <w:rFonts w:ascii="Calisto MT" w:eastAsia="Times New Roman" w:hAnsi="Calisto MT" w:cs="Times New Roman"/>
          <w:sz w:val="20"/>
          <w:szCs w:val="20"/>
        </w:rPr>
        <w:t xml:space="preserve">Penelitian yang dilakukan </w:t>
      </w:r>
      <w:r>
        <w:rPr>
          <w:rFonts w:ascii="Calisto MT" w:eastAsia="Times New Roman" w:hAnsi="Calisto MT" w:cs="Times New Roman"/>
          <w:sz w:val="20"/>
          <w:szCs w:val="20"/>
        </w:rPr>
        <w:fldChar w:fldCharType="begin" w:fldLock="1"/>
      </w:r>
      <w:r w:rsidR="00982871">
        <w:rPr>
          <w:rFonts w:ascii="Calisto MT" w:eastAsia="Times New Roman" w:hAnsi="Calisto MT" w:cs="Times New Roman"/>
          <w:sz w:val="20"/>
          <w:szCs w:val="20"/>
        </w:rPr>
        <w:instrText>ADDIN CSL_CITATION {"citationItems":[{"id":"ITEM-1","itemData":{"DOI":"10.1515/jomb-2017-0014","ISSN":"14528266","abstract":"Background: The production of erythrocytes is regulated by the hormone erythropoietin (EPO), which maintains the blood haemoglobin (Hb) levels constant under normal conditions. Human EPO is a glycoprotein hormone and its synthesis is controlled by the hypoxia-inducible transcription factor. The aim of this study was to establish EPO and Hb levels in patients with chronic kidney disease (CKD), as well as in control subjects, and to investigate the relationship between these parameters. Methods: This cross-sectional, observational study included 356 subjects with CKD divided into 4 subgroups according to their glomerular filtration rate (GFR). The control group consisted of 206 age and sex matched healthy subjects with GFR rate ≥90 mL/min/1.73 m2. EPO, Hb and serum creatinine levels were determined by using immunochemical and spectrophotometric methods. GFR was determined using the MDRD formula. Results: The CKD patients had significantly lower levels of haemoglobin (p&lt;0.0005) and hematocrit (p&lt;0.0005) compared to control group. Our results showed that Hb levels decreased, whereas serum creatinine increased with the increasing renal failure. The CKD patients in all four groups had significantly lower (p&lt;0.0005) Hb levels, and significantly higher (p&lt;0.0005) creatinine levels compared to the control group. The median EPO in group I and II were significantly higher (p=0.002; p=0.018), while median EPO in group III and IV were significantly lower (p=0.03; p=0.011) compared to the control group. Conclusions: In patients with CKD, GFR positively correlated with Hb and EPO, while the correlation between GFR and serum creatinine was negative.","author":[{"dropping-particle":"","family":"Panjeta","given":"Mirsad","non-dropping-particle":"","parse-names":false,"suffix":""},{"dropping-particle":"","family":"Tahirovi</w:instrText>
      </w:r>
      <w:r w:rsidR="00982871">
        <w:rPr>
          <w:rFonts w:ascii="Cambria" w:eastAsia="Times New Roman" w:hAnsi="Cambria" w:cs="Cambria"/>
          <w:sz w:val="20"/>
          <w:szCs w:val="20"/>
        </w:rPr>
        <w:instrText>ć</w:instrText>
      </w:r>
      <w:r w:rsidR="00982871">
        <w:rPr>
          <w:rFonts w:ascii="Calisto MT" w:eastAsia="Times New Roman" w:hAnsi="Calisto MT" w:cs="Times New Roman"/>
          <w:sz w:val="20"/>
          <w:szCs w:val="20"/>
        </w:rPr>
        <w:instrText>","given":"Ismet","non-dropping-particle":"","parse-names":false,"suffix":""},{"dropping-particle":"","family":"Sofi</w:instrText>
      </w:r>
      <w:r w:rsidR="00982871">
        <w:rPr>
          <w:rFonts w:ascii="Cambria" w:eastAsia="Times New Roman" w:hAnsi="Cambria" w:cs="Cambria"/>
          <w:sz w:val="20"/>
          <w:szCs w:val="20"/>
        </w:rPr>
        <w:instrText>ć</w:instrText>
      </w:r>
      <w:r w:rsidR="00982871">
        <w:rPr>
          <w:rFonts w:ascii="Calisto MT" w:eastAsia="Times New Roman" w:hAnsi="Calisto MT" w:cs="Times New Roman"/>
          <w:sz w:val="20"/>
          <w:szCs w:val="20"/>
        </w:rPr>
        <w:instrText>","given":"Emin","non-dropping-particle":"","parse-names":false,"suffix":""},{"dropping-particle":"","family":"Cori</w:instrText>
      </w:r>
      <w:r w:rsidR="00982871">
        <w:rPr>
          <w:rFonts w:ascii="Cambria" w:eastAsia="Times New Roman" w:hAnsi="Cambria" w:cs="Cambria"/>
          <w:sz w:val="20"/>
          <w:szCs w:val="20"/>
        </w:rPr>
        <w:instrText>ć</w:instrText>
      </w:r>
      <w:r w:rsidR="00982871">
        <w:rPr>
          <w:rFonts w:ascii="Calisto MT" w:eastAsia="Times New Roman" w:hAnsi="Calisto MT" w:cs="Times New Roman"/>
          <w:sz w:val="20"/>
          <w:szCs w:val="20"/>
        </w:rPr>
        <w:instrText>","given":"Jozo","non-dropping-particle":"","parse-names":false,"suffix":""},{"dropping-particle":"","family":"Derviševi</w:instrText>
      </w:r>
      <w:r w:rsidR="00982871">
        <w:rPr>
          <w:rFonts w:ascii="Cambria" w:eastAsia="Times New Roman" w:hAnsi="Cambria" w:cs="Cambria"/>
          <w:sz w:val="20"/>
          <w:szCs w:val="20"/>
        </w:rPr>
        <w:instrText>ć</w:instrText>
      </w:r>
      <w:r w:rsidR="00982871">
        <w:rPr>
          <w:rFonts w:ascii="Calisto MT" w:eastAsia="Times New Roman" w:hAnsi="Calisto MT" w:cs="Times New Roman"/>
          <w:sz w:val="20"/>
          <w:szCs w:val="20"/>
        </w:rPr>
        <w:instrText>","given":"Amela","non-dropping-particle":"","parse-names":false,"suffix":""}],"container-title":"Journal of Medical Biochemistry","id":"ITEM-1","issue":"2","issued":{"date-parts":[["2017"]]},"page":"145-152","title":"Interpretation of Erythropoietin and Haemoglobin Levels in Patients with Various Stages of Chronic Kidney Disease","type":"article-journal","volume":"36"},"uris":["http://www.mendeley.com/documents/?uuid=c9f67f01-8920-41b5-bcd9-e17a8c6cdfbb"]}],"mendeley":{"formattedCitation":"(Panjeta et al., 2017)","plainTextFormattedCitation":"(Panjeta et al., 2017)","previouslyFormattedCitation":"(Panjeta et al., 2017)"},"properties":{"noteIndex":0},"schema":"https://github.com/citation-style-language/schema/raw/master/csl-citation.json"}</w:instrText>
      </w:r>
      <w:r>
        <w:rPr>
          <w:rFonts w:ascii="Calisto MT" w:eastAsia="Times New Roman" w:hAnsi="Calisto MT" w:cs="Times New Roman"/>
          <w:sz w:val="20"/>
          <w:szCs w:val="20"/>
        </w:rPr>
        <w:fldChar w:fldCharType="separate"/>
      </w:r>
      <w:r w:rsidRPr="00BD6B44">
        <w:rPr>
          <w:rFonts w:ascii="Calisto MT" w:eastAsia="Times New Roman" w:hAnsi="Calisto MT" w:cs="Times New Roman"/>
          <w:noProof/>
          <w:sz w:val="20"/>
          <w:szCs w:val="20"/>
        </w:rPr>
        <w:t>(Panjeta et al., 2017)</w:t>
      </w:r>
      <w:r>
        <w:rPr>
          <w:rFonts w:ascii="Calisto MT" w:eastAsia="Times New Roman" w:hAnsi="Calisto MT" w:cs="Times New Roman"/>
          <w:sz w:val="20"/>
          <w:szCs w:val="20"/>
        </w:rPr>
        <w:fldChar w:fldCharType="end"/>
      </w:r>
      <w:r>
        <w:rPr>
          <w:rFonts w:ascii="Calisto MT" w:eastAsia="Times New Roman" w:hAnsi="Calisto MT" w:cs="Times New Roman"/>
          <w:sz w:val="20"/>
          <w:szCs w:val="20"/>
        </w:rPr>
        <w:t xml:space="preserve"> </w:t>
      </w:r>
      <w:r>
        <w:rPr>
          <w:rFonts w:ascii="Calisto MT" w:eastAsia="Times New Roman" w:hAnsi="Calisto MT" w:cs="Times New Roman"/>
          <w:sz w:val="20"/>
          <w:szCs w:val="20"/>
          <w:lang w:val="id-ID"/>
        </w:rPr>
        <w:t xml:space="preserve">Hasil </w:t>
      </w:r>
      <w:r w:rsidRPr="00BD6B44">
        <w:rPr>
          <w:rFonts w:ascii="Calisto MT" w:eastAsia="Times New Roman" w:hAnsi="Calisto MT" w:cs="Times New Roman"/>
          <w:sz w:val="20"/>
          <w:szCs w:val="20"/>
          <w:lang w:val="id-ID"/>
        </w:rPr>
        <w:t xml:space="preserve">menunjukkan bahwa kadar Hb menurun, sedangkan kreatinin serum meningkat dengan meningkatnya gagal ginjal. </w:t>
      </w:r>
    </w:p>
    <w:p w14:paraId="1039D8DC" w14:textId="5CED6A14" w:rsidR="00DF1088" w:rsidRPr="00622712" w:rsidRDefault="000F77C9" w:rsidP="00622712">
      <w:pPr>
        <w:tabs>
          <w:tab w:val="left" w:pos="2394"/>
        </w:tabs>
        <w:autoSpaceDE w:val="0"/>
        <w:autoSpaceDN w:val="0"/>
        <w:adjustRightInd w:val="0"/>
        <w:outlineLvl w:val="3"/>
        <w:rPr>
          <w:rFonts w:ascii="Calisto MT" w:eastAsia="Times New Roman" w:hAnsi="Calisto MT" w:cs="Times New Roman"/>
          <w:sz w:val="20"/>
          <w:szCs w:val="20"/>
          <w:lang w:val="nl-NL"/>
        </w:rPr>
      </w:pPr>
      <w:r w:rsidRPr="00622712">
        <w:rPr>
          <w:rFonts w:ascii="Calisto MT" w:eastAsia="Times New Roman" w:hAnsi="Calisto MT" w:cs="Times New Roman"/>
          <w:sz w:val="20"/>
          <w:szCs w:val="20"/>
        </w:rPr>
        <w:t xml:space="preserve">Variabel X6 (ureum) berpengaruh </w:t>
      </w:r>
      <w:r w:rsidRPr="00622712">
        <w:rPr>
          <w:rFonts w:ascii="Calisto MT" w:eastAsia="Times New Roman" w:hAnsi="Calisto MT" w:cs="Times New Roman"/>
          <w:b/>
          <w:sz w:val="20"/>
          <w:szCs w:val="20"/>
        </w:rPr>
        <w:t>negatif</w:t>
      </w:r>
      <w:r w:rsidRPr="00622712">
        <w:rPr>
          <w:rFonts w:ascii="Calisto MT" w:eastAsia="Times New Roman" w:hAnsi="Calisto MT" w:cs="Times New Roman"/>
          <w:sz w:val="20"/>
          <w:szCs w:val="20"/>
        </w:rPr>
        <w:t xml:space="preserve"> dan </w:t>
      </w:r>
      <w:r w:rsidRPr="00622712">
        <w:rPr>
          <w:rFonts w:ascii="Calisto MT" w:eastAsia="Times New Roman" w:hAnsi="Calisto MT" w:cs="Times New Roman"/>
          <w:b/>
          <w:sz w:val="20"/>
          <w:szCs w:val="20"/>
        </w:rPr>
        <w:t>tidak signifikan</w:t>
      </w:r>
      <w:r w:rsidRPr="00622712">
        <w:rPr>
          <w:rFonts w:ascii="Calisto MT" w:eastAsia="Times New Roman" w:hAnsi="Calisto MT" w:cs="Times New Roman"/>
          <w:sz w:val="20"/>
          <w:szCs w:val="20"/>
        </w:rPr>
        <w:t xml:space="preserve"> terhadap variabel Y1 (konsumsi EPO), dengan nilai </w:t>
      </w:r>
      <w:r w:rsidRPr="00622712">
        <w:rPr>
          <w:rFonts w:ascii="Calisto MT" w:eastAsia="Times New Roman" w:hAnsi="Calisto MT" w:cs="Times New Roman"/>
          <w:i/>
          <w:sz w:val="20"/>
          <w:szCs w:val="20"/>
        </w:rPr>
        <w:t>p-value</w:t>
      </w:r>
      <w:r w:rsidRPr="00622712">
        <w:rPr>
          <w:rFonts w:ascii="Calisto MT" w:eastAsia="Times New Roman" w:hAnsi="Calisto MT" w:cs="Times New Roman"/>
          <w:sz w:val="20"/>
          <w:szCs w:val="20"/>
        </w:rPr>
        <w:t xml:space="preserve"> lebih besar dari </w:t>
      </w:r>
      <w:r w:rsidRPr="00622712">
        <w:rPr>
          <w:rFonts w:ascii="Cambria" w:eastAsia="Times New Roman" w:hAnsi="Cambria" w:cs="Cambria"/>
          <w:sz w:val="20"/>
          <w:szCs w:val="20"/>
        </w:rPr>
        <w:t>α</w:t>
      </w:r>
      <w:r w:rsidRPr="00622712">
        <w:rPr>
          <w:rFonts w:ascii="Calisto MT" w:eastAsia="Times New Roman" w:hAnsi="Calisto MT" w:cs="Times New Roman"/>
          <w:sz w:val="20"/>
          <w:szCs w:val="20"/>
        </w:rPr>
        <w:t xml:space="preserve"> (0.274 &gt; 0.050). </w:t>
      </w:r>
      <w:r w:rsidR="00622712" w:rsidRPr="00622712">
        <w:rPr>
          <w:rFonts w:ascii="Calisto MT" w:eastAsia="Times New Roman" w:hAnsi="Calisto MT" w:cs="Times New Roman"/>
          <w:sz w:val="20"/>
          <w:szCs w:val="20"/>
        </w:rPr>
        <w:t>Koefisien yang negatif menunjukkan bahwa peningkatan variabel X6 dapat menurunkan variabel Y1 (konsumsi EPO) tetapi tidak signifikan.</w:t>
      </w:r>
      <w:r w:rsidR="00622712" w:rsidRPr="00622712">
        <w:rPr>
          <w:rFonts w:ascii="Calisto MT" w:eastAsia="Times New Roman" w:hAnsi="Calisto MT" w:cs="Times New Roman"/>
          <w:sz w:val="20"/>
          <w:szCs w:val="20"/>
        </w:rPr>
        <w:t xml:space="preserve"> </w:t>
      </w:r>
      <w:r w:rsidR="00DF1088" w:rsidRPr="00622712">
        <w:rPr>
          <w:rFonts w:ascii="Calisto MT" w:eastAsia="Times New Roman" w:hAnsi="Calisto MT" w:cs="Times New Roman"/>
          <w:sz w:val="20"/>
          <w:szCs w:val="20"/>
          <w:lang w:val="id-ID"/>
        </w:rPr>
        <w:t>Hasil penelitian</w:t>
      </w:r>
      <w:r w:rsidR="00DF1088" w:rsidRPr="00622712">
        <w:rPr>
          <w:rFonts w:ascii="Calisto MT" w:eastAsia="Times New Roman" w:hAnsi="Calisto MT" w:cs="Times New Roman"/>
          <w:sz w:val="20"/>
          <w:szCs w:val="20"/>
        </w:rPr>
        <w:t xml:space="preserve"> </w:t>
      </w:r>
      <w:r w:rsidR="00DF1088" w:rsidRPr="00622712">
        <w:rPr>
          <w:rFonts w:ascii="Calisto MT" w:eastAsia="Times New Roman" w:hAnsi="Calisto MT" w:cs="Times New Roman"/>
          <w:sz w:val="20"/>
          <w:szCs w:val="20"/>
        </w:rPr>
        <w:fldChar w:fldCharType="begin" w:fldLock="1"/>
      </w:r>
      <w:r w:rsidR="00DF1088" w:rsidRPr="00622712">
        <w:rPr>
          <w:rFonts w:ascii="Calisto MT" w:eastAsia="Times New Roman" w:hAnsi="Calisto MT" w:cs="Times New Roman"/>
          <w:sz w:val="20"/>
          <w:szCs w:val="20"/>
        </w:rPr>
        <w:instrText>ADDIN CSL_CITATION {"citationItems":[{"id":"ITEM-1","itemData":{"DOI":"10.1016/j.ajme.2013.06.003","ISSN":"2090-5068","abstract":"Erythropoietin (EPO) is a hematopoietic factor with multiple protective effects. The aim of the present study was to investigate the potential effect of EPO administration on renal functions and hypoxia inducible factor 1-alpha (HIF-1</w:instrText>
      </w:r>
      <w:r w:rsidR="00DF1088" w:rsidRPr="00622712">
        <w:rPr>
          <w:rFonts w:ascii="Cambria" w:eastAsia="Times New Roman" w:hAnsi="Cambria" w:cs="Cambria"/>
          <w:sz w:val="20"/>
          <w:szCs w:val="20"/>
        </w:rPr>
        <w:instrText>α</w:instrText>
      </w:r>
      <w:r w:rsidR="00DF1088" w:rsidRPr="00622712">
        <w:rPr>
          <w:rFonts w:ascii="Calisto MT" w:eastAsia="Times New Roman" w:hAnsi="Calisto MT" w:cs="Times New Roman"/>
          <w:sz w:val="20"/>
          <w:szCs w:val="20"/>
        </w:rPr>
        <w:instrText>) in diabetic rat kidneys. The current study was carried out on 40 male albino rats divided into four groups (n=10 in each). Group I served as normal control, group II was the diabetic control, group III rats received EPO on the same day of diagnosis of diabetes mellitus (DM), while group IV received the first dose of EPO 2weeks after the diagnosis of DM. The results showed that EPO supplementation leads to a significant decrease in serum urea, urinary protein and creatinine clearance as well as a significant increase in renal HIF-1</w:instrText>
      </w:r>
      <w:r w:rsidR="00DF1088" w:rsidRPr="00622712">
        <w:rPr>
          <w:rFonts w:ascii="Cambria" w:eastAsia="Times New Roman" w:hAnsi="Cambria" w:cs="Cambria"/>
          <w:sz w:val="20"/>
          <w:szCs w:val="20"/>
        </w:rPr>
        <w:instrText>α</w:instrText>
      </w:r>
      <w:r w:rsidR="00DF1088" w:rsidRPr="00622712">
        <w:rPr>
          <w:rFonts w:ascii="Calisto MT" w:eastAsia="Times New Roman" w:hAnsi="Calisto MT" w:cs="Times New Roman"/>
          <w:sz w:val="20"/>
          <w:szCs w:val="20"/>
        </w:rPr>
        <w:instrText xml:space="preserve"> in group III and IV rats compared to the diabetic control group (group II). However, fasting blood glucose was significantly decreased in group III as compared to the diabetic control group in the third week, but no significant difference was reported in the fourth week among groups II, III and IV. \\n\\nCONCLUSION\\nEPO administration leads to the improvement of renal functions and increased levels of HIF-1</w:instrText>
      </w:r>
      <w:r w:rsidR="00DF1088" w:rsidRPr="00622712">
        <w:rPr>
          <w:rFonts w:ascii="Cambria" w:eastAsia="Times New Roman" w:hAnsi="Cambria" w:cs="Cambria"/>
          <w:sz w:val="20"/>
          <w:szCs w:val="20"/>
        </w:rPr>
        <w:instrText>α</w:instrText>
      </w:r>
      <w:r w:rsidR="00DF1088" w:rsidRPr="00622712">
        <w:rPr>
          <w:rFonts w:ascii="Calisto MT" w:eastAsia="Times New Roman" w:hAnsi="Calisto MT" w:cs="Times New Roman"/>
          <w:sz w:val="20"/>
          <w:szCs w:val="20"/>
        </w:rPr>
        <w:instrText xml:space="preserve"> in diabetic rats.","author":[{"dropping-particle":"","family":"Hassan","given":"Alaa El Din","non-dropping-particle":"","parse-names":false,"suffix":""},{"dropping-particle":"","family":"Shaat","given":"Eman A.","non-dropping-particle":"","parse-names":false,"suffix":""},{"dropping-particle":"","family":"Deif","given":"Maha M.","non-dropping-particle":"","parse-names":false,"suffix":""},{"dropping-particle":"","family":"Azhary","given":"Nesrine M.","non-dropping-particle":"El","parse-names":false,"suffix":""},{"dropping-particle":"","family":"Omar","given":"Eman M.","non-dropping-particle":"","parse-names":false,"suffix":""}],"container-title":"Alexandria Journal of Medicine","id":"ITEM-1","issue":"1","issued":{"date-parts":[["2014"]]},"page":"69-75","publisher":"Alexandria University Faculty of Medicine","title":"Effect of erythropoietin hormone supplementation on renal functions and the level of hypoxia-inducible factor-1</w:instrText>
      </w:r>
      <w:r w:rsidR="00DF1088" w:rsidRPr="00622712">
        <w:rPr>
          <w:rFonts w:ascii="Cambria" w:eastAsia="Times New Roman" w:hAnsi="Cambria" w:cs="Cambria"/>
          <w:sz w:val="20"/>
          <w:szCs w:val="20"/>
        </w:rPr>
        <w:instrText>α</w:instrText>
      </w:r>
      <w:r w:rsidR="00DF1088" w:rsidRPr="00622712">
        <w:rPr>
          <w:rFonts w:ascii="Calisto MT" w:eastAsia="Times New Roman" w:hAnsi="Calisto MT" w:cs="Times New Roman"/>
          <w:sz w:val="20"/>
          <w:szCs w:val="20"/>
        </w:rPr>
        <w:instrText xml:space="preserve"> in rat kidneys with experimentally induced diabetic nephropathy","type":"article-journal","volume":"50"},"uris":["http://www.mendeley.com/documents/?uuid=e876f14b-4841-4e48-9b6a-91e2275b8ef7"]}],"mendeley":{"formattedCitation":"(Hassan et al., 2014)","plainTextFormattedCitation":"(Hassan et al., 2014)","previouslyFormattedCitation":"(Hassan et al., 2014)"},"properties":{"noteIndex":0},"schema":"https://github.com/citation-style-language/schema/raw/master/csl-citation.json"}</w:instrText>
      </w:r>
      <w:r w:rsidR="00DF1088" w:rsidRPr="00622712">
        <w:rPr>
          <w:rFonts w:ascii="Calisto MT" w:eastAsia="Times New Roman" w:hAnsi="Calisto MT" w:cs="Times New Roman"/>
          <w:sz w:val="20"/>
          <w:szCs w:val="20"/>
        </w:rPr>
        <w:fldChar w:fldCharType="separate"/>
      </w:r>
      <w:r w:rsidR="00DF1088" w:rsidRPr="00622712">
        <w:rPr>
          <w:rFonts w:ascii="Calisto MT" w:eastAsia="Times New Roman" w:hAnsi="Calisto MT" w:cs="Times New Roman"/>
          <w:noProof/>
          <w:sz w:val="20"/>
          <w:szCs w:val="20"/>
        </w:rPr>
        <w:t>(Hassan et al., 2014)</w:t>
      </w:r>
      <w:r w:rsidR="00DF1088" w:rsidRPr="00622712">
        <w:rPr>
          <w:rFonts w:ascii="Calisto MT" w:eastAsia="Times New Roman" w:hAnsi="Calisto MT" w:cs="Times New Roman"/>
          <w:sz w:val="20"/>
          <w:szCs w:val="20"/>
        </w:rPr>
        <w:fldChar w:fldCharType="end"/>
      </w:r>
      <w:r w:rsidR="00DF1088" w:rsidRPr="00622712">
        <w:rPr>
          <w:rFonts w:ascii="Calisto MT" w:eastAsia="Times New Roman" w:hAnsi="Calisto MT" w:cs="Times New Roman"/>
          <w:sz w:val="20"/>
          <w:szCs w:val="20"/>
          <w:lang w:val="id-ID"/>
        </w:rPr>
        <w:t xml:space="preserve"> menunjukkan bahwa suplementasi EPO menyebabkan penurunan yang signifikan pada urea serum</w:t>
      </w:r>
      <w:r w:rsidR="00DF1088" w:rsidRPr="00622712">
        <w:rPr>
          <w:rFonts w:ascii="Calisto MT" w:eastAsia="Times New Roman" w:hAnsi="Calisto MT" w:cs="Times New Roman"/>
          <w:sz w:val="20"/>
          <w:szCs w:val="20"/>
        </w:rPr>
        <w:t xml:space="preserve">. </w:t>
      </w:r>
      <w:r w:rsidR="00DF1088" w:rsidRPr="00622712">
        <w:rPr>
          <w:rFonts w:ascii="Calisto MT" w:eastAsia="Times New Roman" w:hAnsi="Calisto MT" w:cs="Times New Roman"/>
          <w:sz w:val="20"/>
          <w:szCs w:val="20"/>
          <w:lang w:val="nl-NL"/>
        </w:rPr>
        <w:t xml:space="preserve">Hasil penelitian yang dilakukan </w:t>
      </w:r>
      <w:r w:rsidR="00DF1088" w:rsidRPr="00622712">
        <w:rPr>
          <w:rFonts w:ascii="Calisto MT" w:eastAsia="Times New Roman" w:hAnsi="Calisto MT" w:cs="Times New Roman"/>
          <w:sz w:val="20"/>
          <w:szCs w:val="20"/>
          <w:lang w:val="nl-NL"/>
        </w:rPr>
        <w:fldChar w:fldCharType="begin" w:fldLock="1"/>
      </w:r>
      <w:r w:rsidR="00DF1088" w:rsidRPr="00622712">
        <w:rPr>
          <w:rFonts w:ascii="Calisto MT" w:eastAsia="Times New Roman" w:hAnsi="Calisto MT" w:cs="Times New Roman"/>
          <w:sz w:val="20"/>
          <w:szCs w:val="20"/>
          <w:lang w:val="nl-NL"/>
        </w:rPr>
        <w:instrText>ADDIN CSL_CITATION {"citationItems":[{"id":"ITEM-1","itemData":{"abstract":"Chronic renal failure is the progressive loss of function of kidney and patient requires a long treatment in the form of renal replacement therapy. Haemodialysis is one of the renal replacement therapy, during which body's waste products, including creatinine, urea and excess water, are removed. The current study was designed to investigate the impact of haemodialysis on the removal of excess body waste and hemoglobin level of patients. Seventy patients were randomly analyzed. 53% of patients had serum urea level above 200 mg/dl but after dialysis and 66% of patients had urea level below 200 mg/dl. Concerning serum creatinine, 57% of patients had values between 7-12 mg/dl before dialysis, whereas after dialysis in 58% of patients the values were reduced below 7 mg/dl. Abstract Chronic renal failure is the progressive loss of function of kidney and patient requires a long treatment in the form of renal replacement therapy. Haemodialysis is one of the renal replacement therapy, during which body waste products 's , including eatinine, urea and excess water, are removed. The cr current study was designed to investigate the impact of haemodialysis the removal of excess body waste and on hemoglobin level of patients. Seventy patients were randomly analyzed. 53% of patients had serum urea level above 200 mg/dl but after dialysis and 66% of patients had urea level below 200 mg/dl. Concerning serum creatinine, 57% of patients had values between 7-12 mg/dl before dialysis, whereas after dialysis in 58% of patients the values were reduced below 7 mg/dl. Cite this Article as: Amin N, Mahmood RT, Asad MJ, Zafar M, and Raja AM. Evaluating urea and creatinine levels in chronic renal failure pre and post dialysis: a prospective study. JCvD 2014: in press.","author":[{"dropping-particle":"","family":"Tahir Mahmood Javaid Asad","given":"Raja M","non-dropping-particle":"","parse-names":false,"suffix":""},{"dropping-particle":"","family":"ul Amin","given":"Noor","non-dropping-particle":"","parse-names":false,"suffix":""},{"dropping-particle":"","family":"Tahir Mahmood","given":"Raja","non-dropping-particle":"","parse-names":false,"suffix":""},{"dropping-particle":"","family":"Asad Mudassar Zafar","given":"Javaid","non-dropping-particle":"","parse-names":false,"suffix":""},{"dropping-particle":"","family":"Mehmood Raja","given":"Asad","non-dropping-particle":"","parse-names":false,"suffix":""}],"container-title":"Journal of Cardiovascular Disease","id":"ITEM-1","issue":"2","issued":{"date-parts":[["2014"]]},"page":"2330-4596","title":"Evaluating Urea and Creatinine Levels in Chronic Renal Failure Pre and Post Dialysis: A Prospective Study Evaluating Urea and Creatinine Levels in Chronic Rena Failure Pre and Post Dialysis: A Prospective Study","type":"article-journal","volume":"2"},"uris":["http://www.mendeley.com/documents/?uuid=f00a8ffb-adf2-4922-8688-1ea7802cc2dc"]}],"mendeley":{"formattedCitation":"(Tahir Mahmood Javaid Asad et al., 2014)","plainTextFormattedCitation":"(Tahir Mahmood Javaid Asad et al., 2014)","previouslyFormattedCitation":"(Tahir Mahmood Javaid Asad et al., 2014)"},"properties":{"noteIndex":0},"schema":"https://github.com/citation-style-language/schema/raw/master/csl-citation.json"}</w:instrText>
      </w:r>
      <w:r w:rsidR="00DF1088" w:rsidRPr="00622712">
        <w:rPr>
          <w:rFonts w:ascii="Calisto MT" w:eastAsia="Times New Roman" w:hAnsi="Calisto MT" w:cs="Times New Roman"/>
          <w:sz w:val="20"/>
          <w:szCs w:val="20"/>
          <w:lang w:val="nl-NL"/>
        </w:rPr>
        <w:fldChar w:fldCharType="separate"/>
      </w:r>
      <w:r w:rsidR="00DF1088" w:rsidRPr="00622712">
        <w:rPr>
          <w:rFonts w:ascii="Calisto MT" w:eastAsia="Times New Roman" w:hAnsi="Calisto MT" w:cs="Times New Roman"/>
          <w:noProof/>
          <w:sz w:val="20"/>
          <w:szCs w:val="20"/>
          <w:lang w:val="nl-NL"/>
        </w:rPr>
        <w:t>(Tahir Mahmood Javaid Asad et al., 2014)</w:t>
      </w:r>
      <w:r w:rsidR="00DF1088" w:rsidRPr="00622712">
        <w:rPr>
          <w:rFonts w:ascii="Calisto MT" w:eastAsia="Times New Roman" w:hAnsi="Calisto MT" w:cs="Times New Roman"/>
          <w:sz w:val="20"/>
          <w:szCs w:val="20"/>
        </w:rPr>
        <w:fldChar w:fldCharType="end"/>
      </w:r>
      <w:r w:rsidR="00DF1088" w:rsidRPr="00622712">
        <w:rPr>
          <w:rFonts w:ascii="Calisto MT" w:eastAsia="Times New Roman" w:hAnsi="Calisto MT" w:cs="Times New Roman"/>
          <w:sz w:val="20"/>
          <w:szCs w:val="20"/>
          <w:lang w:val="nl-NL"/>
        </w:rPr>
        <w:t xml:space="preserve"> pada 53% pasien memiliki kadar urea serum di atas 200 mg/dL tetapi setelah dialisis dan 66% pasien memiliki kadar urea di bawah 200 mg/dL.</w:t>
      </w:r>
    </w:p>
    <w:p w14:paraId="1B0B64B3" w14:textId="2F939A9E" w:rsidR="00622712" w:rsidRPr="00E64050" w:rsidRDefault="00622712" w:rsidP="00BD6B44">
      <w:pPr>
        <w:tabs>
          <w:tab w:val="left" w:pos="2394"/>
        </w:tabs>
        <w:autoSpaceDE w:val="0"/>
        <w:autoSpaceDN w:val="0"/>
        <w:adjustRightInd w:val="0"/>
        <w:outlineLvl w:val="3"/>
        <w:rPr>
          <w:rFonts w:ascii="Calisto MT" w:eastAsia="Times New Roman" w:hAnsi="Calisto MT" w:cs="Times New Roman"/>
          <w:sz w:val="20"/>
          <w:szCs w:val="20"/>
        </w:rPr>
      </w:pPr>
      <w:r>
        <w:rPr>
          <w:rFonts w:ascii="Calisto MT" w:eastAsia="Times New Roman" w:hAnsi="Calisto MT" w:cs="Times New Roman"/>
          <w:sz w:val="20"/>
          <w:szCs w:val="20"/>
          <w:lang w:val="nl-NL"/>
        </w:rPr>
        <w:t xml:space="preserve">Tabel 2 hasil analisis regresi </w:t>
      </w:r>
    </w:p>
    <w:p w14:paraId="56553C78" w14:textId="22653729" w:rsidR="000F77C9"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641"/>
        <w:gridCol w:w="549"/>
        <w:gridCol w:w="647"/>
        <w:gridCol w:w="1002"/>
      </w:tblGrid>
      <w:tr w:rsidR="00E64050" w:rsidRPr="000F77C9" w14:paraId="5A4F216C" w14:textId="77777777" w:rsidTr="00E64050">
        <w:trPr>
          <w:trHeight w:val="58"/>
          <w:jc w:val="center"/>
        </w:trPr>
        <w:tc>
          <w:tcPr>
            <w:tcW w:w="2061" w:type="pct"/>
            <w:tcBorders>
              <w:top w:val="single" w:sz="4" w:space="0" w:color="auto"/>
              <w:left w:val="single" w:sz="4" w:space="0" w:color="auto"/>
              <w:bottom w:val="single" w:sz="4" w:space="0" w:color="auto"/>
              <w:right w:val="single" w:sz="4" w:space="0" w:color="auto"/>
            </w:tcBorders>
            <w:vAlign w:val="center"/>
          </w:tcPr>
          <w:p w14:paraId="4BD90DC0" w14:textId="77777777" w:rsidR="000F77C9" w:rsidRPr="000F77C9" w:rsidRDefault="000F77C9" w:rsidP="00E64050">
            <w:pPr>
              <w:tabs>
                <w:tab w:val="left" w:pos="2394"/>
                <w:tab w:val="left" w:pos="3600"/>
              </w:tabs>
              <w:ind w:firstLine="0"/>
              <w:rPr>
                <w:rFonts w:ascii="Calisto MT" w:eastAsia="Calibri" w:hAnsi="Calisto MT" w:cs="Times New Roman"/>
                <w:b/>
                <w:sz w:val="20"/>
                <w:szCs w:val="20"/>
                <w:lang w:val="id-ID"/>
              </w:rPr>
            </w:pPr>
            <w:r w:rsidRPr="000F77C9">
              <w:rPr>
                <w:rFonts w:ascii="Calisto MT" w:eastAsia="Calibri" w:hAnsi="Calisto MT" w:cs="Times New Roman"/>
                <w:b/>
                <w:sz w:val="20"/>
                <w:szCs w:val="20"/>
                <w:lang w:val="id-ID"/>
              </w:rPr>
              <w:t>Variabel</w:t>
            </w:r>
          </w:p>
        </w:tc>
        <w:tc>
          <w:tcPr>
            <w:tcW w:w="552" w:type="pct"/>
            <w:tcBorders>
              <w:top w:val="single" w:sz="4" w:space="0" w:color="auto"/>
              <w:left w:val="single" w:sz="4" w:space="0" w:color="auto"/>
              <w:bottom w:val="single" w:sz="4" w:space="0" w:color="auto"/>
              <w:right w:val="single" w:sz="4" w:space="0" w:color="auto"/>
            </w:tcBorders>
            <w:vAlign w:val="center"/>
          </w:tcPr>
          <w:p w14:paraId="60F14E52" w14:textId="77777777" w:rsidR="000F77C9" w:rsidRPr="000F77C9" w:rsidRDefault="000F77C9" w:rsidP="00E64050">
            <w:pPr>
              <w:tabs>
                <w:tab w:val="left" w:pos="2394"/>
                <w:tab w:val="left" w:pos="3600"/>
              </w:tabs>
              <w:ind w:firstLine="0"/>
              <w:rPr>
                <w:rFonts w:ascii="Calisto MT" w:eastAsia="Calibri" w:hAnsi="Calisto MT" w:cs="Times New Roman"/>
                <w:b/>
                <w:sz w:val="20"/>
                <w:szCs w:val="20"/>
                <w:lang w:val="id-ID"/>
              </w:rPr>
            </w:pPr>
            <w:r w:rsidRPr="000F77C9">
              <w:rPr>
                <w:rFonts w:ascii="Calisto MT" w:eastAsia="Calibri" w:hAnsi="Calisto MT" w:cs="Times New Roman"/>
                <w:b/>
                <w:sz w:val="20"/>
                <w:szCs w:val="20"/>
                <w:lang w:val="id-ID"/>
              </w:rPr>
              <w:t>Beta</w:t>
            </w:r>
          </w:p>
        </w:tc>
        <w:tc>
          <w:tcPr>
            <w:tcW w:w="552" w:type="pct"/>
            <w:tcBorders>
              <w:top w:val="single" w:sz="4" w:space="0" w:color="auto"/>
              <w:left w:val="single" w:sz="4" w:space="0" w:color="auto"/>
              <w:bottom w:val="single" w:sz="4" w:space="0" w:color="auto"/>
              <w:right w:val="single" w:sz="4" w:space="0" w:color="auto"/>
            </w:tcBorders>
            <w:vAlign w:val="center"/>
          </w:tcPr>
          <w:p w14:paraId="24569C3F" w14:textId="77777777" w:rsidR="000F77C9" w:rsidRPr="000F77C9" w:rsidRDefault="000F77C9" w:rsidP="00E64050">
            <w:pPr>
              <w:tabs>
                <w:tab w:val="left" w:pos="2394"/>
                <w:tab w:val="left" w:pos="3600"/>
              </w:tabs>
              <w:ind w:firstLine="0"/>
              <w:rPr>
                <w:rFonts w:ascii="Calisto MT" w:eastAsia="Calibri" w:hAnsi="Calisto MT" w:cs="Times New Roman"/>
                <w:b/>
                <w:sz w:val="20"/>
                <w:szCs w:val="20"/>
              </w:rPr>
            </w:pPr>
            <w:r w:rsidRPr="000F77C9">
              <w:rPr>
                <w:rFonts w:ascii="Calisto MT" w:eastAsia="Calibri" w:hAnsi="Calisto MT" w:cs="Times New Roman"/>
                <w:b/>
                <w:sz w:val="20"/>
                <w:szCs w:val="20"/>
              </w:rPr>
              <w:t>z</w:t>
            </w:r>
          </w:p>
        </w:tc>
        <w:tc>
          <w:tcPr>
            <w:tcW w:w="807" w:type="pct"/>
            <w:tcBorders>
              <w:top w:val="single" w:sz="4" w:space="0" w:color="auto"/>
              <w:left w:val="single" w:sz="4" w:space="0" w:color="auto"/>
              <w:bottom w:val="single" w:sz="4" w:space="0" w:color="auto"/>
              <w:right w:val="single" w:sz="4" w:space="0" w:color="auto"/>
            </w:tcBorders>
            <w:vAlign w:val="center"/>
          </w:tcPr>
          <w:p w14:paraId="29B4EB6A" w14:textId="77777777" w:rsidR="000F77C9" w:rsidRPr="000F77C9" w:rsidRDefault="000F77C9" w:rsidP="00E64050">
            <w:pPr>
              <w:tabs>
                <w:tab w:val="left" w:pos="2394"/>
                <w:tab w:val="left" w:pos="3600"/>
              </w:tabs>
              <w:ind w:firstLine="0"/>
              <w:rPr>
                <w:rFonts w:ascii="Calisto MT" w:eastAsia="Calibri" w:hAnsi="Calisto MT" w:cs="Times New Roman"/>
                <w:b/>
                <w:sz w:val="20"/>
                <w:szCs w:val="20"/>
              </w:rPr>
            </w:pPr>
            <w:r w:rsidRPr="000F77C9">
              <w:rPr>
                <w:rFonts w:ascii="Calisto MT" w:eastAsia="Calibri" w:hAnsi="Calisto MT" w:cs="Times New Roman"/>
                <w:b/>
                <w:sz w:val="20"/>
                <w:szCs w:val="20"/>
              </w:rPr>
              <w:t>p-value</w:t>
            </w:r>
          </w:p>
        </w:tc>
        <w:tc>
          <w:tcPr>
            <w:tcW w:w="1028" w:type="pct"/>
            <w:tcBorders>
              <w:top w:val="single" w:sz="4" w:space="0" w:color="auto"/>
              <w:left w:val="single" w:sz="4" w:space="0" w:color="auto"/>
              <w:bottom w:val="single" w:sz="4" w:space="0" w:color="auto"/>
              <w:right w:val="single" w:sz="4" w:space="0" w:color="auto"/>
            </w:tcBorders>
            <w:vAlign w:val="center"/>
          </w:tcPr>
          <w:p w14:paraId="1CB802C6" w14:textId="0427D25D" w:rsidR="000F77C9" w:rsidRPr="00E64050" w:rsidRDefault="000F77C9" w:rsidP="00E64050">
            <w:pPr>
              <w:tabs>
                <w:tab w:val="left" w:pos="2394"/>
                <w:tab w:val="left" w:pos="3600"/>
              </w:tabs>
              <w:ind w:firstLine="0"/>
              <w:rPr>
                <w:rFonts w:ascii="Calisto MT" w:eastAsia="Calibri" w:hAnsi="Calisto MT" w:cs="Times New Roman"/>
                <w:b/>
                <w:sz w:val="20"/>
                <w:szCs w:val="20"/>
              </w:rPr>
            </w:pPr>
            <w:r w:rsidRPr="000F77C9">
              <w:rPr>
                <w:rFonts w:ascii="Calisto MT" w:eastAsia="Calibri" w:hAnsi="Calisto MT" w:cs="Times New Roman"/>
                <w:b/>
                <w:sz w:val="20"/>
                <w:szCs w:val="20"/>
                <w:lang w:val="id-ID"/>
              </w:rPr>
              <w:t>Ket</w:t>
            </w:r>
            <w:r w:rsidR="00E64050">
              <w:rPr>
                <w:rFonts w:ascii="Calisto MT" w:eastAsia="Calibri" w:hAnsi="Calisto MT" w:cs="Times New Roman"/>
                <w:b/>
                <w:sz w:val="20"/>
                <w:szCs w:val="20"/>
              </w:rPr>
              <w:t>.</w:t>
            </w:r>
          </w:p>
        </w:tc>
      </w:tr>
      <w:tr w:rsidR="00E64050" w:rsidRPr="000F77C9" w14:paraId="46E553EE" w14:textId="77777777" w:rsidTr="00E64050">
        <w:trPr>
          <w:trHeight w:val="58"/>
          <w:jc w:val="center"/>
        </w:trPr>
        <w:tc>
          <w:tcPr>
            <w:tcW w:w="2061" w:type="pct"/>
            <w:tcBorders>
              <w:top w:val="single" w:sz="4" w:space="0" w:color="auto"/>
              <w:left w:val="single" w:sz="4" w:space="0" w:color="auto"/>
              <w:bottom w:val="single" w:sz="4" w:space="0" w:color="auto"/>
              <w:right w:val="single" w:sz="4" w:space="0" w:color="auto"/>
            </w:tcBorders>
            <w:vAlign w:val="center"/>
          </w:tcPr>
          <w:p w14:paraId="28C20E9E"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Y1 (konsumsi EPO)</w:t>
            </w:r>
          </w:p>
        </w:tc>
        <w:tc>
          <w:tcPr>
            <w:tcW w:w="552" w:type="pct"/>
            <w:tcBorders>
              <w:top w:val="single" w:sz="4" w:space="0" w:color="auto"/>
              <w:left w:val="single" w:sz="4" w:space="0" w:color="auto"/>
              <w:bottom w:val="single" w:sz="4" w:space="0" w:color="auto"/>
              <w:right w:val="single" w:sz="4" w:space="0" w:color="auto"/>
            </w:tcBorders>
            <w:vAlign w:val="center"/>
          </w:tcPr>
          <w:p w14:paraId="37B789D5"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0.242</w:t>
            </w:r>
          </w:p>
        </w:tc>
        <w:tc>
          <w:tcPr>
            <w:tcW w:w="552" w:type="pct"/>
            <w:tcBorders>
              <w:top w:val="single" w:sz="4" w:space="0" w:color="auto"/>
              <w:left w:val="single" w:sz="4" w:space="0" w:color="auto"/>
              <w:bottom w:val="single" w:sz="4" w:space="0" w:color="auto"/>
              <w:right w:val="single" w:sz="4" w:space="0" w:color="auto"/>
            </w:tcBorders>
            <w:vAlign w:val="center"/>
          </w:tcPr>
          <w:p w14:paraId="172F8055"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2.71</w:t>
            </w:r>
          </w:p>
        </w:tc>
        <w:tc>
          <w:tcPr>
            <w:tcW w:w="807" w:type="pct"/>
            <w:tcBorders>
              <w:top w:val="single" w:sz="4" w:space="0" w:color="auto"/>
              <w:left w:val="single" w:sz="4" w:space="0" w:color="auto"/>
              <w:bottom w:val="single" w:sz="4" w:space="0" w:color="auto"/>
              <w:right w:val="single" w:sz="4" w:space="0" w:color="auto"/>
            </w:tcBorders>
            <w:vAlign w:val="center"/>
          </w:tcPr>
          <w:p w14:paraId="145AE917"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0.007</w:t>
            </w:r>
          </w:p>
        </w:tc>
        <w:tc>
          <w:tcPr>
            <w:tcW w:w="1028" w:type="pct"/>
            <w:tcBorders>
              <w:top w:val="single" w:sz="4" w:space="0" w:color="auto"/>
              <w:left w:val="single" w:sz="4" w:space="0" w:color="auto"/>
              <w:bottom w:val="single" w:sz="4" w:space="0" w:color="auto"/>
              <w:right w:val="single" w:sz="4" w:space="0" w:color="auto"/>
            </w:tcBorders>
            <w:vAlign w:val="center"/>
          </w:tcPr>
          <w:p w14:paraId="7EACD146"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Signifikan</w:t>
            </w:r>
          </w:p>
        </w:tc>
      </w:tr>
      <w:tr w:rsidR="00E64050" w:rsidRPr="000F77C9" w14:paraId="4F78A344" w14:textId="77777777" w:rsidTr="00E64050">
        <w:trPr>
          <w:trHeight w:val="58"/>
          <w:jc w:val="center"/>
        </w:trPr>
        <w:tc>
          <w:tcPr>
            <w:tcW w:w="2061" w:type="pct"/>
            <w:tcBorders>
              <w:top w:val="single" w:sz="4" w:space="0" w:color="auto"/>
              <w:left w:val="single" w:sz="4" w:space="0" w:color="auto"/>
              <w:bottom w:val="nil"/>
              <w:right w:val="single" w:sz="4" w:space="0" w:color="auto"/>
            </w:tcBorders>
            <w:vAlign w:val="center"/>
          </w:tcPr>
          <w:p w14:paraId="66D1A1B5"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X1 (penyakit penyerta)</w:t>
            </w:r>
          </w:p>
        </w:tc>
        <w:tc>
          <w:tcPr>
            <w:tcW w:w="552" w:type="pct"/>
            <w:tcBorders>
              <w:top w:val="single" w:sz="4" w:space="0" w:color="auto"/>
              <w:left w:val="single" w:sz="4" w:space="0" w:color="auto"/>
              <w:bottom w:val="nil"/>
              <w:right w:val="single" w:sz="4" w:space="0" w:color="auto"/>
            </w:tcBorders>
            <w:vAlign w:val="center"/>
          </w:tcPr>
          <w:p w14:paraId="13358B34"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0.483</w:t>
            </w:r>
          </w:p>
        </w:tc>
        <w:tc>
          <w:tcPr>
            <w:tcW w:w="552" w:type="pct"/>
            <w:tcBorders>
              <w:top w:val="single" w:sz="4" w:space="0" w:color="auto"/>
              <w:left w:val="single" w:sz="4" w:space="0" w:color="auto"/>
              <w:bottom w:val="nil"/>
              <w:right w:val="single" w:sz="4" w:space="0" w:color="auto"/>
            </w:tcBorders>
            <w:vAlign w:val="center"/>
          </w:tcPr>
          <w:p w14:paraId="0829F354"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3.25</w:t>
            </w:r>
          </w:p>
        </w:tc>
        <w:tc>
          <w:tcPr>
            <w:tcW w:w="807" w:type="pct"/>
            <w:tcBorders>
              <w:top w:val="single" w:sz="4" w:space="0" w:color="auto"/>
              <w:left w:val="single" w:sz="4" w:space="0" w:color="auto"/>
              <w:bottom w:val="nil"/>
              <w:right w:val="single" w:sz="4" w:space="0" w:color="auto"/>
            </w:tcBorders>
            <w:vAlign w:val="center"/>
          </w:tcPr>
          <w:p w14:paraId="4C68A226"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0.001</w:t>
            </w:r>
          </w:p>
        </w:tc>
        <w:tc>
          <w:tcPr>
            <w:tcW w:w="1028" w:type="pct"/>
            <w:tcBorders>
              <w:top w:val="single" w:sz="4" w:space="0" w:color="auto"/>
              <w:left w:val="single" w:sz="4" w:space="0" w:color="auto"/>
              <w:bottom w:val="nil"/>
              <w:right w:val="single" w:sz="4" w:space="0" w:color="auto"/>
            </w:tcBorders>
            <w:vAlign w:val="center"/>
          </w:tcPr>
          <w:p w14:paraId="65217454"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Signifikan</w:t>
            </w:r>
          </w:p>
        </w:tc>
      </w:tr>
      <w:tr w:rsidR="00E64050" w:rsidRPr="000F77C9" w14:paraId="19D23DEA" w14:textId="77777777" w:rsidTr="00E64050">
        <w:trPr>
          <w:trHeight w:val="58"/>
          <w:jc w:val="center"/>
        </w:trPr>
        <w:tc>
          <w:tcPr>
            <w:tcW w:w="2061" w:type="pct"/>
            <w:tcBorders>
              <w:top w:val="single" w:sz="4" w:space="0" w:color="auto"/>
              <w:left w:val="single" w:sz="4" w:space="0" w:color="auto"/>
              <w:bottom w:val="nil"/>
              <w:right w:val="single" w:sz="4" w:space="0" w:color="auto"/>
            </w:tcBorders>
            <w:vAlign w:val="center"/>
          </w:tcPr>
          <w:p w14:paraId="621C3EFE"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X2 (Dukungan Keluarga)</w:t>
            </w:r>
          </w:p>
        </w:tc>
        <w:tc>
          <w:tcPr>
            <w:tcW w:w="552" w:type="pct"/>
            <w:tcBorders>
              <w:top w:val="single" w:sz="4" w:space="0" w:color="auto"/>
              <w:left w:val="single" w:sz="4" w:space="0" w:color="auto"/>
              <w:bottom w:val="nil"/>
              <w:right w:val="single" w:sz="4" w:space="0" w:color="auto"/>
            </w:tcBorders>
            <w:vAlign w:val="center"/>
          </w:tcPr>
          <w:p w14:paraId="70A98790"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-0.025</w:t>
            </w:r>
          </w:p>
        </w:tc>
        <w:tc>
          <w:tcPr>
            <w:tcW w:w="552" w:type="pct"/>
            <w:tcBorders>
              <w:top w:val="single" w:sz="4" w:space="0" w:color="auto"/>
              <w:left w:val="single" w:sz="4" w:space="0" w:color="auto"/>
              <w:bottom w:val="nil"/>
              <w:right w:val="single" w:sz="4" w:space="0" w:color="auto"/>
            </w:tcBorders>
            <w:vAlign w:val="center"/>
          </w:tcPr>
          <w:p w14:paraId="32C291BB"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-0.35</w:t>
            </w:r>
          </w:p>
        </w:tc>
        <w:tc>
          <w:tcPr>
            <w:tcW w:w="807" w:type="pct"/>
            <w:tcBorders>
              <w:top w:val="single" w:sz="4" w:space="0" w:color="auto"/>
              <w:left w:val="single" w:sz="4" w:space="0" w:color="auto"/>
              <w:bottom w:val="nil"/>
              <w:right w:val="single" w:sz="4" w:space="0" w:color="auto"/>
            </w:tcBorders>
            <w:vAlign w:val="center"/>
          </w:tcPr>
          <w:p w14:paraId="6D5D747E"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0.725</w:t>
            </w:r>
          </w:p>
        </w:tc>
        <w:tc>
          <w:tcPr>
            <w:tcW w:w="1028" w:type="pct"/>
            <w:tcBorders>
              <w:top w:val="single" w:sz="4" w:space="0" w:color="auto"/>
              <w:left w:val="single" w:sz="4" w:space="0" w:color="auto"/>
              <w:bottom w:val="nil"/>
              <w:right w:val="single" w:sz="4" w:space="0" w:color="auto"/>
            </w:tcBorders>
            <w:vAlign w:val="center"/>
          </w:tcPr>
          <w:p w14:paraId="354B0381" w14:textId="77777777" w:rsidR="000F77C9" w:rsidRPr="000F77C9" w:rsidRDefault="000F77C9" w:rsidP="00E64050">
            <w:pPr>
              <w:tabs>
                <w:tab w:val="left" w:pos="2394"/>
                <w:tab w:val="left" w:pos="3600"/>
              </w:tabs>
              <w:ind w:firstLine="0"/>
              <w:rPr>
                <w:rFonts w:ascii="Calisto MT" w:eastAsia="Calibri" w:hAnsi="Calisto MT" w:cs="Times New Roman"/>
                <w:sz w:val="20"/>
                <w:szCs w:val="20"/>
                <w:lang w:val="id-ID"/>
              </w:rPr>
            </w:pPr>
            <w:r w:rsidRPr="000F77C9">
              <w:rPr>
                <w:rFonts w:ascii="Calisto MT" w:eastAsia="Calibri" w:hAnsi="Calisto MT" w:cs="Times New Roman"/>
                <w:sz w:val="20"/>
                <w:szCs w:val="20"/>
              </w:rPr>
              <w:t>Tidak signifikan</w:t>
            </w:r>
          </w:p>
        </w:tc>
      </w:tr>
      <w:tr w:rsidR="00E64050" w:rsidRPr="000F77C9" w14:paraId="301406C3" w14:textId="77777777" w:rsidTr="00E64050">
        <w:trPr>
          <w:trHeight w:val="58"/>
          <w:jc w:val="center"/>
        </w:trPr>
        <w:tc>
          <w:tcPr>
            <w:tcW w:w="2061" w:type="pct"/>
            <w:tcBorders>
              <w:top w:val="single" w:sz="4" w:space="0" w:color="auto"/>
              <w:left w:val="single" w:sz="4" w:space="0" w:color="auto"/>
              <w:bottom w:val="nil"/>
              <w:right w:val="single" w:sz="4" w:space="0" w:color="auto"/>
            </w:tcBorders>
            <w:vAlign w:val="center"/>
          </w:tcPr>
          <w:p w14:paraId="319DE983"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X3 (Tingkat Kepatuhan)</w:t>
            </w:r>
          </w:p>
        </w:tc>
        <w:tc>
          <w:tcPr>
            <w:tcW w:w="552" w:type="pct"/>
            <w:tcBorders>
              <w:top w:val="single" w:sz="4" w:space="0" w:color="auto"/>
              <w:left w:val="single" w:sz="4" w:space="0" w:color="auto"/>
              <w:bottom w:val="nil"/>
              <w:right w:val="single" w:sz="4" w:space="0" w:color="auto"/>
            </w:tcBorders>
            <w:vAlign w:val="center"/>
          </w:tcPr>
          <w:p w14:paraId="12142693"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0.017</w:t>
            </w:r>
          </w:p>
        </w:tc>
        <w:tc>
          <w:tcPr>
            <w:tcW w:w="552" w:type="pct"/>
            <w:tcBorders>
              <w:top w:val="single" w:sz="4" w:space="0" w:color="auto"/>
              <w:left w:val="single" w:sz="4" w:space="0" w:color="auto"/>
              <w:bottom w:val="nil"/>
              <w:right w:val="single" w:sz="4" w:space="0" w:color="auto"/>
            </w:tcBorders>
            <w:vAlign w:val="center"/>
          </w:tcPr>
          <w:p w14:paraId="2A18A308"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0.20</w:t>
            </w:r>
          </w:p>
        </w:tc>
        <w:tc>
          <w:tcPr>
            <w:tcW w:w="807" w:type="pct"/>
            <w:tcBorders>
              <w:top w:val="single" w:sz="4" w:space="0" w:color="auto"/>
              <w:left w:val="single" w:sz="4" w:space="0" w:color="auto"/>
              <w:bottom w:val="nil"/>
              <w:right w:val="single" w:sz="4" w:space="0" w:color="auto"/>
            </w:tcBorders>
            <w:vAlign w:val="center"/>
          </w:tcPr>
          <w:p w14:paraId="0E332447"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0.839</w:t>
            </w:r>
          </w:p>
        </w:tc>
        <w:tc>
          <w:tcPr>
            <w:tcW w:w="1028" w:type="pct"/>
            <w:tcBorders>
              <w:top w:val="single" w:sz="4" w:space="0" w:color="auto"/>
              <w:left w:val="single" w:sz="4" w:space="0" w:color="auto"/>
              <w:bottom w:val="nil"/>
              <w:right w:val="single" w:sz="4" w:space="0" w:color="auto"/>
            </w:tcBorders>
            <w:vAlign w:val="center"/>
          </w:tcPr>
          <w:p w14:paraId="5B037E60" w14:textId="77777777" w:rsidR="000F77C9" w:rsidRPr="000F77C9" w:rsidRDefault="000F77C9" w:rsidP="00E64050">
            <w:pPr>
              <w:tabs>
                <w:tab w:val="left" w:pos="2394"/>
                <w:tab w:val="left" w:pos="3600"/>
              </w:tabs>
              <w:ind w:firstLine="0"/>
              <w:rPr>
                <w:rFonts w:ascii="Calisto MT" w:eastAsia="Calibri" w:hAnsi="Calisto MT" w:cs="Times New Roman"/>
                <w:sz w:val="20"/>
                <w:szCs w:val="20"/>
                <w:lang w:val="id-ID"/>
              </w:rPr>
            </w:pPr>
            <w:r w:rsidRPr="000F77C9">
              <w:rPr>
                <w:rFonts w:ascii="Calisto MT" w:eastAsia="Calibri" w:hAnsi="Calisto MT" w:cs="Times New Roman"/>
                <w:sz w:val="20"/>
                <w:szCs w:val="20"/>
              </w:rPr>
              <w:t>Tidak signifikan</w:t>
            </w:r>
          </w:p>
        </w:tc>
      </w:tr>
      <w:tr w:rsidR="00E64050" w:rsidRPr="000F77C9" w14:paraId="53726454" w14:textId="77777777" w:rsidTr="00E64050">
        <w:trPr>
          <w:trHeight w:val="58"/>
          <w:jc w:val="center"/>
        </w:trPr>
        <w:tc>
          <w:tcPr>
            <w:tcW w:w="2061" w:type="pct"/>
            <w:tcBorders>
              <w:top w:val="single" w:sz="4" w:space="0" w:color="auto"/>
              <w:left w:val="single" w:sz="4" w:space="0" w:color="auto"/>
              <w:bottom w:val="nil"/>
              <w:right w:val="single" w:sz="4" w:space="0" w:color="auto"/>
            </w:tcBorders>
            <w:vAlign w:val="center"/>
          </w:tcPr>
          <w:p w14:paraId="0B54312C"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X4 (Tingkat Pengetahuan)</w:t>
            </w:r>
          </w:p>
        </w:tc>
        <w:tc>
          <w:tcPr>
            <w:tcW w:w="552" w:type="pct"/>
            <w:tcBorders>
              <w:top w:val="single" w:sz="4" w:space="0" w:color="auto"/>
              <w:left w:val="single" w:sz="4" w:space="0" w:color="auto"/>
              <w:bottom w:val="nil"/>
              <w:right w:val="single" w:sz="4" w:space="0" w:color="auto"/>
            </w:tcBorders>
            <w:vAlign w:val="center"/>
          </w:tcPr>
          <w:p w14:paraId="37EF1FA7" w14:textId="3EE23969"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0.261</w:t>
            </w:r>
          </w:p>
        </w:tc>
        <w:tc>
          <w:tcPr>
            <w:tcW w:w="552" w:type="pct"/>
            <w:tcBorders>
              <w:top w:val="single" w:sz="4" w:space="0" w:color="auto"/>
              <w:left w:val="single" w:sz="4" w:space="0" w:color="auto"/>
              <w:bottom w:val="nil"/>
              <w:right w:val="single" w:sz="4" w:space="0" w:color="auto"/>
            </w:tcBorders>
            <w:vAlign w:val="center"/>
          </w:tcPr>
          <w:p w14:paraId="6B9E2C1F" w14:textId="1B558F04"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1.93</w:t>
            </w:r>
          </w:p>
        </w:tc>
        <w:tc>
          <w:tcPr>
            <w:tcW w:w="807" w:type="pct"/>
            <w:tcBorders>
              <w:top w:val="single" w:sz="4" w:space="0" w:color="auto"/>
              <w:left w:val="single" w:sz="4" w:space="0" w:color="auto"/>
              <w:bottom w:val="nil"/>
              <w:right w:val="single" w:sz="4" w:space="0" w:color="auto"/>
            </w:tcBorders>
            <w:vAlign w:val="center"/>
          </w:tcPr>
          <w:p w14:paraId="2E0F9507"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0.053</w:t>
            </w:r>
          </w:p>
        </w:tc>
        <w:tc>
          <w:tcPr>
            <w:tcW w:w="1028" w:type="pct"/>
            <w:tcBorders>
              <w:top w:val="single" w:sz="4" w:space="0" w:color="auto"/>
              <w:left w:val="single" w:sz="4" w:space="0" w:color="auto"/>
              <w:bottom w:val="nil"/>
              <w:right w:val="single" w:sz="4" w:space="0" w:color="auto"/>
            </w:tcBorders>
            <w:vAlign w:val="center"/>
          </w:tcPr>
          <w:p w14:paraId="26D4F972" w14:textId="77777777" w:rsidR="000F77C9" w:rsidRPr="000F77C9" w:rsidRDefault="000F77C9" w:rsidP="00E64050">
            <w:pPr>
              <w:tabs>
                <w:tab w:val="left" w:pos="2394"/>
                <w:tab w:val="left" w:pos="3600"/>
              </w:tabs>
              <w:ind w:firstLine="0"/>
              <w:rPr>
                <w:rFonts w:ascii="Calisto MT" w:eastAsia="Calibri" w:hAnsi="Calisto MT" w:cs="Times New Roman"/>
                <w:sz w:val="20"/>
                <w:szCs w:val="20"/>
                <w:lang w:val="id-ID"/>
              </w:rPr>
            </w:pPr>
            <w:r w:rsidRPr="000F77C9">
              <w:rPr>
                <w:rFonts w:ascii="Calisto MT" w:eastAsia="Calibri" w:hAnsi="Calisto MT" w:cs="Times New Roman"/>
                <w:sz w:val="20"/>
                <w:szCs w:val="20"/>
              </w:rPr>
              <w:t>Tidak signifikan</w:t>
            </w:r>
          </w:p>
        </w:tc>
      </w:tr>
      <w:tr w:rsidR="00E64050" w:rsidRPr="000F77C9" w14:paraId="204D62C0" w14:textId="77777777" w:rsidTr="00E64050">
        <w:trPr>
          <w:trHeight w:val="58"/>
          <w:jc w:val="center"/>
        </w:trPr>
        <w:tc>
          <w:tcPr>
            <w:tcW w:w="2061" w:type="pct"/>
            <w:tcBorders>
              <w:top w:val="single" w:sz="4" w:space="0" w:color="auto"/>
              <w:left w:val="single" w:sz="4" w:space="0" w:color="auto"/>
              <w:bottom w:val="nil"/>
              <w:right w:val="single" w:sz="4" w:space="0" w:color="auto"/>
            </w:tcBorders>
            <w:vAlign w:val="center"/>
          </w:tcPr>
          <w:p w14:paraId="667FC327"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lastRenderedPageBreak/>
              <w:t>X5 (kreatinin)</w:t>
            </w:r>
          </w:p>
        </w:tc>
        <w:tc>
          <w:tcPr>
            <w:tcW w:w="552" w:type="pct"/>
            <w:tcBorders>
              <w:top w:val="single" w:sz="4" w:space="0" w:color="auto"/>
              <w:left w:val="single" w:sz="4" w:space="0" w:color="auto"/>
              <w:bottom w:val="nil"/>
              <w:right w:val="single" w:sz="4" w:space="0" w:color="auto"/>
            </w:tcBorders>
            <w:vAlign w:val="center"/>
          </w:tcPr>
          <w:p w14:paraId="4E6EAACD" w14:textId="3E62ED3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0.113</w:t>
            </w:r>
          </w:p>
        </w:tc>
        <w:tc>
          <w:tcPr>
            <w:tcW w:w="552" w:type="pct"/>
            <w:tcBorders>
              <w:top w:val="single" w:sz="4" w:space="0" w:color="auto"/>
              <w:left w:val="single" w:sz="4" w:space="0" w:color="auto"/>
              <w:bottom w:val="nil"/>
              <w:right w:val="single" w:sz="4" w:space="0" w:color="auto"/>
            </w:tcBorders>
            <w:vAlign w:val="center"/>
          </w:tcPr>
          <w:p w14:paraId="069B4914" w14:textId="68275984"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3.76</w:t>
            </w:r>
          </w:p>
        </w:tc>
        <w:tc>
          <w:tcPr>
            <w:tcW w:w="807" w:type="pct"/>
            <w:tcBorders>
              <w:top w:val="single" w:sz="4" w:space="0" w:color="auto"/>
              <w:left w:val="single" w:sz="4" w:space="0" w:color="auto"/>
              <w:bottom w:val="nil"/>
              <w:right w:val="single" w:sz="4" w:space="0" w:color="auto"/>
            </w:tcBorders>
            <w:vAlign w:val="center"/>
          </w:tcPr>
          <w:p w14:paraId="0E4F2623"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0.000</w:t>
            </w:r>
          </w:p>
        </w:tc>
        <w:tc>
          <w:tcPr>
            <w:tcW w:w="1028" w:type="pct"/>
            <w:tcBorders>
              <w:top w:val="single" w:sz="4" w:space="0" w:color="auto"/>
              <w:left w:val="single" w:sz="4" w:space="0" w:color="auto"/>
              <w:bottom w:val="nil"/>
              <w:right w:val="single" w:sz="4" w:space="0" w:color="auto"/>
            </w:tcBorders>
            <w:vAlign w:val="center"/>
          </w:tcPr>
          <w:p w14:paraId="0D76C417"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Signifikan</w:t>
            </w:r>
          </w:p>
        </w:tc>
      </w:tr>
      <w:tr w:rsidR="00E64050" w:rsidRPr="000F77C9" w14:paraId="4AB1F02B" w14:textId="77777777" w:rsidTr="00E64050">
        <w:trPr>
          <w:trHeight w:val="58"/>
          <w:jc w:val="center"/>
        </w:trPr>
        <w:tc>
          <w:tcPr>
            <w:tcW w:w="2061" w:type="pct"/>
            <w:tcBorders>
              <w:top w:val="single" w:sz="4" w:space="0" w:color="auto"/>
              <w:left w:val="single" w:sz="4" w:space="0" w:color="auto"/>
              <w:bottom w:val="single" w:sz="4" w:space="0" w:color="auto"/>
              <w:right w:val="single" w:sz="4" w:space="0" w:color="auto"/>
            </w:tcBorders>
            <w:vAlign w:val="center"/>
          </w:tcPr>
          <w:p w14:paraId="53D222A9" w14:textId="77777777" w:rsidR="000F77C9" w:rsidRPr="000F77C9" w:rsidRDefault="000F77C9" w:rsidP="00E64050">
            <w:pPr>
              <w:tabs>
                <w:tab w:val="left" w:pos="2394"/>
                <w:tab w:val="left" w:pos="3600"/>
              </w:tabs>
              <w:ind w:firstLine="0"/>
              <w:jc w:val="left"/>
              <w:rPr>
                <w:rFonts w:ascii="Calisto MT" w:hAnsi="Calisto MT" w:cs="Times New Roman"/>
                <w:color w:val="000000"/>
                <w:sz w:val="20"/>
                <w:szCs w:val="20"/>
              </w:rPr>
            </w:pPr>
            <w:r w:rsidRPr="000F77C9">
              <w:rPr>
                <w:rFonts w:ascii="Calisto MT" w:hAnsi="Calisto MT" w:cs="Times New Roman"/>
                <w:color w:val="000000"/>
                <w:sz w:val="20"/>
                <w:szCs w:val="20"/>
              </w:rPr>
              <w:t>X6 (ureum)</w:t>
            </w:r>
          </w:p>
        </w:tc>
        <w:tc>
          <w:tcPr>
            <w:tcW w:w="552" w:type="pct"/>
            <w:tcBorders>
              <w:top w:val="single" w:sz="4" w:space="0" w:color="auto"/>
              <w:left w:val="single" w:sz="4" w:space="0" w:color="auto"/>
              <w:bottom w:val="single" w:sz="4" w:space="0" w:color="auto"/>
              <w:right w:val="single" w:sz="4" w:space="0" w:color="auto"/>
            </w:tcBorders>
            <w:vAlign w:val="center"/>
          </w:tcPr>
          <w:p w14:paraId="3F888F1A" w14:textId="09B08DF9"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0.005</w:t>
            </w:r>
          </w:p>
        </w:tc>
        <w:tc>
          <w:tcPr>
            <w:tcW w:w="552" w:type="pct"/>
            <w:tcBorders>
              <w:top w:val="single" w:sz="4" w:space="0" w:color="auto"/>
              <w:left w:val="single" w:sz="4" w:space="0" w:color="auto"/>
              <w:bottom w:val="single" w:sz="4" w:space="0" w:color="auto"/>
              <w:right w:val="single" w:sz="4" w:space="0" w:color="auto"/>
            </w:tcBorders>
            <w:vAlign w:val="center"/>
          </w:tcPr>
          <w:p w14:paraId="74E6ACE3" w14:textId="0E773AA8"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2.31</w:t>
            </w:r>
          </w:p>
        </w:tc>
        <w:tc>
          <w:tcPr>
            <w:tcW w:w="807" w:type="pct"/>
            <w:tcBorders>
              <w:top w:val="single" w:sz="4" w:space="0" w:color="auto"/>
              <w:left w:val="single" w:sz="4" w:space="0" w:color="auto"/>
              <w:bottom w:val="single" w:sz="4" w:space="0" w:color="auto"/>
              <w:right w:val="single" w:sz="4" w:space="0" w:color="auto"/>
            </w:tcBorders>
            <w:vAlign w:val="center"/>
          </w:tcPr>
          <w:p w14:paraId="50837581" w14:textId="77777777" w:rsidR="000F77C9" w:rsidRPr="000F77C9" w:rsidRDefault="000F77C9" w:rsidP="00E64050">
            <w:pPr>
              <w:tabs>
                <w:tab w:val="left" w:pos="2394"/>
                <w:tab w:val="left" w:pos="3600"/>
              </w:tabs>
              <w:autoSpaceDE w:val="0"/>
              <w:autoSpaceDN w:val="0"/>
              <w:adjustRightInd w:val="0"/>
              <w:ind w:firstLine="0"/>
              <w:rPr>
                <w:rFonts w:ascii="Calisto MT" w:hAnsi="Calisto MT" w:cs="Times New Roman"/>
                <w:color w:val="000000"/>
                <w:sz w:val="20"/>
                <w:szCs w:val="20"/>
              </w:rPr>
            </w:pPr>
            <w:r w:rsidRPr="000F77C9">
              <w:rPr>
                <w:rFonts w:ascii="Calisto MT" w:hAnsi="Calisto MT" w:cs="Times New Roman"/>
                <w:color w:val="000000"/>
                <w:sz w:val="20"/>
                <w:szCs w:val="20"/>
              </w:rPr>
              <w:t>0.021</w:t>
            </w:r>
          </w:p>
        </w:tc>
        <w:tc>
          <w:tcPr>
            <w:tcW w:w="1028" w:type="pct"/>
            <w:tcBorders>
              <w:top w:val="single" w:sz="4" w:space="0" w:color="auto"/>
              <w:left w:val="single" w:sz="4" w:space="0" w:color="auto"/>
              <w:bottom w:val="single" w:sz="4" w:space="0" w:color="auto"/>
              <w:right w:val="single" w:sz="4" w:space="0" w:color="auto"/>
            </w:tcBorders>
            <w:vAlign w:val="center"/>
          </w:tcPr>
          <w:p w14:paraId="5E3FA536" w14:textId="77777777" w:rsidR="000F77C9" w:rsidRPr="000F77C9" w:rsidRDefault="000F77C9" w:rsidP="00E64050">
            <w:pPr>
              <w:tabs>
                <w:tab w:val="left" w:pos="2394"/>
                <w:tab w:val="left" w:pos="3600"/>
              </w:tabs>
              <w:ind w:firstLine="0"/>
              <w:rPr>
                <w:rFonts w:ascii="Calisto MT" w:eastAsia="Calibri" w:hAnsi="Calisto MT" w:cs="Times New Roman"/>
                <w:sz w:val="20"/>
                <w:szCs w:val="20"/>
              </w:rPr>
            </w:pPr>
            <w:r w:rsidRPr="000F77C9">
              <w:rPr>
                <w:rFonts w:ascii="Calisto MT" w:eastAsia="Calibri" w:hAnsi="Calisto MT" w:cs="Times New Roman"/>
                <w:sz w:val="20"/>
                <w:szCs w:val="20"/>
              </w:rPr>
              <w:t>Signifikan</w:t>
            </w:r>
          </w:p>
        </w:tc>
      </w:tr>
      <w:tr w:rsidR="00E64050" w:rsidRPr="000F77C9" w14:paraId="5DCF9203" w14:textId="77777777" w:rsidTr="00E64050">
        <w:trPr>
          <w:trHeight w:val="340"/>
          <w:jc w:val="center"/>
        </w:trPr>
        <w:tc>
          <w:tcPr>
            <w:tcW w:w="2061" w:type="pct"/>
            <w:tcBorders>
              <w:top w:val="single" w:sz="4" w:space="0" w:color="auto"/>
              <w:left w:val="single" w:sz="4" w:space="0" w:color="auto"/>
              <w:bottom w:val="single" w:sz="4" w:space="0" w:color="auto"/>
              <w:right w:val="nil"/>
            </w:tcBorders>
            <w:vAlign w:val="center"/>
          </w:tcPr>
          <w:p w14:paraId="27577C83" w14:textId="77777777" w:rsidR="000F77C9" w:rsidRPr="000F77C9" w:rsidRDefault="000F77C9" w:rsidP="00E64050">
            <w:pPr>
              <w:tabs>
                <w:tab w:val="left" w:pos="2394"/>
                <w:tab w:val="left" w:pos="3600"/>
              </w:tabs>
              <w:ind w:firstLine="0"/>
              <w:jc w:val="left"/>
              <w:rPr>
                <w:rFonts w:ascii="Calisto MT" w:eastAsia="Calibri" w:hAnsi="Calisto MT" w:cs="Times New Roman"/>
                <w:sz w:val="20"/>
                <w:szCs w:val="20"/>
                <w:lang w:val="id-ID"/>
              </w:rPr>
            </w:pPr>
            <w:r w:rsidRPr="000F77C9">
              <w:rPr>
                <w:rFonts w:ascii="Calisto MT" w:eastAsia="Calibri" w:hAnsi="Calisto MT" w:cs="Times New Roman"/>
                <w:sz w:val="20"/>
                <w:szCs w:val="20"/>
                <w:lang w:val="id-ID"/>
              </w:rPr>
              <w:t>R Square</w:t>
            </w:r>
          </w:p>
        </w:tc>
        <w:tc>
          <w:tcPr>
            <w:tcW w:w="552" w:type="pct"/>
            <w:tcBorders>
              <w:top w:val="single" w:sz="4" w:space="0" w:color="auto"/>
              <w:left w:val="nil"/>
              <w:bottom w:val="single" w:sz="4" w:space="0" w:color="auto"/>
              <w:right w:val="nil"/>
            </w:tcBorders>
            <w:vAlign w:val="center"/>
          </w:tcPr>
          <w:p w14:paraId="62506DBA" w14:textId="580E2222" w:rsidR="000F77C9" w:rsidRPr="000F77C9" w:rsidRDefault="000F77C9" w:rsidP="00E64050">
            <w:pPr>
              <w:tabs>
                <w:tab w:val="left" w:pos="2394"/>
                <w:tab w:val="left" w:pos="3600"/>
              </w:tabs>
              <w:ind w:firstLine="0"/>
              <w:jc w:val="left"/>
              <w:rPr>
                <w:rFonts w:ascii="Calisto MT" w:eastAsia="Calibri" w:hAnsi="Calisto MT" w:cs="Times New Roman"/>
                <w:sz w:val="20"/>
                <w:szCs w:val="20"/>
              </w:rPr>
            </w:pPr>
            <w:r w:rsidRPr="000F77C9">
              <w:rPr>
                <w:rFonts w:ascii="Calisto MT" w:eastAsia="Calibri" w:hAnsi="Calisto MT" w:cs="Times New Roman"/>
                <w:sz w:val="20"/>
                <w:szCs w:val="20"/>
                <w:lang w:val="id-ID"/>
              </w:rPr>
              <w:t>=</w:t>
            </w:r>
            <w:r w:rsidR="00E64050">
              <w:rPr>
                <w:rFonts w:ascii="Calisto MT" w:eastAsia="Calibri" w:hAnsi="Calisto MT" w:cs="Times New Roman"/>
                <w:sz w:val="20"/>
                <w:szCs w:val="20"/>
              </w:rPr>
              <w:t xml:space="preserve"> </w:t>
            </w:r>
            <w:r w:rsidRPr="000F77C9">
              <w:rPr>
                <w:rFonts w:ascii="Calisto MT" w:eastAsia="Calibri" w:hAnsi="Calisto MT" w:cs="Times New Roman"/>
                <w:sz w:val="20"/>
                <w:szCs w:val="20"/>
              </w:rPr>
              <w:t>0.263</w:t>
            </w:r>
          </w:p>
        </w:tc>
        <w:tc>
          <w:tcPr>
            <w:tcW w:w="552" w:type="pct"/>
            <w:tcBorders>
              <w:top w:val="single" w:sz="4" w:space="0" w:color="auto"/>
              <w:left w:val="nil"/>
              <w:bottom w:val="single" w:sz="4" w:space="0" w:color="auto"/>
              <w:right w:val="nil"/>
            </w:tcBorders>
            <w:vAlign w:val="center"/>
          </w:tcPr>
          <w:p w14:paraId="428E64FE" w14:textId="77777777" w:rsidR="000F77C9" w:rsidRPr="000F77C9" w:rsidRDefault="000F77C9" w:rsidP="000F77C9">
            <w:pPr>
              <w:tabs>
                <w:tab w:val="left" w:pos="2394"/>
                <w:tab w:val="left" w:pos="3600"/>
              </w:tabs>
              <w:jc w:val="left"/>
              <w:rPr>
                <w:rFonts w:ascii="Calisto MT" w:eastAsia="Calibri" w:hAnsi="Calisto MT" w:cs="Times New Roman"/>
                <w:sz w:val="20"/>
                <w:szCs w:val="20"/>
              </w:rPr>
            </w:pPr>
          </w:p>
        </w:tc>
        <w:tc>
          <w:tcPr>
            <w:tcW w:w="807" w:type="pct"/>
            <w:tcBorders>
              <w:top w:val="single" w:sz="4" w:space="0" w:color="auto"/>
              <w:left w:val="nil"/>
              <w:bottom w:val="single" w:sz="4" w:space="0" w:color="auto"/>
              <w:right w:val="nil"/>
            </w:tcBorders>
            <w:vAlign w:val="center"/>
          </w:tcPr>
          <w:p w14:paraId="6BC537BE" w14:textId="77777777" w:rsidR="000F77C9" w:rsidRPr="000F77C9" w:rsidRDefault="000F77C9" w:rsidP="000F77C9">
            <w:pPr>
              <w:tabs>
                <w:tab w:val="left" w:pos="2394"/>
                <w:tab w:val="left" w:pos="3600"/>
              </w:tabs>
              <w:rPr>
                <w:rFonts w:ascii="Calisto MT" w:eastAsia="Calibri" w:hAnsi="Calisto MT" w:cs="Times New Roman"/>
                <w:sz w:val="20"/>
                <w:szCs w:val="20"/>
                <w:lang w:val="id-ID"/>
              </w:rPr>
            </w:pPr>
          </w:p>
        </w:tc>
        <w:tc>
          <w:tcPr>
            <w:tcW w:w="1028" w:type="pct"/>
            <w:tcBorders>
              <w:top w:val="single" w:sz="4" w:space="0" w:color="auto"/>
              <w:left w:val="nil"/>
              <w:bottom w:val="single" w:sz="4" w:space="0" w:color="auto"/>
              <w:right w:val="single" w:sz="4" w:space="0" w:color="auto"/>
            </w:tcBorders>
            <w:vAlign w:val="center"/>
          </w:tcPr>
          <w:p w14:paraId="07F85B34" w14:textId="77777777" w:rsidR="000F77C9" w:rsidRPr="000F77C9" w:rsidRDefault="000F77C9" w:rsidP="000F77C9">
            <w:pPr>
              <w:tabs>
                <w:tab w:val="left" w:pos="2394"/>
                <w:tab w:val="left" w:pos="3600"/>
              </w:tabs>
              <w:rPr>
                <w:rFonts w:ascii="Calisto MT" w:eastAsia="Calibri" w:hAnsi="Calisto MT" w:cs="Times New Roman"/>
                <w:sz w:val="20"/>
                <w:szCs w:val="20"/>
                <w:lang w:val="id-ID"/>
              </w:rPr>
            </w:pPr>
          </w:p>
        </w:tc>
      </w:tr>
    </w:tbl>
    <w:p w14:paraId="32291BA4" w14:textId="3B323CFF" w:rsidR="000F77C9" w:rsidRPr="000F77C9" w:rsidRDefault="00167B51" w:rsidP="00E64050">
      <w:pPr>
        <w:tabs>
          <w:tab w:val="left" w:pos="2394"/>
        </w:tabs>
        <w:autoSpaceDE w:val="0"/>
        <w:autoSpaceDN w:val="0"/>
        <w:adjustRightInd w:val="0"/>
        <w:spacing w:line="480" w:lineRule="auto"/>
        <w:ind w:firstLine="0"/>
        <w:rPr>
          <w:rFonts w:ascii="Calisto MT" w:eastAsia="Times New Roman" w:hAnsi="Calisto MT" w:cs="Times New Roman"/>
          <w:sz w:val="20"/>
          <w:szCs w:val="20"/>
        </w:rPr>
      </w:pPr>
      <w:r>
        <w:rPr>
          <w:rFonts w:ascii="Calisto MT" w:eastAsia="Times New Roman" w:hAnsi="Calisto MT" w:cs="Times New Roman"/>
          <w:sz w:val="20"/>
          <w:szCs w:val="20"/>
        </w:rPr>
        <w:t>Sumber: data primer</w:t>
      </w:r>
      <w:r w:rsidR="000F77C9" w:rsidRPr="000F77C9">
        <w:rPr>
          <w:rFonts w:ascii="Calisto MT" w:eastAsia="Times New Roman" w:hAnsi="Calisto MT" w:cs="Times New Roman"/>
          <w:sz w:val="20"/>
          <w:szCs w:val="20"/>
        </w:rPr>
        <w:t xml:space="preserve"> 2021</w:t>
      </w:r>
    </w:p>
    <w:p w14:paraId="1DCCF790" w14:textId="77777777" w:rsidR="00DF1088"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Dari nilai R Square menunjukkan nilai sebesar 0.263 atau 26.3%. Artinya bahwa variabel Y2 (Anemia pada pasien penyakit ginjal kronis yang menjalani hemodialisis) dijelaskan oleh variabel X1 (penyakit penyerta), X2 (Dukungan Keluarga), X3 (Tingkat Kepatuhan), X4 (Tingkat Pengetahuan), X5 (kreatinin), X6 (ureum), dan Y1 (konsumsi EPO) sebesar 26.3%, sedangkan sisanya sebesar 58.5% dipengaruhi oleh variabel di luar variabel bebas yang diteliti. Persamaan regresi </w:t>
      </w:r>
      <w:r w:rsidRPr="00E64050">
        <w:rPr>
          <w:rFonts w:ascii="Calisto MT" w:eastAsia="Times New Roman" w:hAnsi="Calisto MT" w:cs="Times New Roman"/>
          <w:i/>
          <w:sz w:val="20"/>
          <w:szCs w:val="20"/>
        </w:rPr>
        <w:t>standardize</w:t>
      </w:r>
      <w:r w:rsidRPr="00E64050">
        <w:rPr>
          <w:rFonts w:ascii="Calisto MT" w:eastAsia="Times New Roman" w:hAnsi="Calisto MT" w:cs="Times New Roman"/>
          <w:sz w:val="20"/>
          <w:szCs w:val="20"/>
        </w:rPr>
        <w:t xml:space="preserve">: Y2 = 0.242 Y1 + 0.483 X1 – 0.025 X2 + 0.017 X3 – 0.261 X4 – 0.113 X5 – 0.005 X6 + </w:t>
      </w:r>
      <w:r w:rsidRPr="00E64050">
        <w:rPr>
          <w:rFonts w:ascii="Cambria" w:eastAsia="Times New Roman" w:hAnsi="Cambria" w:cs="Cambria"/>
          <w:sz w:val="20"/>
          <w:szCs w:val="20"/>
        </w:rPr>
        <w:t>ε</w:t>
      </w:r>
      <w:r w:rsidRPr="00E64050">
        <w:rPr>
          <w:rFonts w:ascii="Calisto MT" w:eastAsia="Times New Roman" w:hAnsi="Calisto MT" w:cs="Times New Roman"/>
          <w:sz w:val="20"/>
          <w:szCs w:val="20"/>
          <w:vertAlign w:val="subscript"/>
        </w:rPr>
        <w:t>i</w:t>
      </w:r>
      <w:r w:rsidRPr="00E64050">
        <w:rPr>
          <w:rFonts w:ascii="Calisto MT" w:eastAsia="Times New Roman" w:hAnsi="Calisto MT" w:cs="Times New Roman"/>
          <w:sz w:val="20"/>
          <w:szCs w:val="20"/>
        </w:rPr>
        <w:t xml:space="preserve"> </w:t>
      </w:r>
    </w:p>
    <w:p w14:paraId="15018E1E" w14:textId="3DB45EA1" w:rsidR="00DF1088"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Dari nilai Z statistics menunjukkan bahwa Variabel Y1 (konsumsi EPO)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w:t>
      </w:r>
      <w:r w:rsidRPr="001B113D">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(0.007 &lt; 0.050). Koefisien yang positif menunjukkan bahwa peningkatan variabel Y1 dapat meningkatkan variabel Y2 secara signifikan. </w:t>
      </w:r>
      <w:r w:rsidR="00DF1088" w:rsidRPr="00E64050">
        <w:rPr>
          <w:rFonts w:ascii="Calisto MT" w:eastAsia="Times New Roman" w:hAnsi="Calisto MT" w:cs="Times New Roman"/>
          <w:sz w:val="20"/>
          <w:szCs w:val="20"/>
        </w:rPr>
        <w:t xml:space="preserve">Hasil penelitian </w:t>
      </w:r>
      <w:r w:rsidR="00DF1088" w:rsidRPr="00E64050">
        <w:rPr>
          <w:rFonts w:ascii="Calisto MT" w:eastAsia="Times New Roman" w:hAnsi="Calisto MT" w:cs="Times New Roman"/>
          <w:sz w:val="20"/>
          <w:szCs w:val="20"/>
        </w:rPr>
        <w:fldChar w:fldCharType="begin" w:fldLock="1"/>
      </w:r>
      <w:r w:rsidR="00DF1088" w:rsidRPr="00E64050">
        <w:rPr>
          <w:rFonts w:ascii="Calisto MT" w:eastAsia="Times New Roman" w:hAnsi="Calisto MT" w:cs="Times New Roman"/>
          <w:sz w:val="20"/>
          <w:szCs w:val="20"/>
        </w:rPr>
        <w:instrText>ADDIN CSL_CITATION {"citationItems":[{"id":"ITEM-1","itemData":{"DOI":"10.1097/MD.0000000000003872","ISBN":"0000000000","ISSN":"15365964","PMID":"27310973","abstract":"This was the first multicenter, cross-sectional survey to assess the prevalence of anemia, patient awareness, and treatment status in China. Data of patients with chronic kidney disease (CKD; age, 18-75 years; both out-and inpatients) from 25 hospitals in Shanghai, seeking medical treatment at the nephrology department, were collected between July 1, 2012 and August 31, 2012. The prevalence, awareness, and treatment of anemia in patients with nondialysis CKD (ND-CKD) were assessed. Anemia was defined as serum hemoglobin (Hb) levels ≤12g/dL in women and ≤13g/dL in men. A total of 2420 patients with ND-CKD were included. Anemia was established in 1246 (51.5%) patients: 639 (51.3%) men and 607 (48.7%) women. The prevalence of anemia increased with advancing CKD stage (</w:instrText>
      </w:r>
      <w:r w:rsidR="00DF1088" w:rsidRPr="00E64050">
        <w:rPr>
          <w:rFonts w:ascii="Cambria" w:eastAsia="Times New Roman" w:hAnsi="Cambria" w:cs="Cambria"/>
          <w:sz w:val="20"/>
          <w:szCs w:val="20"/>
        </w:rPr>
        <w:instrText>χ</w:instrText>
      </w:r>
      <w:r w:rsidR="00DF1088" w:rsidRPr="00E64050">
        <w:rPr>
          <w:rFonts w:ascii="Calisto MT" w:eastAsia="Times New Roman" w:hAnsi="Calisto MT" w:cs="Times New Roman"/>
          <w:sz w:val="20"/>
          <w:szCs w:val="20"/>
        </w:rPr>
        <w:instrText>2 trend=675.14, P&lt;0.001). Anemia was more prevalent in patients with diabetic nephropathy (68.0%) than in patients with hypertensive renal damage (56.6%) or chronic glomerulonephritis (46.1%, both P&lt;0.001). Only 39.8% of the anemic patients received treatment with erythropoietin and 27.1% patients received iron products; furthermore, 22.7% of the patients started receiving treatment when their Hb level reached 7g/dL. The target-achieving rate (Hb at 11-12g/dL) was only 8.2%. Of the 1246 anemia patients, only 7.5% received more effective and recommended intravenous supplementation. Anemia is highly prevalent in patients with ND-CKD in China, with a low target-achieving rate and poor treatment patterns. The study highlights the need to improve multiple aspects of CKD management to delay the progression of renal failure.","author":[{"dropping-particle":"","family":"Li","given":"Ya","non-dropping-particle":"","parse-names":false,"suffix":""},{"dropping-particle":"","family":"Shi","given":"Hao","non-dropping-particle":"","parse-names":false,"suffix":""},{"dropping-particle":"","family":"Wang","given":"Wei Ming","non-dropping-particle":"","parse-names":false,"suffix":""},{"dropping-particle":"","family":"Peng","given":"Ai","non-dropping-particle":"","parse-names":false,"suffix":""},{"dropping-particle":"","family":"Jiang","given":"Geng Ru","non-dropping-particle":"","parse-names":false,"suffix":""},{"dropping-particle":"","family":"Zhang","given":"Jin Yuan","non-dropping-particle":"","parse-names":false,"suffix":""},{"dropping-particle":"","family":"Ni","given":"Zhao Hui","non-dropping-particle":"","parse-names":false,"suffix":""},{"dropping-particle":"","family":"He","given":"Li Qun","non-dropping-particle":"","parse-names":false,"suffix":""},{"dropping-particle":"","family":"Niu","given":"Jian Ying","non-dropping-particle":"","parse-names":false,"suffix":""},{"dropping-particle":"","family":"Wang","given":"Nian Song","non-dropping-particle":"","parse-names":false,"suffix":""},{"dropping-particle":"","family":"Mei","given":"Chang Lin","non-dropping-particle":"","parse-names":false,"suffix":""},{"dropping-particle":"","family":"Xu","given":"Xu Dong","non-dropping-particle":"","parse-names":false,"suffix":""},{"dropping-particle":"","family":"Guo","given":"Zhi Yong","non-dropping-particle":"","parse-names":false,"suffix":""},{"dropping-particle":"","family":"Yuan","given":"Wei Jie","non-dropping-particle":"","parse-names":false,"suffix":""},{"dropping-particle":"","family":"Yan","given":"Hai Dong","non-dropping-particle":"","parse-names":false,"suffix":""},{"dropping-particle":"","family":"Deng","given":"Yue Yi","non-dropping-particle":"","parse-names":false,"suffix":""},{"dropping-particle":"","family":"Yu","given":"Chen","non-dropping-particle":"","parse-names":false,"suffix":""},{"dropping-particle":"","family":"Cen","given":"Jun","non-dropping-particle":"","parse-names":false,"suffix":""},{"dropping-particle":"","family":"Zhang","given":"Yun","non-dropping-particle":"","parse-names":false,"suffix":""},{"dropping-particle":"","family":"Chen","given":"Nan","non-dropping-particle":"","parse-names":false,"suffix":""}],"container-title":"Medicine (United States)","id":"ITEM-1","issue":"24","issued":{"date-parts":[["2016"]]},"page":"1-8","title":"Prevalence, awareness, and treatment of anemia in Chinese patients with nondialysis chronic kidney disease First multicenter, cross-sectional study","type":"article-journal","volume":"95"},"uris":["http://www.mendeley.com/documents/?uuid=2a05937e-6fd5-4459-a577-2436165985ef"]}],"mendeley":{"formattedCitation":"(Li et al., 2016)","plainTextFormattedCitation":"(Li et al., 2016)","previouslyFormattedCitation":"(Li et al., 2016)"},"properties":{"noteIndex":0},"schema":"https://github.com/citation-style-language/schema/raw/master/csl-citation.json"}</w:instrText>
      </w:r>
      <w:r w:rsidR="00DF1088" w:rsidRPr="00E64050">
        <w:rPr>
          <w:rFonts w:ascii="Calisto MT" w:eastAsia="Times New Roman" w:hAnsi="Calisto MT" w:cs="Times New Roman"/>
          <w:sz w:val="20"/>
          <w:szCs w:val="20"/>
        </w:rPr>
        <w:fldChar w:fldCharType="separate"/>
      </w:r>
      <w:r w:rsidR="00DF1088" w:rsidRPr="00E64050">
        <w:rPr>
          <w:rFonts w:ascii="Calisto MT" w:eastAsia="Times New Roman" w:hAnsi="Calisto MT" w:cs="Times New Roman"/>
          <w:noProof/>
          <w:sz w:val="20"/>
          <w:szCs w:val="20"/>
        </w:rPr>
        <w:t>(Li et al., 2016)</w:t>
      </w:r>
      <w:r w:rsidR="00DF1088" w:rsidRPr="00E64050">
        <w:rPr>
          <w:rFonts w:ascii="Calisto MT" w:eastAsia="Times New Roman" w:hAnsi="Calisto MT" w:cs="Times New Roman"/>
          <w:sz w:val="20"/>
          <w:szCs w:val="20"/>
        </w:rPr>
        <w:fldChar w:fldCharType="end"/>
      </w:r>
      <w:r w:rsidR="00DF1088" w:rsidRPr="00E64050">
        <w:rPr>
          <w:rFonts w:ascii="Calisto MT" w:eastAsia="Times New Roman" w:hAnsi="Calisto MT" w:cs="Times New Roman"/>
          <w:sz w:val="20"/>
          <w:szCs w:val="20"/>
        </w:rPr>
        <w:t xml:space="preserve"> pengobatan dengan eritropoietin Tingkat pencapaian target (Hb</w:t>
      </w:r>
      <w:r w:rsidR="001B113D">
        <w:rPr>
          <w:rFonts w:ascii="Calisto MT" w:eastAsia="Times New Roman" w:hAnsi="Calisto MT" w:cs="Times New Roman"/>
          <w:sz w:val="20"/>
          <w:szCs w:val="20"/>
        </w:rPr>
        <w:t>)</w:t>
      </w:r>
      <w:r w:rsidR="00DF1088" w:rsidRPr="00E64050">
        <w:rPr>
          <w:rFonts w:ascii="Calisto MT" w:eastAsia="Times New Roman" w:hAnsi="Calisto MT" w:cs="Times New Roman"/>
          <w:sz w:val="20"/>
          <w:szCs w:val="20"/>
        </w:rPr>
        <w:t xml:space="preserve"> pada 11-12 g/dL) hanya 8,2%.</w:t>
      </w:r>
    </w:p>
    <w:p w14:paraId="061CEE06" w14:textId="77777777" w:rsidR="001B113D"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X1 (penyakit penyerta)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w:t>
      </w:r>
      <w:r w:rsidRPr="001B113D">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(0.001 &lt; 0.050). Koefisien yang positif menunjukkan bahwa variabel X1 kategori 2 (hipertensi) dapat meningkatkan variabel Y2 secara signifikan. </w:t>
      </w:r>
    </w:p>
    <w:p w14:paraId="7C413F6F" w14:textId="304B286B" w:rsidR="001B113D" w:rsidRDefault="001B113D" w:rsidP="001B113D">
      <w:pPr>
        <w:tabs>
          <w:tab w:val="left" w:pos="2394"/>
        </w:tabs>
        <w:autoSpaceDE w:val="0"/>
        <w:autoSpaceDN w:val="0"/>
        <w:adjustRightInd w:val="0"/>
        <w:outlineLvl w:val="3"/>
        <w:rPr>
          <w:rFonts w:ascii="Calisto MT" w:eastAsia="Times New Roman" w:hAnsi="Calisto MT" w:cs="Times New Roman"/>
          <w:sz w:val="20"/>
          <w:szCs w:val="20"/>
        </w:rPr>
      </w:pPr>
      <w:r>
        <w:rPr>
          <w:rFonts w:ascii="Calisto MT" w:eastAsia="Times New Roman" w:hAnsi="Calisto MT" w:cs="Times New Roman"/>
          <w:sz w:val="20"/>
          <w:szCs w:val="20"/>
        </w:rPr>
        <w:t xml:space="preserve">Penelitian yang dilakukan </w:t>
      </w:r>
      <w:r>
        <w:rPr>
          <w:rFonts w:ascii="Calisto MT" w:eastAsia="Times New Roman" w:hAnsi="Calisto MT" w:cs="Times New Roman"/>
          <w:sz w:val="20"/>
          <w:szCs w:val="20"/>
        </w:rPr>
        <w:fldChar w:fldCharType="begin" w:fldLock="1"/>
      </w:r>
      <w:r w:rsidR="00BD6B44">
        <w:rPr>
          <w:rFonts w:ascii="Calisto MT" w:eastAsia="Times New Roman" w:hAnsi="Calisto MT" w:cs="Times New Roman"/>
          <w:sz w:val="20"/>
          <w:szCs w:val="20"/>
        </w:rPr>
        <w:instrText>ADDIN CSL_CITATION {"citationItems":[{"id":"ITEM-1","itemData":{"DOI":"10.1007/s11739-020-02288-1","ISBN":"0123456789","ISSN":"19709366","PMID":"32040829","abstract":"Anaemia is a highly prevalent condition, which negatively impacts on patients’ cardiovascular performance and quality of life. Anaemia is mainly caused by disturbances of iron homeostasis. While absolute iron deficiency mostly as a consequence of chronic blood loss or insufficient dietary iron absorption results in the emergence of iron deficiency anaemia, inflammation-driven iron retention in innate immune cells and blockade of iron absorption leads to the development of anaemia of chronic disease. Both, iron deficiency and anaemia have been linked to the clinical course of pulmonary hypertension. Various mechanistic links between iron homeostasis, anaemia, and pulmonary hypertension have been described and current treatment guidelines suggest regular iron status assessment and the implementation of iron supplementation strategies in these patients. The pathophysiology, diagnostic assessment as well as current and future treatment options concerning iron deficiency with or without anaemia in individuals suffering from pulmonary hypertension are discussed within this review.","author":[{"dropping-particle":"","family":"Sonnweber","given":"Thomas","non-dropping-particle":"","parse-names":false,"suffix":""},{"dropping-particle":"","family":"Pizzini","given":"Alex","non-dropping-particle":"","parse-names":false,"suffix":""},{"dropping-particle":"","family":"Tancevski","given":"Ivan","non-dropping-particle":"","parse-names":false,"suffix":""},{"dropping-particle":"","family":"Löffler-Ragg","given":"Judith","non-dropping-particle":"","parse-names":false,"suffix":""},{"dropping-particle":"","family":"Weiss","given":"Günter","non-dropping-particle":"","parse-names":false,"suffix":""}],"container-title":"Internal and Emergency Medicine","id":"ITEM-1","issue":"4","issued":{"date-parts":[["2020"]]},"page":"573-585","publisher":"Springer International Publishing","title":"Anaemia, iron homeostasis and pulmonary hypertension: a review","type":"article-journal","volume":"15"},"uris":["http://www.mendeley.com/documents/?uuid=fcc14638-f3e4-46bf-bf6f-4fe83c413316"]}],"mendeley":{"formattedCitation":"(Sonnweber et al., 2020)","plainTextFormattedCitation":"(Sonnweber et al., 2020)","previouslyFormattedCitation":"(Sonnweber et al., 2020)"},"properties":{"noteIndex":0},"schema":"https://github.com/citation-style-language/schema/raw/master/csl-citation.json"}</w:instrText>
      </w:r>
      <w:r>
        <w:rPr>
          <w:rFonts w:ascii="Calisto MT" w:eastAsia="Times New Roman" w:hAnsi="Calisto MT" w:cs="Times New Roman"/>
          <w:sz w:val="20"/>
          <w:szCs w:val="20"/>
        </w:rPr>
        <w:fldChar w:fldCharType="separate"/>
      </w:r>
      <w:r w:rsidRPr="001B113D">
        <w:rPr>
          <w:rFonts w:ascii="Calisto MT" w:eastAsia="Times New Roman" w:hAnsi="Calisto MT" w:cs="Times New Roman"/>
          <w:noProof/>
          <w:sz w:val="20"/>
          <w:szCs w:val="20"/>
        </w:rPr>
        <w:t>(Sonnweber et al., 2020)</w:t>
      </w:r>
      <w:r>
        <w:rPr>
          <w:rFonts w:ascii="Calisto MT" w:eastAsia="Times New Roman" w:hAnsi="Calisto MT" w:cs="Times New Roman"/>
          <w:sz w:val="20"/>
          <w:szCs w:val="20"/>
        </w:rPr>
        <w:fldChar w:fldCharType="end"/>
      </w:r>
      <w:r>
        <w:rPr>
          <w:rFonts w:ascii="Calisto MT" w:eastAsia="Times New Roman" w:hAnsi="Calisto MT" w:cs="Times New Roman"/>
          <w:sz w:val="20"/>
          <w:szCs w:val="20"/>
        </w:rPr>
        <w:t xml:space="preserve"> dengan hasil </w:t>
      </w:r>
      <w:r w:rsidRPr="001B113D">
        <w:rPr>
          <w:rFonts w:ascii="Calisto MT" w:eastAsia="Times New Roman" w:hAnsi="Calisto MT" w:cs="Times New Roman"/>
          <w:sz w:val="20"/>
          <w:szCs w:val="20"/>
          <w:lang w:val="id-ID"/>
        </w:rPr>
        <w:t>penyerapan zat besi menyebabkan perke</w:t>
      </w:r>
      <w:r>
        <w:rPr>
          <w:rFonts w:ascii="Calisto MT" w:eastAsia="Times New Roman" w:hAnsi="Calisto MT" w:cs="Times New Roman"/>
          <w:sz w:val="20"/>
          <w:szCs w:val="20"/>
          <w:lang w:val="id-ID"/>
        </w:rPr>
        <w:t>mbangan anemia penyakit kronis terjadinya hipertensi</w:t>
      </w:r>
    </w:p>
    <w:p w14:paraId="43C19864" w14:textId="4B9F287E" w:rsidR="00DF1088" w:rsidRPr="00E64050" w:rsidRDefault="00DF1088" w:rsidP="001B113D">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Penelitian yang dilakukan</w:t>
      </w:r>
      <w:r w:rsidR="001B113D">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rPr>
        <w:fldChar w:fldCharType="begin" w:fldLock="1"/>
      </w:r>
      <w:r w:rsidRPr="00E64050">
        <w:rPr>
          <w:rFonts w:ascii="Calisto MT" w:eastAsia="Times New Roman" w:hAnsi="Calisto MT" w:cs="Times New Roman"/>
          <w:sz w:val="20"/>
          <w:szCs w:val="20"/>
        </w:rPr>
        <w:instrText>ADDIN CSL_CITATION {"citationItems":[{"id":"ITEM-1","itemData":{"abstract":"Hipertensi merupakan tekanan darah tinggi yang sulit dikontrol sehingga memerlukan tindakan hemodialisa sebagai salah satu pengobatannya. Fungsi hemodialisa adalah menggantikan fungsi ginjal dalam fungsi ekskresi yang bertugas membuang sisa-sisa metabolisme dalam tubuh, seperti ureum, kreatinin, dan sisa metabolisme yang lain. Pada saat melakukan proses hemodialisa ini darah akan keluar dari tubuh dan masuk kedalam mesin pengganti ginjal buatan sehingga akan mempengaruhi kadar hemoglobin (Hb) dalam darah. Peneliti menggunakan metode Quasi Eksperimental One Group Pretest and Posttes Design yang dilakukan pada bulan Juni hingga September 2019. Jumlah sampel 30 responden, skala pengukuran yang digunakan interval dengan uji T-Test Berpasangan. Rata-rata kadar Hb sebelum hemodialisa 9.437g/dl, rata-rata kadar Hb setelah hemodialisa 10.090g/dl, dan perbedaan kadar Hb sebelum dan setelah hemodialisa sebesar ? (Sig. 2-tailed) = 0.003, mean -0.6533 (Sd=1.1048). Ada perbedaan kadar Hb sebelum dan setelah dilakukan hemodialisa pada pasien hipertensi. Pada pasien tidak terjadi anemia melainkan terjadi peningkatan kadar Hb hal ini terlihat pada peningkatan jumlah nilai mean (rata-rata) yang semakin meningkat.","author":[{"dropping-particle":"","family":"Sipahutar","given":"Bernart Marison","non-dropping-particle":"","parse-names":false,"suffix":""},{"dropping-particle":"","family":"Nompo","given":"Rifki Sakinah","non-dropping-particle":"","parse-names":false,"suffix":""},{"dropping-particle":"","family":"Arvia","given":"","non-dropping-particle":"","parse-names":false,"suffix":""}],"id":"ITEM-1","issue":"2","issued":{"date-parts":[["2019"]]},"page":"55-63","title":"PERBEDAAN KADAR HEMOGLOBIN (Hb) SEBELUM DAN SETELAH HEMODIALISA PADA PENDERITA HIPERTENSI DI RSUD JAYAPURA","type":"article-journal","volume":"16"},"uris":["http://www.mendeley.com/documents/?uuid=5ec1ca9b-3294-486e-906e-f322192791cf"]}],"mendeley":{"formattedCitation":"(Sipahutar et al., 2019)","plainTextFormattedCitation":"(Sipahutar et al., 2019)","previouslyFormattedCitation":"(Sipahutar et al., 2019)"},"properties":{"noteIndex":0},"schema":"https://github.com/citation-style-language/schema/raw/master/csl-citation.json"}</w:instrText>
      </w:r>
      <w:r w:rsidRPr="00E64050">
        <w:rPr>
          <w:rFonts w:ascii="Calisto MT" w:eastAsia="Times New Roman" w:hAnsi="Calisto MT" w:cs="Times New Roman"/>
          <w:sz w:val="20"/>
          <w:szCs w:val="20"/>
        </w:rPr>
        <w:fldChar w:fldCharType="separate"/>
      </w:r>
      <w:r w:rsidRPr="00E64050">
        <w:rPr>
          <w:rFonts w:ascii="Calisto MT" w:eastAsia="Times New Roman" w:hAnsi="Calisto MT" w:cs="Times New Roman"/>
          <w:noProof/>
          <w:sz w:val="20"/>
          <w:szCs w:val="20"/>
        </w:rPr>
        <w:t>(Sipahutar et al., 2019)</w:t>
      </w:r>
      <w:r w:rsidRPr="00E64050">
        <w:rPr>
          <w:rFonts w:ascii="Calisto MT" w:eastAsia="Times New Roman" w:hAnsi="Calisto MT" w:cs="Times New Roman"/>
          <w:sz w:val="20"/>
          <w:szCs w:val="20"/>
        </w:rPr>
        <w:fldChar w:fldCharType="end"/>
      </w:r>
      <w:r w:rsidRPr="00E64050">
        <w:rPr>
          <w:rFonts w:ascii="Calisto MT" w:eastAsia="Times New Roman" w:hAnsi="Calisto MT" w:cs="Times New Roman"/>
          <w:sz w:val="20"/>
          <w:szCs w:val="20"/>
        </w:rPr>
        <w:t xml:space="preserve"> oleh Rata rata kadar </w:t>
      </w:r>
      <w:r w:rsidR="00683FA7" w:rsidRPr="00E64050">
        <w:rPr>
          <w:rFonts w:ascii="Calisto MT" w:eastAsia="Times New Roman" w:hAnsi="Calisto MT" w:cs="Times New Roman"/>
          <w:sz w:val="20"/>
          <w:szCs w:val="20"/>
        </w:rPr>
        <w:t>hemoglobin (</w:t>
      </w:r>
      <w:r w:rsidRPr="00E64050">
        <w:rPr>
          <w:rFonts w:ascii="Calisto MT" w:eastAsia="Times New Roman" w:hAnsi="Calisto MT" w:cs="Times New Roman"/>
          <w:sz w:val="20"/>
          <w:szCs w:val="20"/>
        </w:rPr>
        <w:t>Hb</w:t>
      </w:r>
      <w:r w:rsidR="00683FA7" w:rsidRPr="00E64050">
        <w:rPr>
          <w:rFonts w:ascii="Calisto MT" w:eastAsia="Times New Roman" w:hAnsi="Calisto MT" w:cs="Times New Roman"/>
          <w:sz w:val="20"/>
          <w:szCs w:val="20"/>
        </w:rPr>
        <w:t>)</w:t>
      </w:r>
      <w:r w:rsidRPr="00E64050">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rPr>
        <w:lastRenderedPageBreak/>
        <w:t>sebelum hemodialisa 9.437g/dL pada pasien yang memiliki penyakit penyerta hipertensi setelah dilakukan hemodialisa.</w:t>
      </w:r>
    </w:p>
    <w:p w14:paraId="52DB08F5" w14:textId="13EC9A66" w:rsidR="006D238F" w:rsidRPr="00E64050" w:rsidRDefault="00683FA7"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H</w:t>
      </w:r>
      <w:r w:rsidR="006D238F" w:rsidRPr="00E64050">
        <w:rPr>
          <w:rFonts w:ascii="Calisto MT" w:eastAsia="Times New Roman" w:hAnsi="Calisto MT" w:cs="Times New Roman"/>
          <w:sz w:val="20"/>
          <w:szCs w:val="20"/>
        </w:rPr>
        <w:t xml:space="preserve">asil penelitian yang dilakukan </w:t>
      </w:r>
      <w:r w:rsidR="006D238F" w:rsidRPr="00E64050">
        <w:rPr>
          <w:rFonts w:ascii="Calisto MT" w:eastAsia="Times New Roman" w:hAnsi="Calisto MT" w:cs="Times New Roman"/>
          <w:sz w:val="20"/>
          <w:szCs w:val="20"/>
        </w:rPr>
        <w:fldChar w:fldCharType="begin" w:fldLock="1"/>
      </w:r>
      <w:r w:rsidR="006D238F" w:rsidRPr="00E64050">
        <w:rPr>
          <w:rFonts w:ascii="Calisto MT" w:eastAsia="Times New Roman" w:hAnsi="Calisto MT" w:cs="Times New Roman"/>
          <w:sz w:val="20"/>
          <w:szCs w:val="20"/>
        </w:rPr>
        <w:instrText>ADDIN CSL_CITATION {"citationItems":[{"id":"ITEM-1","itemData":{"abstract":"Penderita Diabetes Melitus (DM) di dunia mencapai 382 juta jiwa dan diperkirakan akan semakin meningkat dalam 25 tahun mendatang. Komplikasi kronik DM adalah gangguan fungsi ginjal dengan angka kejadian yang tinggi sebesar 20- 40% yang dapat menghambat pembentukan eritropoietin sebagai pembentuk Hb dan menyebabkan anemia. Tujuan penelitian ini untuk mengetahui korelasi antara kadar hemoglobin dan gangguan fungsi ginjal pada DM tipe 2 di RSUP dr. Mohammad Hoesin Palembang. Penelitian ini merupakan penelitian observasional analitik dengan desain penelitian cross sectional yang menggunakan data sekunder berupa rekam medik tahun 2013 di Bagian Penyakit Dalam RSUP dr. Mohammad Hoesin Palembang. Populasi penelitian adalah 125 orang dan dengan purposive sampling didapati sampel 46 orang. Prevalensi anemia pada DM tipe 2 dengan gangguan fungsi ginjal adalah 80%, sebagian besar berjenis kelamin perempuan, banyak pada usia &gt;45 tahun dan pada pasien dengan gangguan ginjal sedang. Hasil uji korelasi antara kadar Hb dan gangguan fungsi ginjal menggunakan analisis Spearman menunjukkan r = 0,353 dan p = 0,016 serta regresi linier didapatkan persamaan Hb = 8,797+ 0,03LFG (R square = 11,5%, p = 0,012). Terdapat korelasi positif dengan kekuatan korelasi yang lemah antara kadar hemoglobin dan gangguan fungsi ginjal pada DM tipe 2 yang berarti semakin rendah nilai LFG atau semakin berat gangguan fungsi ginjal, maka kadar Hb pun akan semakin rendah.","author":[{"dropping-particle":"","family":"Wijaya","given":"Clara Adelia","non-dropping-particle":"","parse-names":false,"suffix":""},{"dropping-particle":"","family":"Kusnadi","given":"Yulianto","non-dropping-particle":"","parse-names":false,"suffix":""},{"dropping-particle":"","family":"Zen","given":"Nyayu Fauziah","non-dropping-particle":"","parse-names":false,"suffix":""}],"container-title":"Majalah Kedokteran Sriwijaya","id":"ITEM-1","issue":"1","issued":{"date-parts":[["2015"]]},"page":"39-44","title":"Korelasi antara kadar hemoglobin dan gangguan fungsi ginjal pada diabetes melitus tipe 2 di RSUP dr mohammad hoesin palembang [The correlation between haemoglobin and renal function impairment in type 2 diabetes in RSUP dr. mohammad hoesin palembang]","type":"article-journal","volume":"47"},"uris":["http://www.mendeley.com/documents/?uuid=c73e4766-7dfe-421c-a69a-a6d7a36e6cf5"]}],"mendeley":{"formattedCitation":"(Wijaya et al., 2015)","plainTextFormattedCitation":"(Wijaya et al., 2015)","previouslyFormattedCitation":"(Wijaya et al., 2015)"},"properties":{"noteIndex":0},"schema":"https://github.com/citation-style-language/schema/raw/master/csl-citation.json"}</w:instrText>
      </w:r>
      <w:r w:rsidR="006D238F" w:rsidRPr="00E64050">
        <w:rPr>
          <w:rFonts w:ascii="Calisto MT" w:eastAsia="Times New Roman" w:hAnsi="Calisto MT" w:cs="Times New Roman"/>
          <w:sz w:val="20"/>
          <w:szCs w:val="20"/>
        </w:rPr>
        <w:fldChar w:fldCharType="separate"/>
      </w:r>
      <w:r w:rsidR="006D238F" w:rsidRPr="00E64050">
        <w:rPr>
          <w:rFonts w:ascii="Calisto MT" w:eastAsia="Times New Roman" w:hAnsi="Calisto MT" w:cs="Times New Roman"/>
          <w:noProof/>
          <w:sz w:val="20"/>
          <w:szCs w:val="20"/>
        </w:rPr>
        <w:t>(Wijaya et al., 2015)</w:t>
      </w:r>
      <w:r w:rsidR="006D238F" w:rsidRPr="00E64050">
        <w:rPr>
          <w:rFonts w:ascii="Calisto MT" w:eastAsia="Times New Roman" w:hAnsi="Calisto MT" w:cs="Times New Roman"/>
          <w:sz w:val="20"/>
          <w:szCs w:val="20"/>
          <w:lang w:val="id-ID"/>
        </w:rPr>
        <w:fldChar w:fldCharType="end"/>
      </w:r>
      <w:r w:rsidR="006D238F" w:rsidRPr="00E64050">
        <w:rPr>
          <w:rFonts w:ascii="Calisto MT" w:eastAsia="Times New Roman" w:hAnsi="Calisto MT" w:cs="Times New Roman"/>
          <w:sz w:val="20"/>
          <w:szCs w:val="20"/>
        </w:rPr>
        <w:t xml:space="preserve"> </w:t>
      </w:r>
      <w:r w:rsidR="006D238F" w:rsidRPr="00E64050">
        <w:rPr>
          <w:rFonts w:ascii="Calisto MT" w:eastAsia="Times New Roman" w:hAnsi="Calisto MT" w:cs="Times New Roman"/>
          <w:sz w:val="20"/>
          <w:szCs w:val="20"/>
          <w:lang w:val="id-ID"/>
        </w:rPr>
        <w:t>Hasil uji korelasi</w:t>
      </w:r>
      <w:r w:rsidR="006D238F" w:rsidRPr="00E64050">
        <w:rPr>
          <w:rFonts w:ascii="Calisto MT" w:eastAsia="Times New Roman" w:hAnsi="Calisto MT" w:cs="Times New Roman"/>
          <w:sz w:val="20"/>
          <w:szCs w:val="20"/>
        </w:rPr>
        <w:t xml:space="preserve"> </w:t>
      </w:r>
      <w:r w:rsidR="006D238F" w:rsidRPr="00E64050">
        <w:rPr>
          <w:rFonts w:ascii="Calisto MT" w:eastAsia="Times New Roman" w:hAnsi="Calisto MT" w:cs="Times New Roman"/>
          <w:sz w:val="20"/>
          <w:szCs w:val="20"/>
          <w:lang w:val="id-ID"/>
        </w:rPr>
        <w:t xml:space="preserve">antara kadar </w:t>
      </w:r>
      <w:r w:rsidR="006D238F" w:rsidRPr="00E64050">
        <w:rPr>
          <w:rFonts w:ascii="Calisto MT" w:eastAsia="Times New Roman" w:hAnsi="Calisto MT" w:cs="Times New Roman"/>
          <w:sz w:val="20"/>
          <w:szCs w:val="20"/>
        </w:rPr>
        <w:t>hemoglobin (</w:t>
      </w:r>
      <w:r w:rsidR="006D238F" w:rsidRPr="00E64050">
        <w:rPr>
          <w:rFonts w:ascii="Calisto MT" w:eastAsia="Times New Roman" w:hAnsi="Calisto MT" w:cs="Times New Roman"/>
          <w:sz w:val="20"/>
          <w:szCs w:val="20"/>
          <w:lang w:val="id-ID"/>
        </w:rPr>
        <w:t>Hb</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 xml:space="preserve"> dan gangguan fungsi ginjal menggunakan analisis Spearman menunjukkan r = 0,353 dan p = 0,016</w:t>
      </w:r>
      <w:r w:rsidR="006D238F" w:rsidRPr="00E64050">
        <w:rPr>
          <w:rFonts w:ascii="Calisto MT" w:eastAsia="Times New Roman" w:hAnsi="Calisto MT" w:cs="Times New Roman"/>
          <w:sz w:val="20"/>
          <w:szCs w:val="20"/>
        </w:rPr>
        <w:t xml:space="preserve"> </w:t>
      </w:r>
      <w:r w:rsidR="006D238F" w:rsidRPr="00E64050">
        <w:rPr>
          <w:rFonts w:ascii="Calisto MT" w:eastAsia="Times New Roman" w:hAnsi="Calisto MT" w:cs="Times New Roman"/>
          <w:sz w:val="20"/>
          <w:szCs w:val="20"/>
          <w:lang w:val="id-ID"/>
        </w:rPr>
        <w:t xml:space="preserve">serta regresi linier didapatkan persamaan </w:t>
      </w:r>
      <w:r w:rsidR="006D238F" w:rsidRPr="00E64050">
        <w:rPr>
          <w:rFonts w:ascii="Calisto MT" w:eastAsia="Times New Roman" w:hAnsi="Calisto MT" w:cs="Times New Roman"/>
          <w:sz w:val="20"/>
          <w:szCs w:val="20"/>
        </w:rPr>
        <w:t>hemoglobin (</w:t>
      </w:r>
      <w:r w:rsidR="006D238F" w:rsidRPr="00E64050">
        <w:rPr>
          <w:rFonts w:ascii="Calisto MT" w:eastAsia="Times New Roman" w:hAnsi="Calisto MT" w:cs="Times New Roman"/>
          <w:sz w:val="20"/>
          <w:szCs w:val="20"/>
          <w:lang w:val="id-ID"/>
        </w:rPr>
        <w:t>Hb</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 xml:space="preserve"> = 8,797+ 0,03LFG (</w:t>
      </w:r>
      <w:r w:rsidR="006D238F" w:rsidRPr="001B113D">
        <w:rPr>
          <w:rFonts w:ascii="Calisto MT" w:eastAsia="Times New Roman" w:hAnsi="Calisto MT" w:cs="Times New Roman"/>
          <w:i/>
          <w:sz w:val="20"/>
          <w:szCs w:val="20"/>
          <w:lang w:val="id-ID"/>
        </w:rPr>
        <w:t>R square</w:t>
      </w:r>
      <w:r w:rsidR="006D238F" w:rsidRPr="00E64050">
        <w:rPr>
          <w:rFonts w:ascii="Calisto MT" w:eastAsia="Times New Roman" w:hAnsi="Calisto MT" w:cs="Times New Roman"/>
          <w:sz w:val="20"/>
          <w:szCs w:val="20"/>
          <w:lang w:val="id-ID"/>
        </w:rPr>
        <w:t xml:space="preserve"> = 11,5%, p = 0,012). Terdapat korelasi</w:t>
      </w:r>
      <w:r w:rsidR="006D238F" w:rsidRPr="00E64050">
        <w:rPr>
          <w:rFonts w:ascii="Calisto MT" w:eastAsia="Times New Roman" w:hAnsi="Calisto MT" w:cs="Times New Roman"/>
          <w:sz w:val="20"/>
          <w:szCs w:val="20"/>
        </w:rPr>
        <w:t xml:space="preserve"> </w:t>
      </w:r>
      <w:r w:rsidR="006D238F" w:rsidRPr="00E64050">
        <w:rPr>
          <w:rFonts w:ascii="Calisto MT" w:eastAsia="Times New Roman" w:hAnsi="Calisto MT" w:cs="Times New Roman"/>
          <w:sz w:val="20"/>
          <w:szCs w:val="20"/>
          <w:lang w:val="id-ID"/>
        </w:rPr>
        <w:t xml:space="preserve">positif dengan kekuatan korelasi yang lemah antara kadar hemoglobin </w:t>
      </w:r>
      <w:r w:rsidR="006D238F" w:rsidRPr="00E64050">
        <w:rPr>
          <w:rFonts w:ascii="Calisto MT" w:eastAsia="Times New Roman" w:hAnsi="Calisto MT" w:cs="Times New Roman"/>
          <w:sz w:val="20"/>
          <w:szCs w:val="20"/>
        </w:rPr>
        <w:t xml:space="preserve">(Hb) </w:t>
      </w:r>
      <w:r w:rsidR="006D238F" w:rsidRPr="00E64050">
        <w:rPr>
          <w:rFonts w:ascii="Calisto MT" w:eastAsia="Times New Roman" w:hAnsi="Calisto MT" w:cs="Times New Roman"/>
          <w:sz w:val="20"/>
          <w:szCs w:val="20"/>
          <w:lang w:val="id-ID"/>
        </w:rPr>
        <w:t xml:space="preserve">dan gangguan fungsi ginjal pada </w:t>
      </w:r>
      <w:r w:rsidR="006D238F" w:rsidRPr="00E64050">
        <w:rPr>
          <w:rFonts w:ascii="Calisto MT" w:eastAsia="Times New Roman" w:hAnsi="Calisto MT" w:cs="Times New Roman"/>
          <w:sz w:val="20"/>
          <w:szCs w:val="20"/>
        </w:rPr>
        <w:t>diabetes militus (</w:t>
      </w:r>
      <w:r w:rsidR="006D238F" w:rsidRPr="00E64050">
        <w:rPr>
          <w:rFonts w:ascii="Calisto MT" w:eastAsia="Times New Roman" w:hAnsi="Calisto MT" w:cs="Times New Roman"/>
          <w:sz w:val="20"/>
          <w:szCs w:val="20"/>
          <w:lang w:val="id-ID"/>
        </w:rPr>
        <w:t>DM</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 xml:space="preserve"> tipe 2 yang</w:t>
      </w:r>
      <w:r w:rsidR="006D238F" w:rsidRPr="00E64050">
        <w:rPr>
          <w:rFonts w:ascii="Calisto MT" w:eastAsia="Times New Roman" w:hAnsi="Calisto MT" w:cs="Times New Roman"/>
          <w:sz w:val="20"/>
          <w:szCs w:val="20"/>
        </w:rPr>
        <w:t xml:space="preserve"> </w:t>
      </w:r>
      <w:r w:rsidR="006D238F" w:rsidRPr="00E64050">
        <w:rPr>
          <w:rFonts w:ascii="Calisto MT" w:eastAsia="Times New Roman" w:hAnsi="Calisto MT" w:cs="Times New Roman"/>
          <w:sz w:val="20"/>
          <w:szCs w:val="20"/>
          <w:lang w:val="id-ID"/>
        </w:rPr>
        <w:t>berarti semakin rendah nilai</w:t>
      </w:r>
      <w:r w:rsidR="006D238F" w:rsidRPr="00E64050">
        <w:rPr>
          <w:rFonts w:ascii="Calisto MT" w:eastAsia="Times New Roman" w:hAnsi="Calisto MT" w:cs="Times New Roman"/>
          <w:sz w:val="20"/>
          <w:szCs w:val="20"/>
        </w:rPr>
        <w:t xml:space="preserve"> laju </w:t>
      </w:r>
      <w:r w:rsidR="006D238F" w:rsidRPr="0022777A">
        <w:rPr>
          <w:rFonts w:ascii="Calisto MT" w:eastAsia="Times New Roman" w:hAnsi="Calisto MT" w:cs="Times New Roman"/>
          <w:i/>
          <w:sz w:val="20"/>
          <w:szCs w:val="20"/>
        </w:rPr>
        <w:t>filtrasi glomerulurus</w:t>
      </w:r>
      <w:r w:rsidR="006D238F" w:rsidRPr="00E64050">
        <w:rPr>
          <w:rFonts w:ascii="Calisto MT" w:eastAsia="Times New Roman" w:hAnsi="Calisto MT" w:cs="Times New Roman"/>
          <w:sz w:val="20"/>
          <w:szCs w:val="20"/>
          <w:lang w:val="id-ID"/>
        </w:rPr>
        <w:t xml:space="preserve"> </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LFG</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 xml:space="preserve"> atau semakin berat gangguan fungsi ginjal, maka kadar </w:t>
      </w:r>
      <w:r w:rsidR="006D238F" w:rsidRPr="00E64050">
        <w:rPr>
          <w:rFonts w:ascii="Calisto MT" w:eastAsia="Times New Roman" w:hAnsi="Calisto MT" w:cs="Times New Roman"/>
          <w:sz w:val="20"/>
          <w:szCs w:val="20"/>
        </w:rPr>
        <w:t>hemoglobin (</w:t>
      </w:r>
      <w:r w:rsidR="006D238F" w:rsidRPr="00E64050">
        <w:rPr>
          <w:rFonts w:ascii="Calisto MT" w:eastAsia="Times New Roman" w:hAnsi="Calisto MT" w:cs="Times New Roman"/>
          <w:sz w:val="20"/>
          <w:szCs w:val="20"/>
          <w:lang w:val="id-ID"/>
        </w:rPr>
        <w:t>Hb</w:t>
      </w:r>
      <w:r w:rsidR="006D238F" w:rsidRPr="00E64050">
        <w:rPr>
          <w:rFonts w:ascii="Calisto MT" w:eastAsia="Times New Roman" w:hAnsi="Calisto MT" w:cs="Times New Roman"/>
          <w:sz w:val="20"/>
          <w:szCs w:val="20"/>
        </w:rPr>
        <w:t>)</w:t>
      </w:r>
      <w:r w:rsidR="006D238F" w:rsidRPr="00E64050">
        <w:rPr>
          <w:rFonts w:ascii="Calisto MT" w:eastAsia="Times New Roman" w:hAnsi="Calisto MT" w:cs="Times New Roman"/>
          <w:sz w:val="20"/>
          <w:szCs w:val="20"/>
          <w:lang w:val="id-ID"/>
        </w:rPr>
        <w:t xml:space="preserve"> akan semakin rendah</w:t>
      </w:r>
    </w:p>
    <w:p w14:paraId="602D0DC9" w14:textId="5B6B7057" w:rsidR="00DF1088"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X2 (Dukungan Keluarga) berpengaruh </w:t>
      </w:r>
      <w:r w:rsidRPr="00E64050">
        <w:rPr>
          <w:rFonts w:ascii="Calisto MT" w:eastAsia="Times New Roman" w:hAnsi="Calisto MT" w:cs="Times New Roman"/>
          <w:b/>
          <w:sz w:val="20"/>
          <w:szCs w:val="20"/>
        </w:rPr>
        <w:t>negatif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tidak 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p-value lebih besar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(0.725 &gt; 0.050). Koefisien yang negatif menunjukkan bahwa peningkatan variabel X2 dapat menurunkan variabel Y2 tetapi tidak signifikan. </w:t>
      </w:r>
    </w:p>
    <w:p w14:paraId="2A5F27B6" w14:textId="64C3D988" w:rsidR="00587EDF"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lang w:val="id"/>
        </w:rPr>
      </w:pPr>
      <w:r w:rsidRPr="00E64050">
        <w:rPr>
          <w:rFonts w:ascii="Calisto MT" w:eastAsia="Times New Roman" w:hAnsi="Calisto MT" w:cs="Times New Roman"/>
          <w:sz w:val="20"/>
          <w:szCs w:val="20"/>
        </w:rPr>
        <w:t xml:space="preserve">Variabel X3 (Tingkat Kepatuhan) berpengaruh </w:t>
      </w:r>
      <w:r w:rsidRPr="00E64050">
        <w:rPr>
          <w:rFonts w:ascii="Calisto MT" w:eastAsia="Times New Roman" w:hAnsi="Calisto MT" w:cs="Times New Roman"/>
          <w:b/>
          <w:sz w:val="20"/>
          <w:szCs w:val="20"/>
        </w:rPr>
        <w:t>positif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tidak 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w:t>
      </w:r>
      <w:r w:rsidRPr="001B113D">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besar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(0.839 &gt; 0.050). Koefisien yang positif menunjukkan bahwa peningkatan variabel X3 dapat meningkatkan variabel Y2 tetapi tidak signifikan.</w:t>
      </w:r>
      <w:r w:rsidR="006D238F" w:rsidRPr="00E64050">
        <w:rPr>
          <w:rFonts w:ascii="Calisto MT" w:eastAsia="Times New Roman" w:hAnsi="Calisto MT" w:cs="Times New Roman"/>
          <w:sz w:val="20"/>
          <w:szCs w:val="20"/>
          <w:lang w:val="id"/>
        </w:rPr>
        <w:t xml:space="preserve"> </w:t>
      </w:r>
    </w:p>
    <w:p w14:paraId="487D2586" w14:textId="5BA0AA5B" w:rsidR="002C3BA2" w:rsidRPr="00E64050" w:rsidRDefault="002C3BA2"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Penelitian yang dilakukan </w:t>
      </w:r>
      <w:r w:rsidRPr="00E64050">
        <w:rPr>
          <w:rFonts w:ascii="Calisto MT" w:eastAsia="Times New Roman" w:hAnsi="Calisto MT" w:cs="Times New Roman"/>
          <w:sz w:val="20"/>
          <w:szCs w:val="20"/>
        </w:rPr>
        <w:fldChar w:fldCharType="begin" w:fldLock="1"/>
      </w:r>
      <w:r w:rsidR="00287BA6" w:rsidRPr="00E64050">
        <w:rPr>
          <w:rFonts w:ascii="Calisto MT" w:eastAsia="Times New Roman" w:hAnsi="Calisto MT" w:cs="Times New Roman"/>
          <w:sz w:val="20"/>
          <w:szCs w:val="20"/>
        </w:rPr>
        <w:instrText>ADDIN CSL_CITATION {"citationItems":[{"id":"ITEM-1","itemData":{"DOI":"10.1186/s12882-017-0583-9","ISSN":"14712369","PMID":"28532480","abstract":"Background: End-stage kidney disease patients undergoing haemodialysis are prescribed with multiple complex regimens and are predisposed to high risk of medication nonadherence. The aims of this study were to explore factors associated with medication adherence, and, to examine the differential perspectives on medication-taking behaviour shown by adherent and nonadherent haemodialysis patients. Methods: A qualitative exploratory design was used. One-on-one semi-structured interviews were conducted with 30 haemodialysis patients at the outpatient dialysis facility in Hobart, Australia. Patient self-reported adherence was measured using 4-item Morisky Green Levine scale. Interview transcripts were thematically analysed and mapped against the World Health Organization (WHO) determinants of medication adherence. Results: Participants were 44-84 years old, and were prescribed with 4-19 medications daily. More than half of the participants were nonadherent to their medications based on self-reported measure (56.7%, n = 17). Themes mapped against WHO adherence model comprised of patient-related (knowledge, awareness, attitude, self-efficacy, action control, and facilitation); health system/ healthcare team related (quality of interaction, and mistrust and collateral arrangements); therapy-related (physical characteristics of medicines, packaging, and side effects); condition-related (symptom severity); and social/ economic factors (access to medicines, and relative affordability). Conclusions: Patients expressed a number of concerns that led to nonadherence behaviour. Many of the issues identified were patient-related and potentially modifiable by using psycho-educational or cognitive-behavioural interventions. Healthcare professionals should be more vigilant towards identifying these concerns to address adherence issues. Future research should be aimed at understanding healthcare professionals’ perceptions and practices of assessing medication adherence in dialysis patients that may guide intervention to resolve this significant issue of medication nonadherence.","author":[{"dropping-particle":"","family":"Ghimire","given":"Saurav","non-dropping-particle":"","parse-names":false,"suffix":""},{"dropping-particle":"","family":"Castelino","given":"Ronald L.","non-dropping-particle":"","parse-names":false,"suffix":""},{"dropping-particle":"","family":"Jose","given":"Matthew D.","non-dropping-particle":"","parse-names":false,"suffix":""},{"dropping-particle":"","family":"Zaidi","given":"Syed Tabish R.","non-dropping-particle":"","parse-names":false,"suffix":""}],"container-title":"BMC Nephrology","id":"ITEM-1","issue":"1","issued":{"date-parts":[["2017"]]},"page":"1-9","publisher":"BMC Nephrology","title":"Medication adherence perspectives in haemodialysis patients: a qualitative study","type":"article-journal","volume":"18"},"uris":["http://www.mendeley.com/documents/?uuid=74cccb94-a823-494a-9db2-49883f2b44a3"]}],"mendeley":{"formattedCitation":"(Ghimire et al., 2017)","plainTextFormattedCitation":"(Ghimire et al., 2017)","previouslyFormattedCitation":"(Ghimire et al., 2017)"},"properties":{"noteIndex":0},"schema":"https://github.com/citation-style-language/schema/raw/master/csl-citation.json"}</w:instrText>
      </w:r>
      <w:r w:rsidRPr="00E64050">
        <w:rPr>
          <w:rFonts w:ascii="Calisto MT" w:eastAsia="Times New Roman" w:hAnsi="Calisto MT" w:cs="Times New Roman"/>
          <w:sz w:val="20"/>
          <w:szCs w:val="20"/>
        </w:rPr>
        <w:fldChar w:fldCharType="separate"/>
      </w:r>
      <w:r w:rsidRPr="00E64050">
        <w:rPr>
          <w:rFonts w:ascii="Calisto MT" w:eastAsia="Times New Roman" w:hAnsi="Calisto MT" w:cs="Times New Roman"/>
          <w:noProof/>
          <w:sz w:val="20"/>
          <w:szCs w:val="20"/>
        </w:rPr>
        <w:t>(Ghimire et al., 2017)</w:t>
      </w:r>
      <w:r w:rsidRPr="00E64050">
        <w:rPr>
          <w:rFonts w:ascii="Calisto MT" w:eastAsia="Times New Roman" w:hAnsi="Calisto MT" w:cs="Times New Roman"/>
          <w:sz w:val="20"/>
          <w:szCs w:val="20"/>
          <w:lang w:val="id"/>
        </w:rPr>
        <w:fldChar w:fldCharType="end"/>
      </w:r>
      <w:r w:rsidR="001B113D">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lang w:val="id-ID"/>
        </w:rPr>
        <w:t>Lebih dari separuh peserta tidak patuh</w:t>
      </w:r>
      <w:r w:rsidRPr="00E64050">
        <w:rPr>
          <w:rFonts w:ascii="Calisto MT" w:eastAsia="Times New Roman" w:hAnsi="Calisto MT" w:cs="Times New Roman"/>
          <w:sz w:val="20"/>
          <w:szCs w:val="20"/>
        </w:rPr>
        <w:t xml:space="preserve"> diakibatkan cara penggunaan,</w:t>
      </w:r>
      <w:r w:rsidRPr="00E64050">
        <w:rPr>
          <w:rFonts w:ascii="Calisto MT" w:eastAsia="Times New Roman" w:hAnsi="Calisto MT" w:cs="Times New Roman"/>
          <w:sz w:val="20"/>
          <w:szCs w:val="20"/>
          <w:lang w:val="id-ID"/>
        </w:rPr>
        <w:t xml:space="preserve"> dengan hasil pengobatan ukuran yang dilaporkan sendiri (56,7%, n = 17)</w:t>
      </w:r>
    </w:p>
    <w:p w14:paraId="5AC46FF8" w14:textId="51E26413" w:rsidR="006D238F" w:rsidRPr="00E64050" w:rsidRDefault="00117F7F"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Penelitian (Tarigan, 2013) hasil uji statistik didapatkan hasil bahwa ada hubungan mekanisme koping dengan kepatuhan menjalani hemodialisa pada pasien gagal ginjal kronik di RSUD Dr. R. Soedjono Selong dengan nilai </w:t>
      </w:r>
      <w:r w:rsidRPr="001B113D">
        <w:rPr>
          <w:rFonts w:ascii="Calisto MT" w:eastAsia="Times New Roman" w:hAnsi="Calisto MT" w:cs="Times New Roman"/>
          <w:i/>
          <w:sz w:val="20"/>
          <w:szCs w:val="20"/>
        </w:rPr>
        <w:t>p value</w:t>
      </w:r>
      <w:r w:rsidRPr="00E64050">
        <w:rPr>
          <w:rFonts w:ascii="Calisto MT" w:eastAsia="Times New Roman" w:hAnsi="Calisto MT" w:cs="Times New Roman"/>
          <w:sz w:val="20"/>
          <w:szCs w:val="20"/>
        </w:rPr>
        <w:t>&lt;</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(0,001&lt;0,05).</w:t>
      </w:r>
    </w:p>
    <w:p w14:paraId="3294376F" w14:textId="3EE8E4EF" w:rsidR="006D238F"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X4 (Tingkat Pengetahuan) berpengaruh </w:t>
      </w:r>
      <w:r w:rsidRPr="00E64050">
        <w:rPr>
          <w:rFonts w:ascii="Calisto MT" w:eastAsia="Times New Roman" w:hAnsi="Calisto MT" w:cs="Times New Roman"/>
          <w:b/>
          <w:sz w:val="20"/>
          <w:szCs w:val="20"/>
        </w:rPr>
        <w:t>negatif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tidak signifikan</w:t>
      </w:r>
      <w:r w:rsidRPr="00E64050">
        <w:rPr>
          <w:rFonts w:ascii="Calisto MT" w:eastAsia="Times New Roman" w:hAnsi="Calisto MT" w:cs="Times New Roman"/>
          <w:sz w:val="20"/>
          <w:szCs w:val="20"/>
        </w:rPr>
        <w:t xml:space="preserve"> </w:t>
      </w:r>
      <w:r w:rsidRPr="00E64050">
        <w:rPr>
          <w:rFonts w:ascii="Calisto MT" w:eastAsia="Times New Roman" w:hAnsi="Calisto MT" w:cs="Times New Roman"/>
          <w:sz w:val="20"/>
          <w:szCs w:val="20"/>
        </w:rPr>
        <w:lastRenderedPageBreak/>
        <w:t xml:space="preserve">terhadap variabel Y2 (Anemia pada pasien penyakit ginjal kronis yang menjalani hemodialisis), dengan nilai p-value lebih besar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(0.053 &gt; 0.050). Koefisien yang negatif menunjukkan bahwa peningkatan variabel X4 dapat menurunkan variabel Y2 tetapi tidak signifikan. </w:t>
      </w:r>
      <w:r w:rsidR="006D238F" w:rsidRPr="00E64050">
        <w:rPr>
          <w:rFonts w:ascii="Calisto MT" w:eastAsia="Times New Roman" w:hAnsi="Calisto MT" w:cs="Times New Roman"/>
          <w:sz w:val="20"/>
          <w:szCs w:val="20"/>
        </w:rPr>
        <w:t xml:space="preserve">Penelitian yang </w:t>
      </w:r>
      <w:proofErr w:type="gramStart"/>
      <w:r w:rsidR="006D238F" w:rsidRPr="00E64050">
        <w:rPr>
          <w:rFonts w:ascii="Calisto MT" w:eastAsia="Times New Roman" w:hAnsi="Calisto MT" w:cs="Times New Roman"/>
          <w:sz w:val="20"/>
          <w:szCs w:val="20"/>
        </w:rPr>
        <w:t>dilakukan(</w:t>
      </w:r>
      <w:proofErr w:type="gramEnd"/>
      <w:r w:rsidR="006D238F" w:rsidRPr="00E64050">
        <w:rPr>
          <w:rFonts w:ascii="Calisto MT" w:eastAsia="Times New Roman" w:hAnsi="Calisto MT" w:cs="Times New Roman"/>
          <w:sz w:val="20"/>
          <w:szCs w:val="20"/>
        </w:rPr>
        <w:t>Emmanuel Gapira et al., 2020) dengan responden Delapan puluh empat persen (84%) memiliki tingkat pengetahuan sedang terkait penyakit ginjal kronis.</w:t>
      </w:r>
    </w:p>
    <w:p w14:paraId="5E0507C3" w14:textId="31736270" w:rsidR="00DF1088"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X5 (kreatinin) berpengaruh </w:t>
      </w:r>
      <w:r w:rsidRPr="00E64050">
        <w:rPr>
          <w:rFonts w:ascii="Calisto MT" w:eastAsia="Times New Roman" w:hAnsi="Calisto MT" w:cs="Times New Roman"/>
          <w:b/>
          <w:sz w:val="20"/>
          <w:szCs w:val="20"/>
        </w:rPr>
        <w:t>negatif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w:t>
      </w:r>
      <w:r w:rsidRPr="0022777A">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(0.000 &lt; 0.050).</w:t>
      </w:r>
      <w:r w:rsidR="001302B8" w:rsidRPr="00E64050">
        <w:rPr>
          <w:rFonts w:ascii="Calisto MT" w:hAnsi="Calisto MT"/>
          <w:sz w:val="20"/>
          <w:szCs w:val="20"/>
        </w:rPr>
        <w:t xml:space="preserve"> </w:t>
      </w:r>
      <w:r w:rsidRPr="00E64050">
        <w:rPr>
          <w:rFonts w:ascii="Calisto MT" w:eastAsia="Times New Roman" w:hAnsi="Calisto MT" w:cs="Times New Roman"/>
          <w:sz w:val="20"/>
          <w:szCs w:val="20"/>
        </w:rPr>
        <w:t>Koefisien yang negatif menunjukkan bahwa peningkatan variabel X5 dapat menurunkan variabel Y2 secara signifikan.</w:t>
      </w:r>
      <w:r w:rsidR="0017303F" w:rsidRPr="00E64050">
        <w:rPr>
          <w:rFonts w:ascii="Calisto MT" w:eastAsia="Times New Roman" w:hAnsi="Calisto MT" w:cs="Times New Roman"/>
          <w:sz w:val="20"/>
          <w:szCs w:val="20"/>
        </w:rPr>
        <w:t xml:space="preserve"> Penelitan yang dilakukan (Loho et al., 2016) Berdasarkan hasil pemeriksaan laboratorium pada pasien yang terdiagnosis penyakit ginjal kronik stadium 5 non dialisis mengalami peningkatan kadar kreatinin serum (100%). </w:t>
      </w:r>
      <w:r w:rsidR="0017303F" w:rsidRPr="00E64050">
        <w:rPr>
          <w:rFonts w:ascii="Calisto MT" w:hAnsi="Calisto MT"/>
          <w:sz w:val="20"/>
          <w:szCs w:val="20"/>
          <w:lang w:val="nl-NL"/>
        </w:rPr>
        <w:t xml:space="preserve">korelasi positif (r = 0.82) antara serum dan nilai kreatinin saliva. </w:t>
      </w:r>
      <w:r w:rsidR="00DF1088" w:rsidRPr="00E64050">
        <w:rPr>
          <w:rFonts w:ascii="Calisto MT" w:hAnsi="Calisto MT"/>
          <w:sz w:val="20"/>
          <w:szCs w:val="20"/>
          <w:lang w:val="nl-NL"/>
        </w:rPr>
        <w:t xml:space="preserve">Penelitian dilakukan oleh </w:t>
      </w:r>
      <w:r w:rsidR="00E64050" w:rsidRPr="00E64050">
        <w:rPr>
          <w:rFonts w:ascii="Calisto MT" w:hAnsi="Calisto MT"/>
          <w:sz w:val="20"/>
          <w:szCs w:val="20"/>
          <w:lang w:val="nl-NL"/>
        </w:rPr>
        <w:fldChar w:fldCharType="begin" w:fldLock="1"/>
      </w:r>
      <w:r w:rsidR="00E64050" w:rsidRPr="00E64050">
        <w:rPr>
          <w:rFonts w:ascii="Calisto MT" w:hAnsi="Calisto MT"/>
          <w:sz w:val="20"/>
          <w:szCs w:val="20"/>
          <w:lang w:val="nl-NL"/>
        </w:rPr>
        <w:instrText>ADDIN CSL_CITATION {"citationItems":[{"id":"ITEM-1","itemData":{"ISBN":"1288201915","author":[{"dropping-particle":"","family":"Temilola","given":"Dada Oluwaseyi","non-dropping-particle":"","parse-names":false,"suffix":""},{"dropping-particle":"","family":"Bezuidenhout","given":"Karla","non-dropping-particle":"","parse-names":false,"suffix":""},{"dropping-particle":"","family":"Erasmus","given":"Rajiv Timothy","non-dropping-particle":"","parse-names":false,"suffix":""},{"dropping-particle":"","family":"Stephen","given":"Lawrence","non-dropping-particle":"","parse-names":false,"suffix":""},{"dropping-particle":"","family":"Davids","given":"Mogamat Razeen","non-dropping-particle":"","parse-names":false,"suffix":""},{"dropping-particle":"","family":"Holmes","given":"Haly","non-dropping-particle":"","parse-names":false,"suffix":""}],"id":"ITEM-1","issued":{"date-parts":[["2019"]]},"page":"1-6","publisher":"BMC Nephrology","title":"Salivary creatinine as a diagnostic tool for evaluating patients with chronic kidney disease","type":"article-journal"},"uris":["http://www.mendeley.com/documents/?uuid=32a19d58-091a-4e60-87b8-f022d3f8ea19"]}],"mendeley":{"formattedCitation":"(Temilola et al., 2019)","plainTextFormattedCitation":"(Temilola et al., 2019)","previouslyFormattedCitation":"(Temilola et al., 2019)"},"properties":{"noteIndex":0},"schema":"https://github.com/citation-style-language/schema/raw/master/csl-citation.json"}</w:instrText>
      </w:r>
      <w:r w:rsidR="00E64050" w:rsidRPr="00E64050">
        <w:rPr>
          <w:rFonts w:ascii="Calisto MT" w:hAnsi="Calisto MT"/>
          <w:sz w:val="20"/>
          <w:szCs w:val="20"/>
          <w:lang w:val="nl-NL"/>
        </w:rPr>
        <w:fldChar w:fldCharType="separate"/>
      </w:r>
      <w:r w:rsidR="00E64050" w:rsidRPr="00E64050">
        <w:rPr>
          <w:rFonts w:ascii="Calisto MT" w:hAnsi="Calisto MT"/>
          <w:noProof/>
          <w:sz w:val="20"/>
          <w:szCs w:val="20"/>
          <w:lang w:val="nl-NL"/>
        </w:rPr>
        <w:t>(Temilola et al., 2019)</w:t>
      </w:r>
      <w:r w:rsidR="00E64050" w:rsidRPr="00E64050">
        <w:rPr>
          <w:rFonts w:ascii="Calisto MT" w:hAnsi="Calisto MT"/>
          <w:sz w:val="20"/>
          <w:szCs w:val="20"/>
          <w:lang w:val="nl-NL"/>
        </w:rPr>
        <w:fldChar w:fldCharType="end"/>
      </w:r>
      <w:r w:rsidR="00DF1088" w:rsidRPr="00E64050">
        <w:rPr>
          <w:rFonts w:ascii="Calisto MT" w:hAnsi="Calisto MT"/>
          <w:sz w:val="20"/>
          <w:szCs w:val="20"/>
          <w:lang w:val="nl-NL"/>
        </w:rPr>
        <w:t xml:space="preserve"> kreatinin berpengaruh signifikan pada pasien penyakit ginjal kronis.</w:t>
      </w:r>
    </w:p>
    <w:p w14:paraId="13A124D1" w14:textId="11F8CCFC" w:rsidR="000F77C9" w:rsidRPr="00E64050" w:rsidRDefault="000F77C9" w:rsidP="00E64050">
      <w:pPr>
        <w:tabs>
          <w:tab w:val="left" w:pos="2394"/>
        </w:tabs>
        <w:autoSpaceDE w:val="0"/>
        <w:autoSpaceDN w:val="0"/>
        <w:adjustRightInd w:val="0"/>
        <w:outlineLvl w:val="3"/>
        <w:rPr>
          <w:rFonts w:ascii="Calisto MT" w:eastAsia="Times New Roman" w:hAnsi="Calisto MT" w:cs="Times New Roman"/>
          <w:sz w:val="20"/>
          <w:szCs w:val="20"/>
        </w:rPr>
      </w:pPr>
      <w:r w:rsidRPr="00E64050">
        <w:rPr>
          <w:rFonts w:ascii="Calisto MT" w:eastAsia="Times New Roman" w:hAnsi="Calisto MT" w:cs="Times New Roman"/>
          <w:sz w:val="20"/>
          <w:szCs w:val="20"/>
        </w:rPr>
        <w:t xml:space="preserve">Variabel X6 (ureum) berpengaruh </w:t>
      </w:r>
      <w:r w:rsidRPr="00E64050">
        <w:rPr>
          <w:rFonts w:ascii="Calisto MT" w:eastAsia="Times New Roman" w:hAnsi="Calisto MT" w:cs="Times New Roman"/>
          <w:b/>
          <w:sz w:val="20"/>
          <w:szCs w:val="20"/>
        </w:rPr>
        <w:t>negatif</w:t>
      </w:r>
      <w:r w:rsidRPr="00E64050">
        <w:rPr>
          <w:rFonts w:ascii="Calisto MT" w:eastAsia="Times New Roman" w:hAnsi="Calisto MT" w:cs="Times New Roman"/>
          <w:sz w:val="20"/>
          <w:szCs w:val="20"/>
        </w:rPr>
        <w:t xml:space="preserve"> dan </w:t>
      </w:r>
      <w:r w:rsidRPr="00E64050">
        <w:rPr>
          <w:rFonts w:ascii="Calisto MT" w:eastAsia="Times New Roman" w:hAnsi="Calisto MT" w:cs="Times New Roman"/>
          <w:b/>
          <w:sz w:val="20"/>
          <w:szCs w:val="20"/>
        </w:rPr>
        <w:t>signifikan</w:t>
      </w:r>
      <w:r w:rsidRPr="00E64050">
        <w:rPr>
          <w:rFonts w:ascii="Calisto MT" w:eastAsia="Times New Roman" w:hAnsi="Calisto MT" w:cs="Times New Roman"/>
          <w:sz w:val="20"/>
          <w:szCs w:val="20"/>
        </w:rPr>
        <w:t xml:space="preserve"> terhadap variabel Y2 (Anemia pada pasien penyakit ginjal kronis yang menjalani hemodialisis), dengan nilai </w:t>
      </w:r>
      <w:r w:rsidRPr="0022777A">
        <w:rPr>
          <w:rFonts w:ascii="Calisto MT" w:eastAsia="Times New Roman" w:hAnsi="Calisto MT" w:cs="Times New Roman"/>
          <w:i/>
          <w:sz w:val="20"/>
          <w:szCs w:val="20"/>
        </w:rPr>
        <w:t>p-value</w:t>
      </w:r>
      <w:r w:rsidRPr="00E64050">
        <w:rPr>
          <w:rFonts w:ascii="Calisto MT" w:eastAsia="Times New Roman" w:hAnsi="Calisto MT" w:cs="Times New Roman"/>
          <w:sz w:val="20"/>
          <w:szCs w:val="20"/>
        </w:rPr>
        <w:t xml:space="preserve"> lebih kecil dari </w:t>
      </w:r>
      <w:r w:rsidRPr="00E64050">
        <w:rPr>
          <w:rFonts w:ascii="Cambria" w:eastAsia="Times New Roman" w:hAnsi="Cambria" w:cs="Cambria"/>
          <w:sz w:val="20"/>
          <w:szCs w:val="20"/>
        </w:rPr>
        <w:t>α</w:t>
      </w:r>
      <w:r w:rsidRPr="00E64050">
        <w:rPr>
          <w:rFonts w:ascii="Calisto MT" w:eastAsia="Times New Roman" w:hAnsi="Calisto MT" w:cs="Times New Roman"/>
          <w:sz w:val="20"/>
          <w:szCs w:val="20"/>
        </w:rPr>
        <w:t xml:space="preserve"> (0.021 &lt; 0.050). Koefisien yang negatif menunjukkan bahwa peningkatan variabel X6 dapat menurunkan variabel secara signifikan.</w:t>
      </w:r>
      <w:r w:rsidR="0017303F" w:rsidRPr="00E64050">
        <w:rPr>
          <w:rFonts w:ascii="Calisto MT" w:hAnsi="Calisto MT"/>
          <w:sz w:val="20"/>
          <w:szCs w:val="20"/>
        </w:rPr>
        <w:t xml:space="preserve"> Hasil penelitian </w:t>
      </w:r>
      <w:r w:rsidR="0017303F" w:rsidRPr="00E64050">
        <w:rPr>
          <w:rFonts w:ascii="Calisto MT" w:hAnsi="Calisto MT"/>
          <w:sz w:val="20"/>
          <w:szCs w:val="20"/>
        </w:rPr>
        <w:fldChar w:fldCharType="begin" w:fldLock="1"/>
      </w:r>
      <w:r w:rsidR="0017303F" w:rsidRPr="00E64050">
        <w:rPr>
          <w:rFonts w:ascii="Calisto MT" w:hAnsi="Calisto MT"/>
          <w:sz w:val="20"/>
          <w:szCs w:val="20"/>
        </w:rPr>
        <w:instrText>ADDIN CSL_CITATION {"citationItems":[{"id":"ITEM-1","itemData":{"DOI":"10.3390/cells9092039","ISSN":"20734409","PMID":"32899941","abstract":"Chronic kidney disease (CKD) is a global health problem characterized by progressive kidney failure due to uremic toxicity and the complications that arise from it. Anemia consecutive to CKD is one of its most common complications affecting nearly all patients with end-stage renal disease. Anemia is a potential cause of cardiovascular disease, faster deterioration of renal failure and mortality. Erythropoietin (produced by the kidney) and iron (provided from recycled senescent red cells) deficiencies are the main reasons that contribute to CKD-associated anemia. Indeed, accumulation of uremic toxins in blood impairs erythropoietin synthesis, compromising the growth and differentiation of red blood cells in the bone marrow, leading to a subsequent impairment of erythropoiesis. In this review, we mainly focus on the most representative uremic toxins and their effects on the molecular mechanisms underlying anemia of CKD that have been studied so far. Understanding molecular mechanisms leading to anemia due to uremic toxins could lead to the development of new treatments that will specifically target the pathophysiologic processes of anemia consecutive to CKD, such as the newly marketed erythropoiesis-stimulating agents.","author":[{"dropping-particle":"","family":"Hamza","given":"Eya","non-dropping-particle":"","parse-names":false,"suffix":""},{"dropping-particle":"","family":"Metzinger","given":"Laurent","non-dropping-particle":"","parse-names":false,"suffix":""},{"dropping-particle":"","family":"Metzinger-Le Meuth","given":"Valérie","non-dropping-particle":"","parse-names":false,"suffix":""}],"container-title":"Cells","id":"ITEM-1","issue":"9","issued":{"date-parts":[["2020"]]},"title":"Uremic Toxins Affect Erythropoiesis during the Course of Chronic Kidney Disease: A Review","type":"article-journal","volume":"9"},"uris":["http://www.mendeley.com/documents/?uuid=8b7a23e0-e8d1-45c7-8790-1ade7c3729ed"]}],"mendeley":{"formattedCitation":"(Hamza et al., 2020)","plainTextFormattedCitation":"(Hamza et al., 2020)","previouslyFormattedCitation":"(Hamza et al., 2020)"},"properties":{"noteIndex":0},"schema":"https://github.com/citation-style-language/schema/raw/master/csl-citation.json"}</w:instrText>
      </w:r>
      <w:r w:rsidR="0017303F" w:rsidRPr="00E64050">
        <w:rPr>
          <w:rFonts w:ascii="Calisto MT" w:hAnsi="Calisto MT"/>
          <w:sz w:val="20"/>
          <w:szCs w:val="20"/>
        </w:rPr>
        <w:fldChar w:fldCharType="separate"/>
      </w:r>
      <w:r w:rsidR="0017303F" w:rsidRPr="00E64050">
        <w:rPr>
          <w:rFonts w:ascii="Calisto MT" w:hAnsi="Calisto MT"/>
          <w:noProof/>
          <w:sz w:val="20"/>
          <w:szCs w:val="20"/>
        </w:rPr>
        <w:t>(Hamza et al., 2020)</w:t>
      </w:r>
      <w:r w:rsidR="0017303F" w:rsidRPr="00E64050">
        <w:rPr>
          <w:rFonts w:ascii="Calisto MT" w:hAnsi="Calisto MT"/>
          <w:sz w:val="20"/>
          <w:szCs w:val="20"/>
        </w:rPr>
        <w:fldChar w:fldCharType="end"/>
      </w:r>
      <w:r w:rsidR="0017303F" w:rsidRPr="00E64050">
        <w:rPr>
          <w:rFonts w:ascii="Calisto MT" w:hAnsi="Calisto MT"/>
          <w:sz w:val="20"/>
          <w:szCs w:val="20"/>
        </w:rPr>
        <w:t xml:space="preserve"> </w:t>
      </w:r>
      <w:r w:rsidR="0017303F" w:rsidRPr="00E64050">
        <w:rPr>
          <w:rFonts w:ascii="Calisto MT" w:hAnsi="Calisto MT"/>
          <w:sz w:val="20"/>
          <w:szCs w:val="20"/>
          <w:lang w:val="id-ID"/>
        </w:rPr>
        <w:t>racun uremik yang paling representatif dan mereka</w:t>
      </w:r>
      <w:r w:rsidR="0017303F" w:rsidRPr="00E64050">
        <w:rPr>
          <w:rFonts w:ascii="Calisto MT" w:hAnsi="Calisto MT"/>
          <w:sz w:val="20"/>
          <w:szCs w:val="20"/>
        </w:rPr>
        <w:t xml:space="preserve"> </w:t>
      </w:r>
      <w:r w:rsidR="0017303F" w:rsidRPr="00E64050">
        <w:rPr>
          <w:rFonts w:ascii="Calisto MT" w:hAnsi="Calisto MT"/>
          <w:sz w:val="20"/>
          <w:szCs w:val="20"/>
          <w:lang w:val="id-ID"/>
        </w:rPr>
        <w:t xml:space="preserve">efek pada mekanisme molekuler yang mendasari </w:t>
      </w:r>
      <w:r w:rsidR="0017303F" w:rsidRPr="00E64050">
        <w:rPr>
          <w:rFonts w:ascii="Calisto MT" w:hAnsi="Calisto MT"/>
          <w:sz w:val="20"/>
          <w:szCs w:val="20"/>
        </w:rPr>
        <w:t xml:space="preserve">terjadinya </w:t>
      </w:r>
      <w:r w:rsidR="0017303F" w:rsidRPr="00E64050">
        <w:rPr>
          <w:rFonts w:ascii="Calisto MT" w:hAnsi="Calisto MT"/>
          <w:sz w:val="20"/>
          <w:szCs w:val="20"/>
          <w:lang w:val="id-ID"/>
        </w:rPr>
        <w:t>anemia pada pasien penyakit ginjal kronis</w:t>
      </w:r>
      <w:r w:rsidR="0017303F" w:rsidRPr="00E64050">
        <w:rPr>
          <w:rFonts w:ascii="Calisto MT" w:eastAsia="Times New Roman" w:hAnsi="Calisto MT" w:cs="Times New Roman"/>
          <w:sz w:val="20"/>
          <w:szCs w:val="20"/>
        </w:rPr>
        <w:t xml:space="preserve"> </w:t>
      </w:r>
      <w:r w:rsidR="0017303F" w:rsidRPr="00E64050">
        <w:rPr>
          <w:rFonts w:ascii="Calisto MT" w:eastAsia="Times New Roman" w:hAnsi="Calisto MT" w:cs="Times New Roman"/>
          <w:sz w:val="20"/>
          <w:szCs w:val="20"/>
          <w:lang w:val="nl-NL"/>
        </w:rPr>
        <w:t xml:space="preserve">Hasil penelitian </w:t>
      </w:r>
      <w:r w:rsidR="0017303F" w:rsidRPr="00E64050">
        <w:rPr>
          <w:rFonts w:ascii="Calisto MT" w:eastAsia="Times New Roman" w:hAnsi="Calisto MT" w:cs="Times New Roman"/>
          <w:sz w:val="20"/>
          <w:szCs w:val="20"/>
          <w:lang w:val="nl-NL"/>
        </w:rPr>
        <w:fldChar w:fldCharType="begin" w:fldLock="1"/>
      </w:r>
      <w:r w:rsidR="0017303F" w:rsidRPr="00E64050">
        <w:rPr>
          <w:rFonts w:ascii="Calisto MT" w:eastAsia="Times New Roman" w:hAnsi="Calisto MT" w:cs="Times New Roman"/>
          <w:sz w:val="20"/>
          <w:szCs w:val="20"/>
          <w:lang w:val="nl-NL"/>
        </w:rPr>
        <w:instrText>ADDIN CSL_CITATION {"citationItems":[{"id":"ITEM-1","itemData":{"DOI":"10.26699/jnk.v6i3.art.p292-299","ISSN":"2355-052X","abstract":"Penderita penyakit ginjal kronik mengalami penumpukan produk sisa dalam darah khususnya ureum yang menjadi toksin bagi tubuh. Anemia pada pasien PGK menyebabkan badan lemah dan penurunan perfusi jaringan. Terapi hemodialisa bisa menjadi stresor bagi pasien, karena terapi ini memerlukan waktu yang lama, keadaan ini berpotensi menurunkan kualitas hidup pasien. Tujuan penelitian adalah mengetahui hubungan kadar ureum, hemoglobin dan lama hemodialisa dengan kualitas hidup penderita PGK di Ruang Hemodialisa RS dr Soepraoen. Desain penelitian ini menggunakan kolerasional dengan pendekatan cross sectional. Responden adalah penderita PGK dengan terapi hemodialisis di ruang hemodialisa RS dr Soepraoen Malang. Sampel sejumlah 92 responden yang memenuhi kriteria eksklusi dan inklusi. Variabel yang diteliti adalah ureum, hemoglobin, lama hemodialisa dan kualitas hidup. Analisa data menggunakan uji korelasi somers’d gamma. Berdasarkan hasil uji korelasi somers’d gamma menunjukkan ada hubungan antara ureum dengan kualitas hidup responden dibuktikan dengan nilai p= 0,025 , r = 0,4. Ada hubungan antara kadar hemoglobin dengan kualitas hidup responden dibuktikan nilai p= 0,012 , r = 0,4. Tidak ada hubungan antara lama hemodialisa dengan kualitas hidup responden dibuktikan nilai p= 0,609, r = 0,6. Hasil penelitian ini meningkatkan kemampuan berpikir kritis perawat yaitu perubahan ureum dan hemoglobin berdampak pada kualitas hidup pasien PGK. Patients with chronic kidney disease experience a buildup of waste products in the blood, especially urea which is toxic to the body. Anemia in CKD patients causes weak body and decreased tissue perfusion. Hemodialysis therapy can be a stressor for patients, because this therapy requires a long time, this situation has the potential to reduce the quality of life of patients. The purpose of this study was to determine the relationship of urea levels, hemoglobin and duration of hemodialysis with the quality of life of patients with CKD in the Hemodialysis Room of dr. Soepraoen Hospital. The design of this study uses a cross-sectional study. Respondents were CKD sufferers with hemodialysis therapy in the hemodialysis room at dr. Soepraoen Hospital, Malang. Sample were 92 respondents who met the exclusion and inclusion criteria. The variables were urea, hemoglobin, length of hemodialysis and quality of life. Data analysis uses the gamma correlation test. Based on the gamma correlation test results showed that there was a relationship bet…","author":[{"dropping-particle":"","family":"Kurniawan","given":"Ardhiles Wahyu","non-dropping-particle":"","parse-names":false,"suffix":""},{"dropping-particle":"","family":"Koesrini","given":"Juliati","non-dropping-particle":"","parse-names":false,"suffix":""}],"container-title":"Jurnal Ners dan Kebidanan (Journal of Ners and Midwifery)","id":"ITEM-1","issue":"3","issued":{"date-parts":[["2019"]]},"page":"292-299","title":"Hubungan Kadar Ureum, Hemoglobin dan Lama Hemodialisa dengan Kualitas Hidup Penderita PGK","type":"article-journal","volume":"6"},"uris":["http://www.mendeley.com/documents/?uuid=9e63c6fa-36af-4f1e-acd8-d34372e4e3a6"]}],"mendeley":{"formattedCitation":"(Kurniawan &amp; Koesrini, 2019)","plainTextFormattedCitation":"(Kurniawan &amp; Koesrini, 2019)","previouslyFormattedCitation":"(Kurniawan &amp; Koesrini, 2019)"},"properties":{"noteIndex":0},"schema":"https://github.com/citation-style-language/schema/raw/master/csl-citation.json"}</w:instrText>
      </w:r>
      <w:r w:rsidR="0017303F" w:rsidRPr="00E64050">
        <w:rPr>
          <w:rFonts w:ascii="Calisto MT" w:eastAsia="Times New Roman" w:hAnsi="Calisto MT" w:cs="Times New Roman"/>
          <w:sz w:val="20"/>
          <w:szCs w:val="20"/>
          <w:lang w:val="nl-NL"/>
        </w:rPr>
        <w:fldChar w:fldCharType="separate"/>
      </w:r>
      <w:r w:rsidR="0017303F" w:rsidRPr="00E64050">
        <w:rPr>
          <w:rFonts w:ascii="Calisto MT" w:eastAsia="Times New Roman" w:hAnsi="Calisto MT" w:cs="Times New Roman"/>
          <w:noProof/>
          <w:sz w:val="20"/>
          <w:szCs w:val="20"/>
          <w:lang w:val="nl-NL"/>
        </w:rPr>
        <w:t>(Kurniawan &amp; Koesrini, 2019)</w:t>
      </w:r>
      <w:r w:rsidR="0017303F" w:rsidRPr="00E64050">
        <w:rPr>
          <w:rFonts w:ascii="Calisto MT" w:eastAsia="Times New Roman" w:hAnsi="Calisto MT" w:cs="Times New Roman"/>
          <w:sz w:val="20"/>
          <w:szCs w:val="20"/>
        </w:rPr>
        <w:fldChar w:fldCharType="end"/>
      </w:r>
      <w:r w:rsidR="0017303F" w:rsidRPr="00E64050">
        <w:rPr>
          <w:rFonts w:ascii="Calisto MT" w:eastAsia="Times New Roman" w:hAnsi="Calisto MT" w:cs="Times New Roman"/>
          <w:sz w:val="20"/>
          <w:szCs w:val="20"/>
          <w:lang w:val="nl-NL"/>
        </w:rPr>
        <w:t xml:space="preserve"> dengan uji korelasi </w:t>
      </w:r>
      <w:r w:rsidR="0017303F" w:rsidRPr="00E64050">
        <w:rPr>
          <w:rFonts w:ascii="Calisto MT" w:eastAsia="Times New Roman" w:hAnsi="Calisto MT" w:cs="Times New Roman"/>
          <w:i/>
          <w:sz w:val="20"/>
          <w:szCs w:val="20"/>
          <w:lang w:val="nl-NL"/>
        </w:rPr>
        <w:t>somers’d gamma</w:t>
      </w:r>
      <w:r w:rsidR="0017303F" w:rsidRPr="00E64050">
        <w:rPr>
          <w:rFonts w:ascii="Calisto MT" w:eastAsia="Times New Roman" w:hAnsi="Calisto MT" w:cs="Times New Roman"/>
          <w:sz w:val="20"/>
          <w:szCs w:val="20"/>
          <w:lang w:val="nl-NL"/>
        </w:rPr>
        <w:t xml:space="preserve"> menunjukkan ada hubungan antara ureum Ada hubungan antara kadar hemoglobin nilai p= 0,012 , r = 0,4.</w:t>
      </w:r>
    </w:p>
    <w:p w14:paraId="42611A07" w14:textId="00DBAD05" w:rsidR="000F77C9" w:rsidRPr="00E64050" w:rsidRDefault="000F77C9" w:rsidP="00622712">
      <w:pPr>
        <w:tabs>
          <w:tab w:val="left" w:pos="2394"/>
        </w:tabs>
        <w:autoSpaceDE w:val="0"/>
        <w:autoSpaceDN w:val="0"/>
        <w:adjustRightInd w:val="0"/>
        <w:ind w:firstLine="0"/>
        <w:outlineLvl w:val="3"/>
        <w:rPr>
          <w:rFonts w:ascii="Calisto MT" w:eastAsia="Times New Roman" w:hAnsi="Calisto MT" w:cs="Times New Roman"/>
          <w:b/>
          <w:sz w:val="20"/>
          <w:szCs w:val="20"/>
        </w:rPr>
      </w:pPr>
      <w:r w:rsidRPr="00E64050">
        <w:rPr>
          <w:rFonts w:ascii="Calisto MT" w:eastAsia="Times New Roman" w:hAnsi="Calisto MT" w:cs="Times New Roman"/>
          <w:b/>
          <w:sz w:val="20"/>
          <w:szCs w:val="20"/>
        </w:rPr>
        <w:t>Interpretasi Path</w:t>
      </w:r>
    </w:p>
    <w:p w14:paraId="22304C05" w14:textId="212BAA7F" w:rsidR="000F77C9" w:rsidRDefault="000F77C9" w:rsidP="00E64050">
      <w:pPr>
        <w:tabs>
          <w:tab w:val="left" w:pos="2394"/>
        </w:tabs>
        <w:ind w:right="-1"/>
        <w:contextualSpacing/>
        <w:outlineLvl w:val="3"/>
        <w:rPr>
          <w:rFonts w:ascii="Calisto MT" w:hAnsi="Calisto MT" w:cs="Times New Roman"/>
          <w:sz w:val="20"/>
          <w:szCs w:val="20"/>
        </w:rPr>
      </w:pPr>
      <w:r w:rsidRPr="00E64050">
        <w:rPr>
          <w:rFonts w:ascii="Calisto MT" w:hAnsi="Calisto MT" w:cs="Times New Roman"/>
          <w:sz w:val="20"/>
          <w:szCs w:val="20"/>
        </w:rPr>
        <w:t>Dari kedua persamaan tersebut, diperoleh hasil analisis jalur (path) secara keseluruhan adalah:</w:t>
      </w:r>
    </w:p>
    <w:p w14:paraId="23389EE2" w14:textId="7235233F" w:rsidR="007672FD" w:rsidRPr="00622712" w:rsidRDefault="00622712" w:rsidP="00622712">
      <w:pPr>
        <w:tabs>
          <w:tab w:val="left" w:pos="2394"/>
        </w:tabs>
        <w:ind w:right="-1"/>
        <w:contextualSpacing/>
        <w:jc w:val="center"/>
        <w:outlineLvl w:val="3"/>
        <w:rPr>
          <w:rFonts w:ascii="Calisto MT" w:hAnsi="Calisto MT" w:cs="Times New Roman"/>
          <w:sz w:val="20"/>
          <w:szCs w:val="20"/>
          <w:lang w:val="sv-SE"/>
        </w:rPr>
      </w:pPr>
      <w:r w:rsidRPr="00622712">
        <w:rPr>
          <w:rFonts w:ascii="Calisto MT" w:hAnsi="Calisto MT" w:cs="Times New Roman"/>
          <w:sz w:val="20"/>
          <w:szCs w:val="20"/>
          <w:lang w:val="sv-SE"/>
        </w:rPr>
        <w:lastRenderedPageBreak/>
        <w:t>Gambar 2 diagram jalur dari model teoritis penelitian</w:t>
      </w:r>
    </w:p>
    <w:p w14:paraId="26C60BDD" w14:textId="77777777" w:rsidR="000F77C9" w:rsidRPr="000F77C9" w:rsidRDefault="000F77C9" w:rsidP="000F77C9">
      <w:pPr>
        <w:tabs>
          <w:tab w:val="left" w:pos="570"/>
          <w:tab w:val="left" w:pos="2394"/>
        </w:tabs>
        <w:spacing w:line="480" w:lineRule="auto"/>
        <w:ind w:right="79"/>
        <w:rPr>
          <w:rFonts w:ascii="Calisto MT" w:hAnsi="Calisto MT" w:cs="Times New Roman"/>
          <w:b/>
          <w:sz w:val="20"/>
          <w:szCs w:val="20"/>
          <w:lang w:val="sv-SE"/>
        </w:rPr>
      </w:pPr>
      <w:r w:rsidRPr="000F77C9">
        <w:rPr>
          <w:rFonts w:ascii="Calisto MT" w:hAnsi="Calisto MT" w:cs="Times New Roman"/>
          <w:b/>
          <w:noProof/>
          <w:sz w:val="20"/>
          <w:szCs w:val="20"/>
        </w:rPr>
        <w:drawing>
          <wp:inline distT="0" distB="0" distL="0" distR="0" wp14:anchorId="662560E1" wp14:editId="164650C8">
            <wp:extent cx="2714625" cy="1623347"/>
            <wp:effectExtent l="0" t="0" r="0" b="0"/>
            <wp:docPr id="4" name="Picture 4" descr="SE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_2"/>
                    <pic:cNvPicPr>
                      <a:picLocks noChangeAspect="1" noChangeArrowheads="1"/>
                    </pic:cNvPicPr>
                  </pic:nvPicPr>
                  <pic:blipFill>
                    <a:blip r:embed="rId15">
                      <a:extLst>
                        <a:ext uri="{28A0092B-C50C-407E-A947-70E740481C1C}">
                          <a14:useLocalDpi xmlns:a14="http://schemas.microsoft.com/office/drawing/2010/main" val="0"/>
                        </a:ext>
                      </a:extLst>
                    </a:blip>
                    <a:srcRect l="3973" t="4726" r="13245" b="20895"/>
                    <a:stretch>
                      <a:fillRect/>
                    </a:stretch>
                  </pic:blipFill>
                  <pic:spPr bwMode="auto">
                    <a:xfrm>
                      <a:off x="0" y="0"/>
                      <a:ext cx="2735744" cy="1635976"/>
                    </a:xfrm>
                    <a:prstGeom prst="rect">
                      <a:avLst/>
                    </a:prstGeom>
                    <a:noFill/>
                    <a:ln>
                      <a:noFill/>
                    </a:ln>
                  </pic:spPr>
                </pic:pic>
              </a:graphicData>
            </a:graphic>
          </wp:inline>
        </w:drawing>
      </w:r>
    </w:p>
    <w:p w14:paraId="78E57054" w14:textId="074D291B" w:rsidR="000F77C9" w:rsidRPr="000F77C9" w:rsidRDefault="000F77C9" w:rsidP="007672FD">
      <w:pPr>
        <w:tabs>
          <w:tab w:val="left" w:pos="2394"/>
        </w:tabs>
        <w:outlineLvl w:val="3"/>
        <w:rPr>
          <w:rFonts w:ascii="Calisto MT" w:hAnsi="Calisto MT" w:cs="Times New Roman"/>
          <w:sz w:val="20"/>
          <w:szCs w:val="20"/>
        </w:rPr>
      </w:pPr>
      <w:r w:rsidRPr="000F77C9">
        <w:rPr>
          <w:rFonts w:ascii="Calisto MT" w:hAnsi="Calisto MT" w:cs="Times New Roman"/>
          <w:sz w:val="20"/>
          <w:szCs w:val="20"/>
        </w:rPr>
        <w:t xml:space="preserve">Dari gambar tersebut dan penjelasan sebelumnya dilakukan pengujian </w:t>
      </w:r>
      <w:r w:rsidRPr="000F77C9">
        <w:rPr>
          <w:rFonts w:ascii="Calisto MT" w:hAnsi="Calisto MT" w:cs="Times New Roman"/>
          <w:i/>
          <w:sz w:val="20"/>
          <w:szCs w:val="20"/>
        </w:rPr>
        <w:t xml:space="preserve">Goodness of Fit </w:t>
      </w:r>
      <w:r w:rsidRPr="000F77C9">
        <w:rPr>
          <w:rFonts w:ascii="Calisto MT" w:hAnsi="Calisto MT" w:cs="Times New Roman"/>
          <w:sz w:val="20"/>
          <w:szCs w:val="20"/>
        </w:rPr>
        <w:t>model menggunakan koefisien determinasi total. Total keragaman data yang dapat dijelaskan oleh model diukur dengan rumus:</w:t>
      </w:r>
      <w:r>
        <w:rPr>
          <w:rFonts w:ascii="Calisto MT" w:hAnsi="Calisto MT" w:cs="Times New Roman"/>
          <w:sz w:val="20"/>
          <w:szCs w:val="20"/>
        </w:rPr>
        <w:t xml:space="preserve"> </w:t>
      </w:r>
      <w:r w:rsidRPr="000F77C9">
        <w:rPr>
          <w:rFonts w:ascii="Calisto MT" w:hAnsi="Calisto MT" w:cs="Times New Roman"/>
          <w:sz w:val="20"/>
          <w:szCs w:val="20"/>
          <w:lang w:val="es-AR"/>
        </w:rPr>
        <w:t>R</w:t>
      </w:r>
      <w:r w:rsidRPr="000F77C9">
        <w:rPr>
          <w:rFonts w:ascii="Calisto MT" w:hAnsi="Calisto MT" w:cs="Times New Roman"/>
          <w:sz w:val="20"/>
          <w:szCs w:val="20"/>
          <w:vertAlign w:val="superscript"/>
          <w:lang w:val="es-AR"/>
        </w:rPr>
        <w:t>2</w:t>
      </w:r>
      <w:r w:rsidRPr="000F77C9">
        <w:rPr>
          <w:rFonts w:ascii="Calisto MT" w:hAnsi="Calisto MT" w:cs="Times New Roman"/>
          <w:sz w:val="20"/>
          <w:szCs w:val="20"/>
          <w:vertAlign w:val="subscript"/>
          <w:lang w:val="es-AR"/>
        </w:rPr>
        <w:t xml:space="preserve">m = </w:t>
      </w:r>
      <w:r w:rsidRPr="000F77C9">
        <w:rPr>
          <w:rFonts w:ascii="Calisto MT" w:hAnsi="Calisto MT" w:cs="Times New Roman"/>
          <w:sz w:val="20"/>
          <w:szCs w:val="20"/>
          <w:lang w:val="es-AR"/>
        </w:rPr>
        <w:t>1 – P</w:t>
      </w:r>
      <w:r w:rsidRPr="000F77C9">
        <w:rPr>
          <w:rFonts w:ascii="Calisto MT" w:hAnsi="Calisto MT" w:cs="Times New Roman"/>
          <w:sz w:val="20"/>
          <w:szCs w:val="20"/>
          <w:vertAlign w:val="superscript"/>
          <w:lang w:val="es-AR"/>
        </w:rPr>
        <w:t>2</w:t>
      </w:r>
      <w:r w:rsidRPr="000F77C9">
        <w:rPr>
          <w:rFonts w:ascii="Calisto MT" w:hAnsi="Calisto MT" w:cs="Times New Roman"/>
          <w:sz w:val="20"/>
          <w:szCs w:val="20"/>
          <w:vertAlign w:val="subscript"/>
          <w:lang w:val="es-AR"/>
        </w:rPr>
        <w:t xml:space="preserve">e1 </w:t>
      </w:r>
      <w:r w:rsidRPr="000F77C9">
        <w:rPr>
          <w:rFonts w:ascii="Calisto MT" w:hAnsi="Calisto MT" w:cs="Times New Roman"/>
          <w:sz w:val="20"/>
          <w:szCs w:val="20"/>
          <w:lang w:val="es-AR"/>
        </w:rPr>
        <w:t>P</w:t>
      </w:r>
      <w:r w:rsidRPr="000F77C9">
        <w:rPr>
          <w:rFonts w:ascii="Calisto MT" w:hAnsi="Calisto MT" w:cs="Times New Roman"/>
          <w:sz w:val="20"/>
          <w:szCs w:val="20"/>
          <w:vertAlign w:val="superscript"/>
          <w:lang w:val="es-AR"/>
        </w:rPr>
        <w:t>2</w:t>
      </w:r>
      <w:r w:rsidRPr="000F77C9">
        <w:rPr>
          <w:rFonts w:ascii="Calisto MT" w:hAnsi="Calisto MT" w:cs="Times New Roman"/>
          <w:sz w:val="20"/>
          <w:szCs w:val="20"/>
          <w:vertAlign w:val="subscript"/>
          <w:lang w:val="es-AR"/>
        </w:rPr>
        <w:t>e2</w:t>
      </w:r>
      <w:proofErr w:type="gramStart"/>
      <w:r w:rsidRPr="000F77C9">
        <w:rPr>
          <w:rFonts w:ascii="Calisto MT" w:hAnsi="Calisto MT" w:cs="Times New Roman"/>
          <w:sz w:val="20"/>
          <w:szCs w:val="20"/>
          <w:vertAlign w:val="subscript"/>
          <w:lang w:val="es-AR"/>
        </w:rPr>
        <w:t>….</w:t>
      </w:r>
      <w:r w:rsidRPr="000F77C9">
        <w:rPr>
          <w:rFonts w:ascii="Calisto MT" w:hAnsi="Calisto MT" w:cs="Times New Roman"/>
          <w:sz w:val="20"/>
          <w:szCs w:val="20"/>
          <w:lang w:val="es-AR"/>
        </w:rPr>
        <w:t>P</w:t>
      </w:r>
      <w:proofErr w:type="gramEnd"/>
      <w:r w:rsidRPr="000F77C9">
        <w:rPr>
          <w:rFonts w:ascii="Calisto MT" w:hAnsi="Calisto MT" w:cs="Times New Roman"/>
          <w:sz w:val="20"/>
          <w:szCs w:val="20"/>
          <w:vertAlign w:val="superscript"/>
          <w:lang w:val="es-AR"/>
        </w:rPr>
        <w:t>2</w:t>
      </w:r>
      <w:r w:rsidRPr="000F77C9">
        <w:rPr>
          <w:rFonts w:ascii="Calisto MT" w:hAnsi="Calisto MT" w:cs="Times New Roman"/>
          <w:sz w:val="20"/>
          <w:szCs w:val="20"/>
          <w:vertAlign w:val="subscript"/>
          <w:lang w:val="es-AR"/>
        </w:rPr>
        <w:t>ep</w:t>
      </w:r>
      <w:r>
        <w:rPr>
          <w:rFonts w:ascii="Calisto MT" w:hAnsi="Calisto MT" w:cs="Times New Roman"/>
          <w:sz w:val="20"/>
          <w:szCs w:val="20"/>
        </w:rPr>
        <w:t xml:space="preserve"> </w:t>
      </w:r>
      <w:r w:rsidRPr="000F77C9">
        <w:rPr>
          <w:rFonts w:ascii="Calisto MT" w:hAnsi="Calisto MT" w:cs="Times New Roman"/>
          <w:sz w:val="20"/>
          <w:szCs w:val="20"/>
        </w:rPr>
        <w:t>Dimana</w:t>
      </w:r>
      <w:r>
        <w:rPr>
          <w:rFonts w:ascii="Calisto MT" w:hAnsi="Calisto MT" w:cs="Times New Roman"/>
          <w:sz w:val="20"/>
          <w:szCs w:val="20"/>
        </w:rPr>
        <w:t xml:space="preserve"> </w:t>
      </w:r>
      <w:r w:rsidRPr="000F77C9">
        <w:rPr>
          <w:rFonts w:ascii="Calisto MT" w:hAnsi="Calisto MT" w:cs="Times New Roman"/>
          <w:sz w:val="20"/>
          <w:szCs w:val="20"/>
        </w:rPr>
        <w:t>P</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e1</w:t>
      </w:r>
      <w:r w:rsidRPr="000F77C9">
        <w:rPr>
          <w:rFonts w:ascii="Calisto MT" w:hAnsi="Calisto MT" w:cs="Times New Roman"/>
          <w:sz w:val="20"/>
          <w:szCs w:val="20"/>
        </w:rPr>
        <w:t xml:space="preserve"> = 1 – R</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1</w:t>
      </w:r>
      <w:r w:rsidRPr="000F77C9">
        <w:rPr>
          <w:rFonts w:ascii="Calisto MT" w:hAnsi="Calisto MT" w:cs="Times New Roman"/>
          <w:sz w:val="20"/>
          <w:szCs w:val="20"/>
        </w:rPr>
        <w:t>; P</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e2</w:t>
      </w:r>
      <w:r w:rsidRPr="000F77C9">
        <w:rPr>
          <w:rFonts w:ascii="Calisto MT" w:hAnsi="Calisto MT" w:cs="Times New Roman"/>
          <w:sz w:val="20"/>
          <w:szCs w:val="20"/>
        </w:rPr>
        <w:t xml:space="preserve"> = 1 – R</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2</w:t>
      </w:r>
      <w:r w:rsidRPr="000F77C9">
        <w:rPr>
          <w:rFonts w:ascii="Calisto MT" w:hAnsi="Calisto MT" w:cs="Times New Roman"/>
          <w:sz w:val="20"/>
          <w:szCs w:val="20"/>
        </w:rPr>
        <w:t>.</w:t>
      </w:r>
    </w:p>
    <w:p w14:paraId="5F41C1F4" w14:textId="69BD13BE" w:rsidR="000F77C9" w:rsidRPr="000F77C9" w:rsidRDefault="000F77C9" w:rsidP="007672FD">
      <w:pPr>
        <w:tabs>
          <w:tab w:val="left" w:pos="2394"/>
        </w:tabs>
        <w:outlineLvl w:val="3"/>
        <w:rPr>
          <w:rFonts w:ascii="Calisto MT" w:hAnsi="Calisto MT" w:cs="Times New Roman"/>
          <w:sz w:val="20"/>
          <w:szCs w:val="20"/>
        </w:rPr>
      </w:pPr>
      <w:r w:rsidRPr="000F77C9">
        <w:rPr>
          <w:rFonts w:ascii="Calisto MT" w:hAnsi="Calisto MT" w:cs="Times New Roman"/>
          <w:sz w:val="20"/>
          <w:szCs w:val="20"/>
        </w:rPr>
        <w:t>Dimana R</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1</w:t>
      </w:r>
      <w:r w:rsidRPr="000F77C9">
        <w:rPr>
          <w:rFonts w:ascii="Calisto MT" w:hAnsi="Calisto MT" w:cs="Times New Roman"/>
          <w:sz w:val="20"/>
          <w:szCs w:val="20"/>
        </w:rPr>
        <w:t xml:space="preserve"> adalah </w:t>
      </w:r>
      <w:r w:rsidRPr="000F77C9">
        <w:rPr>
          <w:rFonts w:ascii="Calisto MT" w:hAnsi="Calisto MT" w:cs="Times New Roman"/>
          <w:i/>
          <w:sz w:val="20"/>
          <w:szCs w:val="20"/>
        </w:rPr>
        <w:t>R square</w:t>
      </w:r>
      <w:r w:rsidRPr="000F77C9">
        <w:rPr>
          <w:rFonts w:ascii="Calisto MT" w:hAnsi="Calisto MT" w:cs="Times New Roman"/>
          <w:sz w:val="20"/>
          <w:szCs w:val="20"/>
        </w:rPr>
        <w:t xml:space="preserve"> untuk persamaan 1 yaitu sebesar 0.415, R</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2</w:t>
      </w:r>
      <w:r w:rsidRPr="000F77C9">
        <w:rPr>
          <w:rFonts w:ascii="Calisto MT" w:hAnsi="Calisto MT" w:cs="Times New Roman"/>
          <w:sz w:val="20"/>
          <w:szCs w:val="20"/>
        </w:rPr>
        <w:t xml:space="preserve"> adalah </w:t>
      </w:r>
      <w:r w:rsidRPr="000F77C9">
        <w:rPr>
          <w:rFonts w:ascii="Calisto MT" w:hAnsi="Calisto MT" w:cs="Times New Roman"/>
          <w:i/>
          <w:sz w:val="20"/>
          <w:szCs w:val="20"/>
        </w:rPr>
        <w:t>R square</w:t>
      </w:r>
      <w:r w:rsidRPr="000F77C9">
        <w:rPr>
          <w:rFonts w:ascii="Calisto MT" w:hAnsi="Calisto MT" w:cs="Times New Roman"/>
          <w:sz w:val="20"/>
          <w:szCs w:val="20"/>
        </w:rPr>
        <w:t xml:space="preserve"> untuk persamaan 2 yaitu sebesar 0.263, maka didapatkan secara </w:t>
      </w:r>
      <w:r w:rsidRPr="000F77C9">
        <w:rPr>
          <w:rFonts w:ascii="Calisto MT" w:hAnsi="Calisto MT" w:cs="Times New Roman"/>
          <w:i/>
          <w:sz w:val="20"/>
          <w:szCs w:val="20"/>
        </w:rPr>
        <w:t>overall</w:t>
      </w:r>
      <w:r w:rsidRPr="000F77C9">
        <w:rPr>
          <w:rFonts w:ascii="Calisto MT" w:hAnsi="Calisto MT" w:cs="Times New Roman"/>
          <w:sz w:val="20"/>
          <w:szCs w:val="20"/>
        </w:rPr>
        <w:t xml:space="preserve"> didapatkan sebesar 0.542.</w:t>
      </w:r>
      <w:r>
        <w:rPr>
          <w:rFonts w:ascii="Calisto MT" w:hAnsi="Calisto MT" w:cs="Times New Roman"/>
          <w:sz w:val="20"/>
          <w:szCs w:val="20"/>
        </w:rPr>
        <w:t xml:space="preserve"> </w:t>
      </w:r>
      <w:r w:rsidRPr="000F77C9">
        <w:rPr>
          <w:rFonts w:ascii="Calisto MT" w:hAnsi="Calisto MT" w:cs="Times New Roman"/>
          <w:sz w:val="20"/>
          <w:szCs w:val="20"/>
        </w:rPr>
        <w:t>Hasil perhitungan R</w:t>
      </w:r>
      <w:r w:rsidRPr="000F77C9">
        <w:rPr>
          <w:rFonts w:ascii="Calisto MT" w:hAnsi="Calisto MT" w:cs="Times New Roman"/>
          <w:sz w:val="20"/>
          <w:szCs w:val="20"/>
          <w:vertAlign w:val="superscript"/>
        </w:rPr>
        <w:t>2</w:t>
      </w:r>
      <w:r w:rsidRPr="000F77C9">
        <w:rPr>
          <w:rFonts w:ascii="Calisto MT" w:hAnsi="Calisto MT" w:cs="Times New Roman"/>
          <w:sz w:val="20"/>
          <w:szCs w:val="20"/>
          <w:vertAlign w:val="subscript"/>
        </w:rPr>
        <w:t>m</w:t>
      </w:r>
      <w:r w:rsidRPr="000F77C9">
        <w:rPr>
          <w:rFonts w:ascii="Calisto MT" w:hAnsi="Calisto MT" w:cs="Times New Roman"/>
          <w:sz w:val="20"/>
          <w:szCs w:val="20"/>
        </w:rPr>
        <w:t xml:space="preserve"> mengindikasikan keragaman data yang dapat dijelaskan oleh model tersebut adalah sebesar 0.542 atau dengan kata lain informasi yang terkandung dalam data sebesar 54.2% dapat dijelaskan oleh model tersebut. Sedangkan 45.8% keragaman sisanya dijelaskan oleh variabel lain (yang belum terdapat di dalam model).</w:t>
      </w:r>
      <w:r>
        <w:rPr>
          <w:rFonts w:ascii="Calisto MT" w:hAnsi="Calisto MT" w:cs="Times New Roman"/>
          <w:sz w:val="20"/>
          <w:szCs w:val="20"/>
        </w:rPr>
        <w:t xml:space="preserve"> </w:t>
      </w:r>
      <w:r w:rsidRPr="000F77C9">
        <w:rPr>
          <w:rFonts w:ascii="Calisto MT" w:hAnsi="Calisto MT" w:cs="Times New Roman"/>
          <w:sz w:val="20"/>
          <w:szCs w:val="20"/>
        </w:rPr>
        <w:t>Secara keseluruhan, model pada penelitian ini terbagi atas 13 pengaruh langsung, dan 6 pengaruh tidak langsung. Tabel berikut menyajikan hasil pengujian pengaruh langsung dan pengaruh tidak langsung:</w:t>
      </w:r>
    </w:p>
    <w:p w14:paraId="78BA9CE8" w14:textId="0148CD47" w:rsidR="000F77C9" w:rsidRPr="000F77C9" w:rsidRDefault="00622712" w:rsidP="00622712">
      <w:pPr>
        <w:tabs>
          <w:tab w:val="left" w:pos="2394"/>
        </w:tabs>
        <w:ind w:right="79" w:firstLine="0"/>
        <w:outlineLvl w:val="3"/>
        <w:rPr>
          <w:rFonts w:ascii="Calisto MT" w:hAnsi="Calisto MT" w:cs="Times New Roman"/>
          <w:b/>
          <w:sz w:val="20"/>
          <w:szCs w:val="20"/>
        </w:rPr>
      </w:pPr>
      <w:r>
        <w:rPr>
          <w:rFonts w:ascii="Calisto MT" w:hAnsi="Calisto MT" w:cs="Times New Roman"/>
          <w:b/>
          <w:sz w:val="20"/>
          <w:szCs w:val="20"/>
        </w:rPr>
        <w:t xml:space="preserve">Tabel 3 </w:t>
      </w:r>
      <w:r w:rsidR="000F77C9" w:rsidRPr="000F77C9">
        <w:rPr>
          <w:rFonts w:ascii="Calisto MT" w:hAnsi="Calisto MT" w:cs="Times New Roman"/>
          <w:b/>
          <w:sz w:val="20"/>
          <w:szCs w:val="20"/>
        </w:rPr>
        <w:t>Hasil Pengujian Hipotesis Pengaruh Tidak Langsung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752"/>
        <w:gridCol w:w="681"/>
        <w:gridCol w:w="744"/>
        <w:gridCol w:w="511"/>
        <w:gridCol w:w="754"/>
      </w:tblGrid>
      <w:tr w:rsidR="000F77C9" w:rsidRPr="000F77C9" w14:paraId="1D0F6F81" w14:textId="77777777" w:rsidTr="00E64050">
        <w:trPr>
          <w:jc w:val="center"/>
        </w:trPr>
        <w:tc>
          <w:tcPr>
            <w:tcW w:w="900" w:type="pct"/>
            <w:tcBorders>
              <w:top w:val="single" w:sz="4" w:space="0" w:color="auto"/>
              <w:bottom w:val="single" w:sz="4" w:space="0" w:color="auto"/>
            </w:tcBorders>
            <w:vAlign w:val="center"/>
          </w:tcPr>
          <w:p w14:paraId="2A22665F" w14:textId="77777777" w:rsidR="000F77C9" w:rsidRPr="000F77C9" w:rsidRDefault="000F77C9" w:rsidP="007672FD">
            <w:pPr>
              <w:tabs>
                <w:tab w:val="left" w:pos="2394"/>
              </w:tabs>
              <w:ind w:firstLine="0"/>
              <w:rPr>
                <w:rFonts w:ascii="Calisto MT" w:hAnsi="Calisto MT" w:cs="Times New Roman"/>
                <w:b/>
                <w:sz w:val="20"/>
                <w:szCs w:val="20"/>
                <w:lang w:eastAsia="ja-JP"/>
              </w:rPr>
            </w:pPr>
            <w:r w:rsidRPr="000F77C9">
              <w:rPr>
                <w:rFonts w:ascii="Calisto MT" w:hAnsi="Calisto MT" w:cs="Times New Roman"/>
                <w:b/>
                <w:bCs/>
                <w:sz w:val="20"/>
                <w:szCs w:val="20"/>
                <w:lang w:eastAsia="ja-JP"/>
              </w:rPr>
              <w:t>Variabel Bebas</w:t>
            </w:r>
          </w:p>
        </w:tc>
        <w:tc>
          <w:tcPr>
            <w:tcW w:w="1110" w:type="pct"/>
            <w:tcBorders>
              <w:top w:val="single" w:sz="4" w:space="0" w:color="auto"/>
              <w:bottom w:val="single" w:sz="4" w:space="0" w:color="auto"/>
            </w:tcBorders>
            <w:vAlign w:val="center"/>
          </w:tcPr>
          <w:p w14:paraId="04BE082F" w14:textId="77777777" w:rsidR="000F77C9" w:rsidRPr="000F77C9" w:rsidRDefault="000F77C9" w:rsidP="007672FD">
            <w:pPr>
              <w:tabs>
                <w:tab w:val="left" w:pos="2394"/>
              </w:tabs>
              <w:ind w:firstLine="0"/>
              <w:rPr>
                <w:rFonts w:ascii="Calisto MT" w:hAnsi="Calisto MT" w:cs="Times New Roman"/>
                <w:b/>
                <w:sz w:val="20"/>
                <w:szCs w:val="20"/>
                <w:lang w:eastAsia="ja-JP"/>
              </w:rPr>
            </w:pPr>
            <w:r w:rsidRPr="000F77C9">
              <w:rPr>
                <w:rFonts w:ascii="Calisto MT" w:hAnsi="Calisto MT" w:cs="Times New Roman"/>
                <w:b/>
                <w:bCs/>
                <w:sz w:val="20"/>
                <w:szCs w:val="20"/>
                <w:lang w:eastAsia="ja-JP"/>
              </w:rPr>
              <w:t>Variabel Perantara</w:t>
            </w:r>
          </w:p>
        </w:tc>
        <w:tc>
          <w:tcPr>
            <w:tcW w:w="979" w:type="pct"/>
            <w:tcBorders>
              <w:top w:val="single" w:sz="4" w:space="0" w:color="auto"/>
              <w:bottom w:val="single" w:sz="4" w:space="0" w:color="auto"/>
            </w:tcBorders>
            <w:vAlign w:val="center"/>
          </w:tcPr>
          <w:p w14:paraId="094C92FF" w14:textId="77777777" w:rsidR="000F77C9" w:rsidRPr="000F77C9" w:rsidRDefault="000F77C9" w:rsidP="007672FD">
            <w:pPr>
              <w:tabs>
                <w:tab w:val="left" w:pos="2394"/>
              </w:tabs>
              <w:ind w:firstLine="0"/>
              <w:rPr>
                <w:rFonts w:ascii="Calisto MT" w:hAnsi="Calisto MT" w:cs="Times New Roman"/>
                <w:b/>
                <w:sz w:val="20"/>
                <w:szCs w:val="20"/>
                <w:lang w:eastAsia="ja-JP"/>
              </w:rPr>
            </w:pPr>
            <w:r w:rsidRPr="000F77C9">
              <w:rPr>
                <w:rFonts w:ascii="Calisto MT" w:hAnsi="Calisto MT" w:cs="Times New Roman"/>
                <w:b/>
                <w:bCs/>
                <w:sz w:val="20"/>
                <w:szCs w:val="20"/>
                <w:lang w:eastAsia="ja-JP"/>
              </w:rPr>
              <w:t>Variabel Terikat</w:t>
            </w:r>
          </w:p>
        </w:tc>
        <w:tc>
          <w:tcPr>
            <w:tcW w:w="601" w:type="pct"/>
            <w:tcBorders>
              <w:top w:val="single" w:sz="4" w:space="0" w:color="auto"/>
              <w:bottom w:val="single" w:sz="4" w:space="0" w:color="auto"/>
            </w:tcBorders>
            <w:vAlign w:val="center"/>
          </w:tcPr>
          <w:p w14:paraId="59B002A6" w14:textId="77777777" w:rsidR="000F77C9" w:rsidRPr="000F77C9" w:rsidRDefault="000F77C9" w:rsidP="007672FD">
            <w:pPr>
              <w:keepNext/>
              <w:tabs>
                <w:tab w:val="left" w:pos="2394"/>
              </w:tabs>
              <w:ind w:firstLine="0"/>
              <w:outlineLvl w:val="2"/>
              <w:rPr>
                <w:rFonts w:ascii="Calisto MT" w:hAnsi="Calisto MT" w:cs="Times New Roman"/>
                <w:b/>
                <w:sz w:val="20"/>
                <w:szCs w:val="20"/>
              </w:rPr>
            </w:pPr>
            <w:r w:rsidRPr="000F77C9">
              <w:rPr>
                <w:rFonts w:ascii="Calisto MT" w:hAnsi="Calisto MT" w:cs="Times New Roman"/>
                <w:b/>
                <w:sz w:val="20"/>
                <w:szCs w:val="20"/>
              </w:rPr>
              <w:t>Koefisien</w:t>
            </w:r>
          </w:p>
        </w:tc>
        <w:tc>
          <w:tcPr>
            <w:tcW w:w="503" w:type="pct"/>
            <w:tcBorders>
              <w:top w:val="single" w:sz="4" w:space="0" w:color="auto"/>
              <w:bottom w:val="single" w:sz="4" w:space="0" w:color="auto"/>
            </w:tcBorders>
            <w:vAlign w:val="center"/>
          </w:tcPr>
          <w:p w14:paraId="5062751E" w14:textId="77777777" w:rsidR="000F77C9" w:rsidRPr="000F77C9" w:rsidRDefault="000F77C9" w:rsidP="007672FD">
            <w:pPr>
              <w:tabs>
                <w:tab w:val="left" w:pos="2394"/>
              </w:tabs>
              <w:ind w:firstLine="0"/>
              <w:rPr>
                <w:rFonts w:ascii="Calisto MT" w:hAnsi="Calisto MT" w:cs="Times New Roman"/>
                <w:b/>
                <w:sz w:val="20"/>
                <w:szCs w:val="20"/>
              </w:rPr>
            </w:pPr>
            <w:r w:rsidRPr="000F77C9">
              <w:rPr>
                <w:rFonts w:ascii="Calisto MT" w:hAnsi="Calisto MT" w:cs="Times New Roman"/>
                <w:b/>
                <w:sz w:val="20"/>
                <w:szCs w:val="20"/>
              </w:rPr>
              <w:t>p-value</w:t>
            </w:r>
          </w:p>
        </w:tc>
        <w:tc>
          <w:tcPr>
            <w:tcW w:w="907" w:type="pct"/>
            <w:tcBorders>
              <w:top w:val="single" w:sz="4" w:space="0" w:color="auto"/>
              <w:bottom w:val="single" w:sz="4" w:space="0" w:color="auto"/>
            </w:tcBorders>
            <w:vAlign w:val="center"/>
          </w:tcPr>
          <w:p w14:paraId="6C33DF6E" w14:textId="0843E354" w:rsidR="000F77C9" w:rsidRPr="000F77C9" w:rsidRDefault="007672FD" w:rsidP="007672FD">
            <w:pPr>
              <w:tabs>
                <w:tab w:val="left" w:pos="2394"/>
              </w:tabs>
              <w:ind w:firstLine="0"/>
              <w:rPr>
                <w:rFonts w:ascii="Calisto MT" w:hAnsi="Calisto MT" w:cs="Times New Roman"/>
                <w:b/>
                <w:sz w:val="20"/>
                <w:szCs w:val="20"/>
              </w:rPr>
            </w:pPr>
            <w:r>
              <w:rPr>
                <w:rFonts w:ascii="Calisto MT" w:hAnsi="Calisto MT" w:cs="Times New Roman"/>
                <w:b/>
                <w:sz w:val="20"/>
                <w:szCs w:val="20"/>
              </w:rPr>
              <w:t>Ket.</w:t>
            </w:r>
          </w:p>
        </w:tc>
      </w:tr>
      <w:tr w:rsidR="000F77C9" w:rsidRPr="000F77C9" w14:paraId="6B9F67C0" w14:textId="77777777" w:rsidTr="00E64050">
        <w:trPr>
          <w:jc w:val="center"/>
        </w:trPr>
        <w:tc>
          <w:tcPr>
            <w:tcW w:w="900" w:type="pct"/>
            <w:tcBorders>
              <w:top w:val="single" w:sz="4" w:space="0" w:color="auto"/>
              <w:bottom w:val="single" w:sz="4" w:space="0" w:color="auto"/>
            </w:tcBorders>
            <w:vAlign w:val="center"/>
          </w:tcPr>
          <w:p w14:paraId="74357B1B" w14:textId="2DF9F7FD"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1110" w:type="pct"/>
            <w:tcBorders>
              <w:top w:val="single" w:sz="4" w:space="0" w:color="auto"/>
              <w:bottom w:val="single" w:sz="4" w:space="0" w:color="auto"/>
            </w:tcBorders>
            <w:vAlign w:val="center"/>
          </w:tcPr>
          <w:p w14:paraId="42C0B371" w14:textId="7189902C"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75B0E0F8" w14:textId="7B9347F2"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1DB39204"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0.025</w:t>
            </w:r>
          </w:p>
        </w:tc>
        <w:tc>
          <w:tcPr>
            <w:tcW w:w="503" w:type="pct"/>
            <w:tcBorders>
              <w:top w:val="single" w:sz="4" w:space="0" w:color="auto"/>
              <w:bottom w:val="single" w:sz="4" w:space="0" w:color="auto"/>
            </w:tcBorders>
            <w:vAlign w:val="center"/>
          </w:tcPr>
          <w:p w14:paraId="0CF56A1D"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0.443</w:t>
            </w:r>
          </w:p>
        </w:tc>
        <w:tc>
          <w:tcPr>
            <w:tcW w:w="907" w:type="pct"/>
            <w:tcBorders>
              <w:top w:val="single" w:sz="4" w:space="0" w:color="auto"/>
              <w:bottom w:val="single" w:sz="4" w:space="0" w:color="auto"/>
            </w:tcBorders>
            <w:vAlign w:val="center"/>
          </w:tcPr>
          <w:p w14:paraId="3DF49907"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Tidak signifikan</w:t>
            </w:r>
          </w:p>
        </w:tc>
      </w:tr>
      <w:tr w:rsidR="000F77C9" w:rsidRPr="000F77C9" w14:paraId="6453FA7B" w14:textId="77777777" w:rsidTr="00E64050">
        <w:trPr>
          <w:jc w:val="center"/>
        </w:trPr>
        <w:tc>
          <w:tcPr>
            <w:tcW w:w="900" w:type="pct"/>
            <w:tcBorders>
              <w:top w:val="single" w:sz="4" w:space="0" w:color="auto"/>
              <w:bottom w:val="single" w:sz="4" w:space="0" w:color="auto"/>
            </w:tcBorders>
            <w:vAlign w:val="center"/>
          </w:tcPr>
          <w:p w14:paraId="5D5C1228" w14:textId="06C96779"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1110" w:type="pct"/>
            <w:tcBorders>
              <w:top w:val="single" w:sz="4" w:space="0" w:color="auto"/>
              <w:bottom w:val="single" w:sz="4" w:space="0" w:color="auto"/>
            </w:tcBorders>
            <w:vAlign w:val="center"/>
          </w:tcPr>
          <w:p w14:paraId="30316777" w14:textId="69CAB516"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725B1F63" w14:textId="1A22F61A"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2CD00D08"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0.068</w:t>
            </w:r>
          </w:p>
        </w:tc>
        <w:tc>
          <w:tcPr>
            <w:tcW w:w="503" w:type="pct"/>
            <w:tcBorders>
              <w:top w:val="single" w:sz="4" w:space="0" w:color="auto"/>
              <w:bottom w:val="single" w:sz="4" w:space="0" w:color="auto"/>
            </w:tcBorders>
            <w:vAlign w:val="center"/>
          </w:tcPr>
          <w:p w14:paraId="4490AD52"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0.019</w:t>
            </w:r>
          </w:p>
        </w:tc>
        <w:tc>
          <w:tcPr>
            <w:tcW w:w="907" w:type="pct"/>
            <w:tcBorders>
              <w:top w:val="single" w:sz="4" w:space="0" w:color="auto"/>
              <w:bottom w:val="single" w:sz="4" w:space="0" w:color="auto"/>
            </w:tcBorders>
            <w:vAlign w:val="center"/>
          </w:tcPr>
          <w:p w14:paraId="7D55EC37"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Signifikan</w:t>
            </w:r>
          </w:p>
        </w:tc>
      </w:tr>
      <w:tr w:rsidR="000F77C9" w:rsidRPr="000F77C9" w14:paraId="44DBA81C" w14:textId="77777777" w:rsidTr="00E64050">
        <w:trPr>
          <w:jc w:val="center"/>
        </w:trPr>
        <w:tc>
          <w:tcPr>
            <w:tcW w:w="900" w:type="pct"/>
            <w:tcBorders>
              <w:top w:val="single" w:sz="4" w:space="0" w:color="auto"/>
              <w:bottom w:val="single" w:sz="4" w:space="0" w:color="auto"/>
            </w:tcBorders>
            <w:vAlign w:val="center"/>
          </w:tcPr>
          <w:p w14:paraId="04BD2E4F" w14:textId="4936E69C"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3</w:t>
            </w:r>
          </w:p>
        </w:tc>
        <w:tc>
          <w:tcPr>
            <w:tcW w:w="1110" w:type="pct"/>
            <w:tcBorders>
              <w:top w:val="single" w:sz="4" w:space="0" w:color="auto"/>
              <w:bottom w:val="single" w:sz="4" w:space="0" w:color="auto"/>
            </w:tcBorders>
            <w:vAlign w:val="center"/>
          </w:tcPr>
          <w:p w14:paraId="68A63635" w14:textId="746F6B09"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4B7A8138" w14:textId="138F4580"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35BC25C0"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0.074</w:t>
            </w:r>
          </w:p>
        </w:tc>
        <w:tc>
          <w:tcPr>
            <w:tcW w:w="503" w:type="pct"/>
            <w:tcBorders>
              <w:top w:val="single" w:sz="4" w:space="0" w:color="auto"/>
              <w:bottom w:val="single" w:sz="4" w:space="0" w:color="auto"/>
            </w:tcBorders>
            <w:vAlign w:val="center"/>
          </w:tcPr>
          <w:p w14:paraId="0E00F984"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0.022</w:t>
            </w:r>
          </w:p>
        </w:tc>
        <w:tc>
          <w:tcPr>
            <w:tcW w:w="907" w:type="pct"/>
            <w:tcBorders>
              <w:top w:val="single" w:sz="4" w:space="0" w:color="auto"/>
              <w:bottom w:val="single" w:sz="4" w:space="0" w:color="auto"/>
            </w:tcBorders>
            <w:vAlign w:val="center"/>
          </w:tcPr>
          <w:p w14:paraId="5670EA5C"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Signifikan</w:t>
            </w:r>
          </w:p>
        </w:tc>
      </w:tr>
      <w:tr w:rsidR="000F77C9" w:rsidRPr="000F77C9" w14:paraId="48C8140E" w14:textId="77777777" w:rsidTr="00E64050">
        <w:trPr>
          <w:jc w:val="center"/>
        </w:trPr>
        <w:tc>
          <w:tcPr>
            <w:tcW w:w="900" w:type="pct"/>
            <w:tcBorders>
              <w:top w:val="single" w:sz="4" w:space="0" w:color="auto"/>
              <w:bottom w:val="single" w:sz="4" w:space="0" w:color="auto"/>
            </w:tcBorders>
            <w:vAlign w:val="center"/>
          </w:tcPr>
          <w:p w14:paraId="39CD0819" w14:textId="4DB23175"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lastRenderedPageBreak/>
              <w:t>4</w:t>
            </w:r>
          </w:p>
        </w:tc>
        <w:tc>
          <w:tcPr>
            <w:tcW w:w="1110" w:type="pct"/>
            <w:tcBorders>
              <w:top w:val="single" w:sz="4" w:space="0" w:color="auto"/>
              <w:bottom w:val="single" w:sz="4" w:space="0" w:color="auto"/>
            </w:tcBorders>
            <w:vAlign w:val="center"/>
          </w:tcPr>
          <w:p w14:paraId="09BC7D54" w14:textId="16888BD9"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1F20B59E" w14:textId="6998361B"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44E4276B"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0.100</w:t>
            </w:r>
          </w:p>
        </w:tc>
        <w:tc>
          <w:tcPr>
            <w:tcW w:w="503" w:type="pct"/>
            <w:tcBorders>
              <w:top w:val="single" w:sz="4" w:space="0" w:color="auto"/>
              <w:bottom w:val="single" w:sz="4" w:space="0" w:color="auto"/>
            </w:tcBorders>
            <w:vAlign w:val="center"/>
          </w:tcPr>
          <w:p w14:paraId="7FC91679"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0.030</w:t>
            </w:r>
          </w:p>
        </w:tc>
        <w:tc>
          <w:tcPr>
            <w:tcW w:w="907" w:type="pct"/>
            <w:tcBorders>
              <w:top w:val="single" w:sz="4" w:space="0" w:color="auto"/>
              <w:bottom w:val="single" w:sz="4" w:space="0" w:color="auto"/>
            </w:tcBorders>
            <w:vAlign w:val="center"/>
          </w:tcPr>
          <w:p w14:paraId="607021A8"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Signifikan</w:t>
            </w:r>
          </w:p>
        </w:tc>
      </w:tr>
      <w:tr w:rsidR="000F77C9" w:rsidRPr="000F77C9" w14:paraId="758D80EC" w14:textId="77777777" w:rsidTr="00E64050">
        <w:trPr>
          <w:jc w:val="center"/>
        </w:trPr>
        <w:tc>
          <w:tcPr>
            <w:tcW w:w="900" w:type="pct"/>
            <w:tcBorders>
              <w:top w:val="single" w:sz="4" w:space="0" w:color="auto"/>
              <w:bottom w:val="single" w:sz="4" w:space="0" w:color="auto"/>
            </w:tcBorders>
            <w:vAlign w:val="center"/>
          </w:tcPr>
          <w:p w14:paraId="3EB637C0" w14:textId="06E62F1D"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5</w:t>
            </w:r>
          </w:p>
        </w:tc>
        <w:tc>
          <w:tcPr>
            <w:tcW w:w="1110" w:type="pct"/>
            <w:tcBorders>
              <w:top w:val="single" w:sz="4" w:space="0" w:color="auto"/>
              <w:bottom w:val="single" w:sz="4" w:space="0" w:color="auto"/>
            </w:tcBorders>
            <w:vAlign w:val="center"/>
          </w:tcPr>
          <w:p w14:paraId="6F859258" w14:textId="675A2665"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724C32C0" w14:textId="2B1C02F9"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7043E875" w14:textId="72BA4CA4"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0.004</w:t>
            </w:r>
          </w:p>
        </w:tc>
        <w:tc>
          <w:tcPr>
            <w:tcW w:w="503" w:type="pct"/>
            <w:tcBorders>
              <w:top w:val="single" w:sz="4" w:space="0" w:color="auto"/>
              <w:bottom w:val="single" w:sz="4" w:space="0" w:color="auto"/>
            </w:tcBorders>
            <w:vAlign w:val="center"/>
          </w:tcPr>
          <w:p w14:paraId="7839C251"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0.577</w:t>
            </w:r>
          </w:p>
        </w:tc>
        <w:tc>
          <w:tcPr>
            <w:tcW w:w="907" w:type="pct"/>
            <w:tcBorders>
              <w:top w:val="single" w:sz="4" w:space="0" w:color="auto"/>
              <w:bottom w:val="single" w:sz="4" w:space="0" w:color="auto"/>
            </w:tcBorders>
            <w:vAlign w:val="center"/>
          </w:tcPr>
          <w:p w14:paraId="5AE09A54"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Tidak signifikan</w:t>
            </w:r>
          </w:p>
        </w:tc>
      </w:tr>
      <w:tr w:rsidR="000F77C9" w:rsidRPr="000F77C9" w14:paraId="18C412B8" w14:textId="77777777" w:rsidTr="00E64050">
        <w:trPr>
          <w:jc w:val="center"/>
        </w:trPr>
        <w:tc>
          <w:tcPr>
            <w:tcW w:w="900" w:type="pct"/>
            <w:tcBorders>
              <w:top w:val="single" w:sz="4" w:space="0" w:color="auto"/>
              <w:bottom w:val="single" w:sz="4" w:space="0" w:color="auto"/>
            </w:tcBorders>
            <w:vAlign w:val="center"/>
          </w:tcPr>
          <w:p w14:paraId="5097D9F7" w14:textId="5CC2EBE3"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6</w:t>
            </w:r>
          </w:p>
        </w:tc>
        <w:tc>
          <w:tcPr>
            <w:tcW w:w="1110" w:type="pct"/>
            <w:tcBorders>
              <w:top w:val="single" w:sz="4" w:space="0" w:color="auto"/>
              <w:bottom w:val="single" w:sz="4" w:space="0" w:color="auto"/>
            </w:tcBorders>
            <w:vAlign w:val="center"/>
          </w:tcPr>
          <w:p w14:paraId="6C91B8DC" w14:textId="02C79D90"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1</w:t>
            </w:r>
          </w:p>
        </w:tc>
        <w:tc>
          <w:tcPr>
            <w:tcW w:w="979" w:type="pct"/>
            <w:tcBorders>
              <w:top w:val="single" w:sz="4" w:space="0" w:color="auto"/>
              <w:bottom w:val="single" w:sz="4" w:space="0" w:color="auto"/>
            </w:tcBorders>
            <w:vAlign w:val="center"/>
          </w:tcPr>
          <w:p w14:paraId="2D6DD1D9" w14:textId="3CBDF337" w:rsidR="000F77C9" w:rsidRPr="000F77C9" w:rsidRDefault="000F77C9" w:rsidP="007672FD">
            <w:pPr>
              <w:tabs>
                <w:tab w:val="left" w:pos="2394"/>
              </w:tabs>
              <w:ind w:firstLine="0"/>
              <w:rPr>
                <w:rFonts w:ascii="Calisto MT" w:hAnsi="Calisto MT" w:cs="Times New Roman"/>
                <w:sz w:val="20"/>
                <w:szCs w:val="20"/>
              </w:rPr>
            </w:pPr>
            <w:r w:rsidRPr="000F77C9">
              <w:rPr>
                <w:rFonts w:ascii="Calisto MT" w:hAnsi="Calisto MT" w:cs="Times New Roman"/>
                <w:sz w:val="20"/>
                <w:szCs w:val="20"/>
              </w:rPr>
              <w:t>2</w:t>
            </w:r>
          </w:p>
        </w:tc>
        <w:tc>
          <w:tcPr>
            <w:tcW w:w="601" w:type="pct"/>
            <w:tcBorders>
              <w:top w:val="single" w:sz="4" w:space="0" w:color="auto"/>
              <w:bottom w:val="single" w:sz="4" w:space="0" w:color="auto"/>
            </w:tcBorders>
            <w:vAlign w:val="center"/>
          </w:tcPr>
          <w:p w14:paraId="69184A78" w14:textId="4BFBA4C8"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0.0005</w:t>
            </w:r>
          </w:p>
        </w:tc>
        <w:tc>
          <w:tcPr>
            <w:tcW w:w="503" w:type="pct"/>
            <w:tcBorders>
              <w:top w:val="single" w:sz="4" w:space="0" w:color="auto"/>
              <w:bottom w:val="single" w:sz="4" w:space="0" w:color="auto"/>
            </w:tcBorders>
            <w:vAlign w:val="center"/>
          </w:tcPr>
          <w:p w14:paraId="63EDD939"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0.310</w:t>
            </w:r>
          </w:p>
        </w:tc>
        <w:tc>
          <w:tcPr>
            <w:tcW w:w="907" w:type="pct"/>
            <w:tcBorders>
              <w:top w:val="single" w:sz="4" w:space="0" w:color="auto"/>
              <w:bottom w:val="single" w:sz="4" w:space="0" w:color="auto"/>
            </w:tcBorders>
            <w:vAlign w:val="center"/>
          </w:tcPr>
          <w:p w14:paraId="36B354AC" w14:textId="77777777" w:rsidR="000F77C9" w:rsidRPr="000F77C9" w:rsidRDefault="000F77C9" w:rsidP="007672FD">
            <w:pPr>
              <w:keepNext/>
              <w:tabs>
                <w:tab w:val="left" w:pos="2394"/>
              </w:tabs>
              <w:ind w:firstLine="0"/>
              <w:outlineLvl w:val="0"/>
              <w:rPr>
                <w:rFonts w:ascii="Calisto MT" w:eastAsia="Times New Roman" w:hAnsi="Calisto MT" w:cs="Times New Roman"/>
                <w:bCs/>
                <w:sz w:val="20"/>
                <w:szCs w:val="20"/>
              </w:rPr>
            </w:pPr>
            <w:r w:rsidRPr="000F77C9">
              <w:rPr>
                <w:rFonts w:ascii="Calisto MT" w:eastAsia="Times New Roman" w:hAnsi="Calisto MT" w:cs="Times New Roman"/>
                <w:bCs/>
                <w:sz w:val="20"/>
                <w:szCs w:val="20"/>
              </w:rPr>
              <w:t>Tidak signifikan</w:t>
            </w:r>
          </w:p>
        </w:tc>
      </w:tr>
    </w:tbl>
    <w:p w14:paraId="6AC9E17B" w14:textId="2CD05DD0" w:rsidR="007672FD" w:rsidRPr="0022777A" w:rsidRDefault="00167B51" w:rsidP="0022777A">
      <w:pPr>
        <w:tabs>
          <w:tab w:val="left" w:pos="2394"/>
        </w:tabs>
        <w:autoSpaceDE w:val="0"/>
        <w:autoSpaceDN w:val="0"/>
        <w:adjustRightInd w:val="0"/>
        <w:spacing w:line="480" w:lineRule="auto"/>
        <w:ind w:firstLine="0"/>
        <w:rPr>
          <w:rFonts w:ascii="Calisto MT" w:eastAsia="Times New Roman" w:hAnsi="Calisto MT" w:cs="Times New Roman"/>
          <w:sz w:val="20"/>
          <w:szCs w:val="20"/>
          <w:lang w:val="nl-NL"/>
        </w:rPr>
      </w:pPr>
      <w:r>
        <w:rPr>
          <w:rFonts w:ascii="Calisto MT" w:eastAsia="Times New Roman" w:hAnsi="Calisto MT" w:cs="Times New Roman"/>
          <w:sz w:val="20"/>
          <w:szCs w:val="20"/>
          <w:lang w:val="nl-NL"/>
        </w:rPr>
        <w:t>Sumber: data primer</w:t>
      </w:r>
      <w:r w:rsidR="000F77C9" w:rsidRPr="000F77C9">
        <w:rPr>
          <w:rFonts w:ascii="Calisto MT" w:eastAsia="Times New Roman" w:hAnsi="Calisto MT" w:cs="Times New Roman"/>
          <w:sz w:val="20"/>
          <w:szCs w:val="20"/>
          <w:lang w:val="nl-NL"/>
        </w:rPr>
        <w:t xml:space="preserve"> 2021</w:t>
      </w:r>
    </w:p>
    <w:p w14:paraId="6324AC2D" w14:textId="52E1DE6F" w:rsidR="000F77C9" w:rsidRPr="007672FD" w:rsidRDefault="000F77C9" w:rsidP="00622712">
      <w:pPr>
        <w:tabs>
          <w:tab w:val="left" w:pos="2394"/>
        </w:tabs>
        <w:autoSpaceDE w:val="0"/>
        <w:autoSpaceDN w:val="0"/>
        <w:adjustRightInd w:val="0"/>
        <w:ind w:firstLine="0"/>
        <w:outlineLvl w:val="3"/>
        <w:rPr>
          <w:rFonts w:ascii="Calisto MT" w:eastAsia="Times New Roman" w:hAnsi="Calisto MT" w:cs="Times New Roman"/>
          <w:b/>
          <w:sz w:val="20"/>
          <w:szCs w:val="20"/>
          <w:lang w:val="nl-NL"/>
        </w:rPr>
      </w:pPr>
      <w:r w:rsidRPr="007672FD">
        <w:rPr>
          <w:rFonts w:ascii="Calisto MT" w:eastAsia="Times New Roman" w:hAnsi="Calisto MT" w:cs="Times New Roman"/>
          <w:b/>
          <w:sz w:val="20"/>
          <w:szCs w:val="20"/>
          <w:lang w:val="nl-NL"/>
        </w:rPr>
        <w:t>Hipotesis Pengaruh Tidak Langsun</w:t>
      </w:r>
      <w:r w:rsidR="001302B8" w:rsidRPr="007672FD">
        <w:rPr>
          <w:rFonts w:ascii="Calisto MT" w:eastAsia="Times New Roman" w:hAnsi="Calisto MT" w:cs="Times New Roman"/>
          <w:b/>
          <w:sz w:val="20"/>
          <w:szCs w:val="20"/>
          <w:lang w:val="nl-NL"/>
        </w:rPr>
        <w:t>g</w:t>
      </w:r>
    </w:p>
    <w:p w14:paraId="3F246588" w14:textId="0BAC76DA" w:rsidR="00287BA6" w:rsidRDefault="000F77C9" w:rsidP="007672FD">
      <w:pPr>
        <w:tabs>
          <w:tab w:val="left" w:pos="2394"/>
        </w:tabs>
        <w:autoSpaceDE w:val="0"/>
        <w:autoSpaceDN w:val="0"/>
        <w:adjustRightInd w:val="0"/>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w:t>
      </w:r>
      <w:r w:rsidRPr="007672FD">
        <w:rPr>
          <w:rFonts w:ascii="Calisto MT" w:hAnsi="Calisto MT" w:cs="Times New Roman"/>
          <w:sz w:val="20"/>
          <w:szCs w:val="20"/>
          <w:lang w:val="nl-NL"/>
        </w:rPr>
        <w:t>X1 (</w:t>
      </w:r>
      <w:r w:rsidRPr="007672FD">
        <w:rPr>
          <w:rFonts w:ascii="Calisto MT" w:hAnsi="Calisto MT" w:cs="Times New Roman"/>
          <w:sz w:val="20"/>
          <w:szCs w:val="20"/>
        </w:rPr>
        <w:t>penyakit penyerta</w:t>
      </w:r>
      <w:r w:rsidRPr="007672FD">
        <w:rPr>
          <w:rFonts w:ascii="Calisto MT" w:hAnsi="Calisto MT" w:cs="Times New Roman"/>
          <w:sz w:val="20"/>
          <w:szCs w:val="20"/>
          <w:lang w:val="nl-NL"/>
        </w:rPr>
        <w:t>)</w:t>
      </w:r>
      <w:r w:rsidRPr="007672FD">
        <w:rPr>
          <w:rFonts w:ascii="Calisto MT" w:hAnsi="Calisto MT" w:cs="Times New Roman"/>
          <w:sz w:val="20"/>
          <w:szCs w:val="20"/>
        </w:rPr>
        <w:t xml:space="preserve">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Y2 (Anemia pada pasien penyakit ginjal kronis yang 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tidak signifikan</w:t>
      </w:r>
      <w:r w:rsidRPr="007672FD">
        <w:rPr>
          <w:rFonts w:ascii="Calisto MT" w:hAnsi="Calisto MT" w:cs="Times New Roman"/>
          <w:sz w:val="20"/>
          <w:szCs w:val="20"/>
          <w:lang w:val="nl-NL"/>
        </w:rPr>
        <w:t xml:space="preserve">, dengan p-value lebih besar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(0.443 &gt; 0.050). variabel Y1 tidak menjadi mediasi pengaruh variabel X1 terhadap Y2.</w:t>
      </w:r>
    </w:p>
    <w:p w14:paraId="72584326" w14:textId="5D5A7779" w:rsidR="00D758D5" w:rsidRDefault="00D758D5" w:rsidP="007672FD">
      <w:pPr>
        <w:tabs>
          <w:tab w:val="left" w:pos="2394"/>
        </w:tabs>
        <w:autoSpaceDE w:val="0"/>
        <w:autoSpaceDN w:val="0"/>
        <w:adjustRightInd w:val="0"/>
        <w:outlineLvl w:val="3"/>
        <w:rPr>
          <w:rFonts w:ascii="Calisto MT" w:hAnsi="Calisto MT" w:cs="Times New Roman"/>
          <w:sz w:val="20"/>
          <w:szCs w:val="20"/>
          <w:lang w:val="nl-NL"/>
        </w:rPr>
      </w:pPr>
      <w:r>
        <w:rPr>
          <w:rFonts w:ascii="Calisto MT" w:hAnsi="Calisto MT" w:cs="Times New Roman"/>
          <w:sz w:val="20"/>
          <w:szCs w:val="20"/>
        </w:rPr>
        <w:t xml:space="preserve">Hasil penelitian yang dilakukan </w:t>
      </w:r>
      <w:r w:rsidR="00982871">
        <w:rPr>
          <w:rFonts w:ascii="Calisto MT" w:hAnsi="Calisto MT" w:cs="Times New Roman"/>
          <w:sz w:val="20"/>
          <w:szCs w:val="20"/>
        </w:rPr>
        <w:fldChar w:fldCharType="begin" w:fldLock="1"/>
      </w:r>
      <w:r w:rsidR="00982871">
        <w:rPr>
          <w:rFonts w:ascii="Calisto MT" w:hAnsi="Calisto MT" w:cs="Times New Roman"/>
          <w:sz w:val="20"/>
          <w:szCs w:val="20"/>
        </w:rPr>
        <w:instrText>ADDIN CSL_CITATION {"citationItems":[{"id":"ITEM-1","itemData":{"abstract":"Compliance is a term used to describe the behavior of the patient in performing hemodialysis therapy in accordance with the specified time. Research Purpose: Unknown factors related to compliance in undergoing hemodialysis therapy in Chronic Kidney Disease at Dahlia lounge room and Bed Hospital Prof. Dr. R. D. Kandou Manado. Methods: the design of this research is analytic survey with Result : show there were 36 repondents (18,7%) submissive in therapy to have good family support in getting p = 0,000, education on adherence in hemodialysis therapy obedient background is high school with the number of 21 respondents (26,9%) with p = 0,193, undergoing hemodyalisis duration is 1 who had undergone hemodyalisis therapy with the number respondent 21 (31,3%) to p = 0,581. Conclusion: there is a relationship between compliance with family support, education level, and duration of hemodialysis in undergoing hemodialysis therapy. Recommendation: Expected for relevant agencies to better provide information for patients with chronic kidney disease on the impact of family support, education level, and duration of hemodialysis on adherence menajalni hemodialysis therapy in a timely manner and to maintain the health status of patients with chronic kidney disease.","author":[{"dropping-particle":"","family":"Utami","given":"Maria Putri Sari","non-dropping-particle":"","parse-names":false,"suffix":""},{"dropping-particle":"","family":", Elsye Maria Rosa","given":"Azizah Khoiriyati","non-dropping-particle":"","parse-names":false,"suffix":""}],"container-title":"Gambaran Komorbid Pasien Hemodialsis","id":"ITEM-1","issued":{"date-parts":[["2016"]]},"page":"1-12","title":"Gambaran Komorbid Pasien Hemodialisis","type":"article-journal"},"uris":["http://www.mendeley.com/documents/?uuid=3eea01d1-41db-44d3-ac4e-e67aed253530"]}],"mendeley":{"formattedCitation":"(M. P. S. Utami &amp; , Elsye Maria Rosa, 2016)","plainTextFormattedCitation":"(M. P. S. Utami &amp; , Elsye Maria Rosa, 2016)","previouslyFormattedCitation":"(M. P. S. Utami &amp; , Elsye Maria Rosa, 2016)"},"properties":{"noteIndex":0},"schema":"https://github.com/citation-style-language/schema/raw/master/csl-citation.json"}</w:instrText>
      </w:r>
      <w:r w:rsidR="00982871">
        <w:rPr>
          <w:rFonts w:ascii="Calisto MT" w:hAnsi="Calisto MT" w:cs="Times New Roman"/>
          <w:sz w:val="20"/>
          <w:szCs w:val="20"/>
        </w:rPr>
        <w:fldChar w:fldCharType="separate"/>
      </w:r>
      <w:r w:rsidR="00982871" w:rsidRPr="00982871">
        <w:rPr>
          <w:rFonts w:ascii="Calisto MT" w:hAnsi="Calisto MT" w:cs="Times New Roman"/>
          <w:noProof/>
          <w:sz w:val="20"/>
          <w:szCs w:val="20"/>
        </w:rPr>
        <w:t>(M. P. S. Utami &amp; , Elsye Maria Rosa, 2016)</w:t>
      </w:r>
      <w:r w:rsidR="00982871">
        <w:rPr>
          <w:rFonts w:ascii="Calisto MT" w:hAnsi="Calisto MT" w:cs="Times New Roman"/>
          <w:sz w:val="20"/>
          <w:szCs w:val="20"/>
        </w:rPr>
        <w:fldChar w:fldCharType="end"/>
      </w:r>
      <w:r w:rsidR="00982871">
        <w:rPr>
          <w:rFonts w:ascii="Calisto MT" w:hAnsi="Calisto MT" w:cs="Times New Roman"/>
          <w:sz w:val="20"/>
          <w:szCs w:val="20"/>
        </w:rPr>
        <w:t xml:space="preserve"> </w:t>
      </w:r>
      <w:r>
        <w:rPr>
          <w:rFonts w:ascii="Calisto MT" w:hAnsi="Calisto MT" w:cs="Times New Roman"/>
          <w:sz w:val="20"/>
          <w:szCs w:val="20"/>
        </w:rPr>
        <w:t xml:space="preserve"> </w:t>
      </w:r>
      <w:r w:rsidRPr="00D758D5">
        <w:rPr>
          <w:rFonts w:ascii="Calisto MT" w:hAnsi="Calisto MT" w:cs="Times New Roman"/>
          <w:sz w:val="20"/>
          <w:szCs w:val="20"/>
        </w:rPr>
        <w:t xml:space="preserve">Komorbid terbanyak yang dimiliki pasien hemodialisa adalah hipertensi, kemudian diikuti dengan </w:t>
      </w:r>
      <w:r>
        <w:rPr>
          <w:rFonts w:ascii="Calisto MT" w:hAnsi="Calisto MT" w:cs="Times New Roman"/>
          <w:sz w:val="20"/>
          <w:szCs w:val="20"/>
        </w:rPr>
        <w:t>diabetesmilitus (</w:t>
      </w:r>
      <w:r w:rsidRPr="00D758D5">
        <w:rPr>
          <w:rFonts w:ascii="Calisto MT" w:hAnsi="Calisto MT" w:cs="Times New Roman"/>
          <w:sz w:val="20"/>
          <w:szCs w:val="20"/>
        </w:rPr>
        <w:t>DM</w:t>
      </w:r>
      <w:r>
        <w:rPr>
          <w:rFonts w:ascii="Calisto MT" w:hAnsi="Calisto MT" w:cs="Times New Roman"/>
          <w:sz w:val="20"/>
          <w:szCs w:val="20"/>
        </w:rPr>
        <w:t>)</w:t>
      </w:r>
      <w:r w:rsidRPr="00D758D5">
        <w:rPr>
          <w:rFonts w:ascii="Calisto MT" w:hAnsi="Calisto MT" w:cs="Times New Roman"/>
          <w:sz w:val="20"/>
          <w:szCs w:val="20"/>
        </w:rPr>
        <w:t xml:space="preserve">, dan penyakit jantung. Pasien hemodialisa lebih banyak memiliki komorbid lebih dari satu. Komorbid terbanyak adalah hipertensi, diikuti </w:t>
      </w:r>
      <w:r>
        <w:rPr>
          <w:rFonts w:ascii="Calisto MT" w:hAnsi="Calisto MT" w:cs="Times New Roman"/>
          <w:sz w:val="20"/>
          <w:szCs w:val="20"/>
        </w:rPr>
        <w:t>diabetesmilitus (</w:t>
      </w:r>
      <w:r w:rsidRPr="00D758D5">
        <w:rPr>
          <w:rFonts w:ascii="Calisto MT" w:hAnsi="Calisto MT" w:cs="Times New Roman"/>
          <w:sz w:val="20"/>
          <w:szCs w:val="20"/>
        </w:rPr>
        <w:t>DM</w:t>
      </w:r>
      <w:proofErr w:type="gramStart"/>
      <w:r>
        <w:rPr>
          <w:rFonts w:ascii="Calisto MT" w:hAnsi="Calisto MT" w:cs="Times New Roman"/>
          <w:sz w:val="20"/>
          <w:szCs w:val="20"/>
        </w:rPr>
        <w:t xml:space="preserve">) </w:t>
      </w:r>
      <w:r w:rsidRPr="00D758D5">
        <w:rPr>
          <w:rFonts w:ascii="Calisto MT" w:hAnsi="Calisto MT" w:cs="Times New Roman"/>
          <w:sz w:val="20"/>
          <w:szCs w:val="20"/>
        </w:rPr>
        <w:t>,</w:t>
      </w:r>
      <w:proofErr w:type="gramEnd"/>
      <w:r w:rsidRPr="00D758D5">
        <w:rPr>
          <w:rFonts w:ascii="Calisto MT" w:hAnsi="Calisto MT" w:cs="Times New Roman"/>
          <w:sz w:val="20"/>
          <w:szCs w:val="20"/>
        </w:rPr>
        <w:t xml:space="preserve"> dan penyakit jantung.</w:t>
      </w:r>
    </w:p>
    <w:p w14:paraId="74A0482C" w14:textId="4E5E2A0E" w:rsidR="00D758D5" w:rsidRDefault="00D758D5" w:rsidP="00D758D5">
      <w:pPr>
        <w:tabs>
          <w:tab w:val="left" w:pos="2394"/>
        </w:tabs>
        <w:autoSpaceDE w:val="0"/>
        <w:autoSpaceDN w:val="0"/>
        <w:adjustRightInd w:val="0"/>
        <w:outlineLvl w:val="3"/>
        <w:rPr>
          <w:rFonts w:ascii="Calisto MT" w:hAnsi="Calisto MT" w:cs="Times New Roman"/>
          <w:sz w:val="20"/>
          <w:szCs w:val="20"/>
        </w:rPr>
      </w:pPr>
      <w:r w:rsidRPr="00D758D5">
        <w:rPr>
          <w:rFonts w:ascii="Calisto MT" w:hAnsi="Calisto MT" w:cs="Times New Roman"/>
          <w:sz w:val="20"/>
          <w:szCs w:val="20"/>
        </w:rPr>
        <w:t> Hasil pe</w:t>
      </w:r>
      <w:r>
        <w:rPr>
          <w:rFonts w:ascii="Calisto MT" w:hAnsi="Calisto MT" w:cs="Times New Roman"/>
          <w:sz w:val="20"/>
          <w:szCs w:val="20"/>
        </w:rPr>
        <w:t xml:space="preserve">nelitian </w:t>
      </w:r>
      <w:r w:rsidR="00982871">
        <w:rPr>
          <w:rFonts w:ascii="Calisto MT" w:hAnsi="Calisto MT" w:cs="Times New Roman"/>
          <w:sz w:val="20"/>
          <w:szCs w:val="20"/>
        </w:rPr>
        <w:fldChar w:fldCharType="begin" w:fldLock="1"/>
      </w:r>
      <w:r w:rsidR="00982871">
        <w:rPr>
          <w:rFonts w:ascii="Calisto MT" w:hAnsi="Calisto MT" w:cs="Times New Roman"/>
          <w:sz w:val="20"/>
          <w:szCs w:val="20"/>
        </w:rPr>
        <w:instrText>ADDIN CSL_CITATION {"citationItems":[{"id":"ITEM-1","itemData":{"abstract":"Pendahuluan: Hipertensi merupakan meningkatnya tekanan darah sistolik lebih besar dari 140 mmHg dan atau diastolik lebih besar dari 90 mmHg pada dua kali pengukuran dengan selang waktu 5 menit dalam keadaan cukup istirahat (tenang). Banyak faktor yang mempengaruhinya seperti genetik, lingkungan, hiperaktivitas susunan saraf simpatis, sistem renin-angiotensin, defek dalam eksresi Na dan peningkatan Na dan Ca intraseluler dan faktor-faktor yang meningkatkan resiko seperti obesitas, alkohol, merokok serta polisitemia. Metode: Tujuan penelitian untuk mengetahui faktor- faktor yang mempengaruhi Hipertensi. Metode penelitian ini menggunakan survey deskriptif kuantitatif. Instrumen yang digunakan berupa kuesioner Sampel penelitian klien dengan hipertensi berjumlah 49 responden. Hasil: Hasil penelitian menunjukan faktor- faktor yang mempengaruhi Hipertensi diantaranya: (1)Faktor Lingkungan: kebiasaan merokok, budaya memasak gorengan dan bersantan. (2)Faktor Genetik : adanya anggota keluarga yang mengalami hipertensi . (3)Faktor Perilaku: kebiasaan merokok, tidak pernah atau tidak teratur mengkonsumsi obat anti hipertensi, kebiasaan mengkonsumsi kopi, mengkonsumsi makanan berlemak, mengkonsumsi makanan bersantan, kurangnya kebiasaan olahraga. (4)Faktor Yankes : Deteksi dini dari Fasilitas Kesehatan kurang dan masih banyak warga yang tidak mengikuti PROLANIS. Diskusi: Perlu adanya sosialisasi dan penyuluhan yang lebih lanjut antara masyarakat dan pihak yang terkait bahaya Hipertensi","author":[{"dropping-particle":"","family":"Ferdinan","given":"Desi","non-dropping-particle":"","parse-names":false,"suffix":""},{"dropping-particle":"","family":"Joko","given":"Suwito","non-dropping-particle":"","parse-names":false,"suffix":""},{"dropping-particle":"","family":"Padoli","given":"","non-dropping-particle":"","parse-names":false,"suffix":""}],"container-title":"Jurnal Keperawatan","id":"ITEM-1","issue":"1","issued":{"date-parts":[["2019"]]},"page":"30-39","title":"Faktor-faktor yang mempengaruhi hipertensi intradialitik pada klien gagal ginjal kronik yang menjalani terapi hemodialisis di RSI Jemursari Surabaya","type":"article-journal","volume":"12"},"uris":["http://www.mendeley.com/documents/?uuid=504d8219-92dc-4403-963a-36fe395c21fa"]}],"mendeley":{"formattedCitation":"(Ferdinan et al., 2019)","plainTextFormattedCitation":"(Ferdinan et al., 2019)","previouslyFormattedCitation":"(Ferdinan et al., 2019)"},"properties":{"noteIndex":0},"schema":"https://github.com/citation-style-language/schema/raw/master/csl-citation.json"}</w:instrText>
      </w:r>
      <w:r w:rsidR="00982871">
        <w:rPr>
          <w:rFonts w:ascii="Calisto MT" w:hAnsi="Calisto MT" w:cs="Times New Roman"/>
          <w:sz w:val="20"/>
          <w:szCs w:val="20"/>
        </w:rPr>
        <w:fldChar w:fldCharType="separate"/>
      </w:r>
      <w:r w:rsidR="00982871" w:rsidRPr="00982871">
        <w:rPr>
          <w:rFonts w:ascii="Calisto MT" w:hAnsi="Calisto MT" w:cs="Times New Roman"/>
          <w:noProof/>
          <w:sz w:val="20"/>
          <w:szCs w:val="20"/>
        </w:rPr>
        <w:t>(Ferdinan et al., 2019)</w:t>
      </w:r>
      <w:r w:rsidR="00982871">
        <w:rPr>
          <w:rFonts w:ascii="Calisto MT" w:hAnsi="Calisto MT" w:cs="Times New Roman"/>
          <w:sz w:val="20"/>
          <w:szCs w:val="20"/>
        </w:rPr>
        <w:fldChar w:fldCharType="end"/>
      </w:r>
      <w:r w:rsidR="00982871">
        <w:rPr>
          <w:rFonts w:ascii="Calisto MT" w:hAnsi="Calisto MT" w:cs="Times New Roman"/>
          <w:sz w:val="20"/>
          <w:szCs w:val="20"/>
        </w:rPr>
        <w:t xml:space="preserve"> </w:t>
      </w:r>
      <w:r>
        <w:rPr>
          <w:rFonts w:ascii="Calisto MT" w:hAnsi="Calisto MT" w:cs="Times New Roman"/>
          <w:sz w:val="20"/>
          <w:szCs w:val="20"/>
        </w:rPr>
        <w:t xml:space="preserve">menunjukkan bahwa pasien penyakit ginjal kronis </w:t>
      </w:r>
      <w:r w:rsidRPr="00D758D5">
        <w:rPr>
          <w:rFonts w:ascii="Calisto MT" w:hAnsi="Calisto MT" w:cs="Times New Roman"/>
          <w:sz w:val="20"/>
          <w:szCs w:val="20"/>
        </w:rPr>
        <w:t xml:space="preserve"> tidak terjadi hipertensi intradialit</w:t>
      </w:r>
      <w:r>
        <w:rPr>
          <w:rFonts w:ascii="Calisto MT" w:hAnsi="Calisto MT" w:cs="Times New Roman"/>
          <w:sz w:val="20"/>
          <w:szCs w:val="20"/>
        </w:rPr>
        <w:t xml:space="preserve">ik, dan hampir setengahnya </w:t>
      </w:r>
      <w:r w:rsidRPr="00D758D5">
        <w:rPr>
          <w:rFonts w:ascii="Calisto MT" w:hAnsi="Calisto MT" w:cs="Times New Roman"/>
          <w:sz w:val="20"/>
          <w:szCs w:val="20"/>
        </w:rPr>
        <w:t xml:space="preserve"> te</w:t>
      </w:r>
      <w:r>
        <w:rPr>
          <w:rFonts w:ascii="Calisto MT" w:hAnsi="Calisto MT" w:cs="Times New Roman"/>
          <w:sz w:val="20"/>
          <w:szCs w:val="20"/>
        </w:rPr>
        <w:t xml:space="preserve">rjadi hipertensi intradialitik. </w:t>
      </w:r>
      <w:r w:rsidRPr="00D758D5">
        <w:rPr>
          <w:rFonts w:ascii="Calisto MT" w:hAnsi="Calisto MT" w:cs="Times New Roman"/>
          <w:sz w:val="20"/>
          <w:szCs w:val="20"/>
        </w:rPr>
        <w:t xml:space="preserve">Kejadian hipertensi intradialitik lebih banyak terjadi pada klien berusia &lt;60 tahun, memiliki IDWG </w:t>
      </w:r>
      <w:r>
        <w:rPr>
          <w:rFonts w:ascii="Calisto MT" w:hAnsi="Calisto MT" w:cs="Times New Roman"/>
          <w:sz w:val="20"/>
          <w:szCs w:val="20"/>
        </w:rPr>
        <w:t>&gt; 3 %, menjalani hemodialisis&gt;</w:t>
      </w:r>
      <w:r w:rsidRPr="00D758D5">
        <w:rPr>
          <w:rFonts w:ascii="Calisto MT" w:hAnsi="Calisto MT" w:cs="Times New Roman"/>
          <w:sz w:val="20"/>
          <w:szCs w:val="20"/>
        </w:rPr>
        <w:t>12 bulan</w:t>
      </w:r>
      <w:r>
        <w:rPr>
          <w:rFonts w:ascii="Calisto MT" w:hAnsi="Calisto MT" w:cs="Times New Roman"/>
          <w:sz w:val="20"/>
          <w:szCs w:val="20"/>
        </w:rPr>
        <w:t xml:space="preserve"> </w:t>
      </w:r>
      <w:proofErr w:type="gramStart"/>
      <w:r>
        <w:rPr>
          <w:rFonts w:ascii="Calisto MT" w:hAnsi="Calisto MT" w:cs="Times New Roman"/>
          <w:sz w:val="20"/>
          <w:szCs w:val="20"/>
        </w:rPr>
        <w:t>mengkonsumsi  &gt;</w:t>
      </w:r>
      <w:proofErr w:type="gramEnd"/>
      <w:r w:rsidRPr="00D758D5">
        <w:rPr>
          <w:rFonts w:ascii="Calisto MT" w:hAnsi="Calisto MT" w:cs="Times New Roman"/>
          <w:sz w:val="20"/>
          <w:szCs w:val="20"/>
        </w:rPr>
        <w:t xml:space="preserve">2 golongan obat anti hipertensi, memiliki riwayat diabetes melitus. </w:t>
      </w:r>
    </w:p>
    <w:p w14:paraId="4F4B2D4A" w14:textId="3499CBA4" w:rsidR="00982871" w:rsidRPr="00D758D5" w:rsidRDefault="00982871" w:rsidP="00D758D5">
      <w:pPr>
        <w:tabs>
          <w:tab w:val="left" w:pos="2394"/>
        </w:tabs>
        <w:autoSpaceDE w:val="0"/>
        <w:autoSpaceDN w:val="0"/>
        <w:adjustRightInd w:val="0"/>
        <w:outlineLvl w:val="3"/>
        <w:rPr>
          <w:rFonts w:ascii="Calisto MT" w:hAnsi="Calisto MT" w:cs="Times New Roman"/>
          <w:sz w:val="20"/>
          <w:szCs w:val="20"/>
        </w:rPr>
      </w:pPr>
      <w:r>
        <w:rPr>
          <w:rFonts w:ascii="Calisto MT" w:hAnsi="Calisto MT" w:cs="Times New Roman"/>
          <w:sz w:val="20"/>
          <w:szCs w:val="20"/>
        </w:rPr>
        <w:t xml:space="preserve">Penelitian yang dilakukan oleh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{"citationItems":[{"id":"ITEM-1","itemData":{"DOI":"10.15562/ism.v11i3.691","author":[{"dropping-particle":"","family":"Utami","given":"Ida Ayu Ari","non-dropping-particle":"","parse-names":false,"suffix":""},{"dropping-particle":"","family":"Santhi","given":"Desak Gede Diah Dharma","non-dropping-particle":"","parse-names":false,"suffix":""},{"dropping-particle":"","family":"Lestari","given":"Anak Agung Wiradewi","non-dropping-particle":"","parse-names":false,"suffix":""}],"container-title":"Intisari Sains Medis","id":"ITEM-1","issue":"3","issued":{"date-parts":[["2020"]]},"page":"1216-1221","title":"Prevalensi dan komplikasi pada penderita gagal ginjal kronik yang menjalani hemodialisa di Rumah Sakit Umum Pusat Sanglah Denpasar tahun 2018","type":"article-journal","volume":"11"},"uris":["http://www.mendeley.com/documents/?uuid=d02bc82d-9ac7-4aae-96d4-e365d841e780"]}],"mendeley":{"formattedCitation":"(I. A. A. Utami et al., 2020)","plainTextFormattedCitation":"(I. A. A. Utami et al., 2020)","previouslyFormattedCitation":"(I. A. A. Utami et al., 2020)"},"properties":{"noteIndex":0},"schema":"https://github.com/citation-style-language/schema/raw/master/csl-citation.json"}</w:instrText>
      </w:r>
      <w:r>
        <w:rPr>
          <w:rFonts w:ascii="Calisto MT" w:hAnsi="Calisto MT" w:cs="Times New Roman"/>
          <w:sz w:val="20"/>
          <w:szCs w:val="20"/>
        </w:rPr>
        <w:fldChar w:fldCharType="separate"/>
      </w:r>
      <w:r w:rsidRPr="00982871">
        <w:rPr>
          <w:rFonts w:ascii="Calisto MT" w:hAnsi="Calisto MT" w:cs="Times New Roman"/>
          <w:noProof/>
          <w:sz w:val="20"/>
          <w:szCs w:val="20"/>
        </w:rPr>
        <w:t>(I. A. A. Utami et al., 2020)</w:t>
      </w:r>
      <w:r>
        <w:rPr>
          <w:rFonts w:ascii="Calisto MT" w:hAnsi="Calisto MT" w:cs="Times New Roman"/>
          <w:sz w:val="20"/>
          <w:szCs w:val="20"/>
        </w:rPr>
        <w:fldChar w:fldCharType="end"/>
      </w:r>
      <w:r>
        <w:rPr>
          <w:rFonts w:ascii="Calisto MT" w:hAnsi="Calisto MT" w:cs="Times New Roman"/>
          <w:sz w:val="20"/>
          <w:szCs w:val="20"/>
        </w:rPr>
        <w:t xml:space="preserve"> ada hubungan pasien penyakit ginjal kronis yang menjalani hemodialisa dengan penderita anemi dengan penyakit penyerta hipertensi </w:t>
      </w:r>
    </w:p>
    <w:p w14:paraId="22EF8565" w14:textId="53E17146" w:rsidR="000F77C9" w:rsidRPr="007672FD" w:rsidRDefault="000F77C9"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X2 (Dukungan Keluarga)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Y2 (Anemia pada pasien penyakit ginjal kronis yang 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signifikan</w:t>
      </w:r>
      <w:r w:rsidRPr="007672FD">
        <w:rPr>
          <w:rFonts w:ascii="Calisto MT" w:hAnsi="Calisto MT" w:cs="Times New Roman"/>
          <w:sz w:val="20"/>
          <w:szCs w:val="20"/>
          <w:lang w:val="nl-NL"/>
        </w:rPr>
        <w:t>, dengan p-</w:t>
      </w:r>
      <w:r w:rsidRPr="007672FD">
        <w:rPr>
          <w:rFonts w:ascii="Calisto MT" w:hAnsi="Calisto MT" w:cs="Times New Roman"/>
          <w:sz w:val="20"/>
          <w:szCs w:val="20"/>
          <w:lang w:val="nl-NL"/>
        </w:rPr>
        <w:lastRenderedPageBreak/>
        <w:t xml:space="preserve">value lebih kecil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(0.019 &lt; 0.050). variabel Y1 menjadi mediasi pengaruh variabel X2 terhadap Y2.</w:t>
      </w:r>
    </w:p>
    <w:p w14:paraId="0AC365C5" w14:textId="6857D6FF" w:rsidR="00287BA6" w:rsidRPr="007672FD" w:rsidRDefault="00287BA6"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Penelitian yang dilakukan </w:t>
      </w:r>
      <w:r w:rsidRPr="007672FD">
        <w:rPr>
          <w:rFonts w:ascii="Calisto MT" w:hAnsi="Calisto MT" w:cs="Times New Roman"/>
          <w:sz w:val="20"/>
          <w:szCs w:val="20"/>
          <w:lang w:val="nl-NL"/>
        </w:rPr>
        <w:fldChar w:fldCharType="begin" w:fldLock="1"/>
      </w:r>
      <w:r w:rsidR="001B113D">
        <w:rPr>
          <w:rFonts w:ascii="Calisto MT" w:hAnsi="Calisto MT" w:cs="Times New Roman"/>
          <w:sz w:val="20"/>
          <w:szCs w:val="20"/>
          <w:lang w:val="nl-NL"/>
        </w:rPr>
        <w:instrText>ADDIN CSL_CITATION {"citationItems":[{"id":"ITEM-1","itemData":{"DOI":"10.1186/s12882-020-02170-4","ISSN":"14712369","PMID":"33238900","abstract":"Background: Parents’ adaptation affects the health outcomes of children with chronic kidney diseases (CKD). Identifying factors that affect parents’ adaptation is necessary to understand their adaptation status. This study aims to explore factors related to the adaptation of parents who have children with CKD. Methods: This was a qualitative study with a content analysis approach. Seventeen parents of children with CKD were selected by using purposive sampling. The leading researcher performed semi-structured, in-depth, face-to-face interviews to collect data. Conventional content analysis was used to analyze data. Results: Two main categories extracted from the data were “adaptation facilitators” and “adaptation barriers.” Adaptation facilitators were supported by three sub-categories: “social support”, “family capability” and “spiritual beliefs”. Four sub-categories of “adaptation barriers” were revealed as: “family-related barriers,” “mental stress by others,” “the chronic nature of the disease,” and “unfavorable treatment conditions.” Conclusions: Identifying the factors influencing parental adaptation helps the medical staff to make the necessary interventions to support the parents. According to this study, increasing parent access to the required information, supporting them financially and emotionally, and helping them identify support resources can facilitate their adaptation to their child’s chronic illness. Also, identifying and eliminating adaptation barriers can help parents deal better with their child’s chronic disease.","author":[{"dropping-particle":"","family":"Khorsandi","given":"Fatemeh","non-dropping-particle":"","parse-names":false,"suffix":""},{"dropping-particle":"","family":"Parizad","given":"Naser","non-dropping-particle":"","parse-names":false,"suffix":""},{"dropping-particle":"","family":"Feizi","given":"Aram","non-dropping-particle":"","parse-names":false,"suffix":""},{"dropping-particle":"","family":"Hemmati MaslakPak","given":"Masumeh","non-dropping-particle":"","parse-names":false,"suffix":""}],"container-title":"BMC Nephrology","id":"ITEM-1","issue":"1","issued":{"date-parts":[["2020"]]},"page":"1-14","publisher":"BMC Nephrology","title":"How do parents deal with their children’s chronic kidney disease? A qualitative study for identifying factors related to parent’s adaptation","type":"article-journal","volume":"21"},"uris":["http://www.mendeley.com/documents/?uuid=d76f6263-91f0-4597-b053-46438ad7628e"]}],"mendeley":{"formattedCitation":"(Khorsandi et al., 2020)","plainTextFormattedCitation":"(Khorsandi et al., 2020)","previouslyFormattedCitation":"(Khorsandi et al., 2020)"},"properties":{"noteIndex":0},"schema":"https://github.com/citation-style-language/schema/raw/master/csl-citation.json"}</w:instrText>
      </w:r>
      <w:r w:rsidRPr="007672FD">
        <w:rPr>
          <w:rFonts w:ascii="Calisto MT" w:hAnsi="Calisto MT" w:cs="Times New Roman"/>
          <w:sz w:val="20"/>
          <w:szCs w:val="20"/>
          <w:lang w:val="nl-NL"/>
        </w:rPr>
        <w:fldChar w:fldCharType="separate"/>
      </w:r>
      <w:r w:rsidRPr="007672FD">
        <w:rPr>
          <w:rFonts w:ascii="Calisto MT" w:hAnsi="Calisto MT" w:cs="Times New Roman"/>
          <w:noProof/>
          <w:sz w:val="20"/>
          <w:szCs w:val="20"/>
          <w:lang w:val="nl-NL"/>
        </w:rPr>
        <w:t>(Khorsandi et al., 2020)</w:t>
      </w:r>
      <w:r w:rsidRPr="007672FD">
        <w:rPr>
          <w:rFonts w:ascii="Calisto MT" w:hAnsi="Calisto MT" w:cs="Times New Roman"/>
          <w:sz w:val="20"/>
          <w:szCs w:val="20"/>
          <w:lang w:val="nl-NL"/>
        </w:rPr>
        <w:fldChar w:fldCharType="end"/>
      </w:r>
      <w:r w:rsidRPr="007672FD">
        <w:rPr>
          <w:rFonts w:ascii="Calisto MT" w:hAnsi="Calisto MT" w:cs="Times New Roman"/>
          <w:sz w:val="20"/>
          <w:szCs w:val="20"/>
          <w:lang w:val="nl-NL"/>
        </w:rPr>
        <w:t xml:space="preserve"> Dukungan keluarga di perlukan pada pasien penyakit ginjal kronis yang menjalani hemodialisa ini dapat menghambat proses pengobatan jika tidak di dukung dengan baik.</w:t>
      </w:r>
    </w:p>
    <w:p w14:paraId="796EBC90" w14:textId="49D828A4" w:rsidR="00287BA6" w:rsidRPr="007672FD" w:rsidRDefault="00287BA6"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Penelitian yang dilakukan </w:t>
      </w:r>
      <w:r w:rsidRPr="007672FD">
        <w:rPr>
          <w:rFonts w:ascii="Calisto MT" w:hAnsi="Calisto MT" w:cs="Times New Roman"/>
          <w:sz w:val="20"/>
          <w:szCs w:val="20"/>
          <w:lang w:val="nl-NL"/>
        </w:rPr>
        <w:fldChar w:fldCharType="begin" w:fldLock="1"/>
      </w:r>
      <w:r w:rsidRPr="007672FD">
        <w:rPr>
          <w:rFonts w:ascii="Calisto MT" w:hAnsi="Calisto MT" w:cs="Times New Roman"/>
          <w:sz w:val="20"/>
          <w:szCs w:val="20"/>
          <w:lang w:val="nl-NL"/>
        </w:rPr>
        <w:instrText>ADDIN CSL_CITATION {"citationItems":[{"id":"ITEM-1","itemData":{"DOI":"10.1681/ASN.2019020213","ISSN":"15333450","PMID":"32041774","abstract":"Anemia is a complication that affects a majority of individuals with advanced CKD. Although relative deficiency of erythropoietin production is the major driver of anemia in CKD, iron deficiency stands out among the mechanisms contributing to the impaired erythropoiesis in the setting of reduced kidney function. Iron deficiency plays a significant role in anemia in CKD. This may be due to a true paucity of iron stores (absolute iron deficiency) or a relative (functional) deficiency which prevents the use of available iron stores. Several risk factors contribute to absolute and functional iron deficiency in CKD, including blood losses, impaired iron absorption, and chronic inflammation. The traditional biomarkers used for the diagnosis of iron-deficiency anemia (IDA) in patients with CKD have limitations, leading to persistent challenges in the detection and monitoring of IDA in these patients. Here, we review the pathophysiology and available diagnostic tests for IDA in CKD, we discuss the literature that has informed the current practice guidelines for the treatment of IDA in CKD, and we summarize the available oral and intravenous (IV) iron formulations for the treatment of IDA in CKD. Two important issues are addressed, including the potential risks of a more liberal approach to iron supplementation as well as the potential risks and benefits of IV versus oral iron supplementation in patients with CKD.","author":[{"dropping-particle":"","family":"Batchelor","given":"Elizabeth Katherine","non-dropping-particle":"","parse-names":false,"suffix":""},{"dropping-particle":"","family":"Kapitsinou","given":"Pinelopi","non-dropping-particle":"","parse-names":false,"suffix":""},{"dropping-particle":"","family":"Pergola","given":"Pablo E.","non-dropping-particle":"","parse-names":false,"suffix":""},{"dropping-particle":"","family":"Kovesdy","given":"Csaba P.","non-dropping-particle":"","parse-names":false,"suffix":""},{"dropping-particle":"","family":"Jalal","given":"Diana I.","non-dropping-particle":"","parse-names":false,"suffix":""}],"container-title":"Journal of the American Society of Nephrology","id":"ITEM-1","issue":"3","issued":{"date-parts":[["2020"]]},"page":"456-468","title":"Iron deficiency in chronic kidney disease: Updates on pathophysiology, diagnosis, and treatment","type":"article-journal","volume":"31"},"uris":["http://www.mendeley.com/documents/?uuid=ad700889-8007-40c5-833a-7d15f0c5e1f5"]}],"mendeley":{"formattedCitation":"(Batchelor et al., 2020)","plainTextFormattedCitation":"(Batchelor et al., 2020)","previouslyFormattedCitation":"(Batchelor et al., 2020)"},"properties":{"noteIndex":0},"schema":"https://github.com/citation-style-language/schema/raw/master/csl-citation.json"}</w:instrText>
      </w:r>
      <w:r w:rsidRPr="007672FD">
        <w:rPr>
          <w:rFonts w:ascii="Calisto MT" w:hAnsi="Calisto MT" w:cs="Times New Roman"/>
          <w:sz w:val="20"/>
          <w:szCs w:val="20"/>
          <w:lang w:val="nl-NL"/>
        </w:rPr>
        <w:fldChar w:fldCharType="separate"/>
      </w:r>
      <w:r w:rsidRPr="007672FD">
        <w:rPr>
          <w:rFonts w:ascii="Calisto MT" w:hAnsi="Calisto MT" w:cs="Times New Roman"/>
          <w:noProof/>
          <w:sz w:val="20"/>
          <w:szCs w:val="20"/>
          <w:lang w:val="nl-NL"/>
        </w:rPr>
        <w:t>(Batchelor et al., 2020)</w:t>
      </w:r>
      <w:r w:rsidRPr="007672FD">
        <w:rPr>
          <w:rFonts w:ascii="Calisto MT" w:hAnsi="Calisto MT" w:cs="Times New Roman"/>
          <w:sz w:val="20"/>
          <w:szCs w:val="20"/>
          <w:lang w:val="nl-NL"/>
        </w:rPr>
        <w:fldChar w:fldCharType="end"/>
      </w:r>
      <w:r w:rsidRPr="007672FD">
        <w:rPr>
          <w:rFonts w:ascii="Calisto MT" w:hAnsi="Calisto MT" w:cs="Times New Roman"/>
          <w:sz w:val="20"/>
          <w:szCs w:val="20"/>
          <w:lang w:val="nl-NL"/>
        </w:rPr>
        <w:t xml:space="preserve"> Anemia adalah komplikasi yang mempengaruhi sebagian besar individu dengan penyakit ginjal kronis  lanjut. Meskipun defisiensi relatif produksi eritropoietin merupakan pendorong utama anemia pada penyakit ginjal kronis, defisiensi besi menonjol di antara mekanisme yang berkontribusi terhadap gangguan eritropoiesis dalam pengaturan fungsi ginjal yang berkurang. Kekurangan zat besi memainkan peran penting dalam anemia pada penyakit ginjal kronis.</w:t>
      </w:r>
    </w:p>
    <w:p w14:paraId="389DACC3" w14:textId="77777777" w:rsidR="008D1CAD" w:rsidRPr="007672FD" w:rsidRDefault="000F77C9"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X3 (Tingkat Kepatuhan)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Y2 (Anemia pada pasien penyakit ginjal kronis yang 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signifikan</w:t>
      </w:r>
      <w:r w:rsidRPr="007672FD">
        <w:rPr>
          <w:rFonts w:ascii="Calisto MT" w:hAnsi="Calisto MT" w:cs="Times New Roman"/>
          <w:sz w:val="20"/>
          <w:szCs w:val="20"/>
          <w:lang w:val="nl-NL"/>
        </w:rPr>
        <w:t xml:space="preserve">, dengan p-value lebih kecil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(0.022 &lt; 0.050). variabel Y1 menjadi mediasi pengaruh variabel X3 terhadap Y2.</w:t>
      </w:r>
    </w:p>
    <w:p w14:paraId="1127B368" w14:textId="77777777" w:rsidR="00287BA6" w:rsidRPr="007672FD" w:rsidRDefault="008D1CAD"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rPr>
        <w:t xml:space="preserve">Hasil penelitian </w:t>
      </w:r>
      <w:r w:rsidRPr="007672FD">
        <w:rPr>
          <w:rFonts w:ascii="Calisto MT" w:hAnsi="Calisto MT" w:cs="Times New Roman"/>
          <w:sz w:val="20"/>
          <w:szCs w:val="20"/>
        </w:rPr>
        <w:fldChar w:fldCharType="begin" w:fldLock="1"/>
      </w:r>
      <w:r w:rsidR="002C3BA2" w:rsidRPr="007672FD">
        <w:rPr>
          <w:rFonts w:ascii="Calisto MT" w:hAnsi="Calisto MT" w:cs="Times New Roman"/>
          <w:sz w:val="20"/>
          <w:szCs w:val="20"/>
        </w:rPr>
        <w:instrText>ADDIN CSL_CITATION {"citationItems":[{"id":"ITEM-1","itemData":{"DOI":"10.1093/ndt/gfu015","ISSN":"14602385","PMID":"24516224","abstract":"Poor long-term adherence and persistence to drug therapy is universally recognized as one of the major clinical issues in the management of chronic diseases, and patients with renal diseases are also concerned by this important phenomenon. Chronic kidney disease (CKD) patients belong to the group of subjects with one of the highest burdens of daily pill intake with up to &gt;20 pills per day depending on the severity of their disease. The purpose of the present review is to discuss the difficulties encountered by nephrologists in diagnosing and managing poor adherence and persistence in CKD patients including in patients receiving maintenance dialysis. Our review will also attempt to provide some clues and new perspectives on how drug adherence could actually be addressed and possibly improved. Working on drug adherence may look like a long and tedious path, but physicians and healthcare providers should always be aware that drug adherence is in general much lower than what they may think and that there are many ways to improve and support drug adherence and persistence so that renal patients obtain the full benefits of their treatments.","author":[{"dropping-particle":"","family":"Burnier","given":"Michel","non-dropping-particle":"","parse-names":false,"suffix":""},{"dropping-particle":"","family":"Pruijm","given":"Menno","non-dropping-particle":"","parse-names":false,"suffix":""},{"dropping-particle":"","family":"Wuerzner","given":"Gregoire","non-dropping-particle":"","parse-names":false,"suffix":""},{"dropping-particle":"","family":"Santschi","given":"Valerie","non-dropping-particle":"","parse-names":false,"suffix":""}],"container-title":"Nephrology Dialysis Transplantation","id":"ITEM-1","issue":"1","issued":{"date-parts":[["2015"]]},"page":"39-44","title":"Drug adherence in chronic kidney diseases and dialysis","type":"article-journal","volume":"30"},"uris":["http://www.mendeley.com/documents/?uuid=b1f90e53-408a-47c5-9a34-25264ecb7ecb"]}],"mendeley":{"formattedCitation":"(Burnier et al., 2015)","plainTextFormattedCitation":"(Burnier et al., 2015)","previouslyFormattedCitation":"(Burnier et al., 2015)"},"properties":{"noteIndex":0},"schema":"https://github.com/citation-style-language/schema/raw/master/csl-citation.json"}</w:instrText>
      </w:r>
      <w:r w:rsidRPr="007672FD">
        <w:rPr>
          <w:rFonts w:ascii="Calisto MT" w:hAnsi="Calisto MT" w:cs="Times New Roman"/>
          <w:sz w:val="20"/>
          <w:szCs w:val="20"/>
        </w:rPr>
        <w:fldChar w:fldCharType="separate"/>
      </w:r>
      <w:r w:rsidRPr="007672FD">
        <w:rPr>
          <w:rFonts w:ascii="Calisto MT" w:hAnsi="Calisto MT" w:cs="Times New Roman"/>
          <w:noProof/>
          <w:sz w:val="20"/>
          <w:szCs w:val="20"/>
        </w:rPr>
        <w:t>(Burnier et al., 2015)</w:t>
      </w:r>
      <w:r w:rsidRPr="007672FD">
        <w:rPr>
          <w:rFonts w:ascii="Calisto MT" w:hAnsi="Calisto MT" w:cs="Times New Roman"/>
          <w:sz w:val="20"/>
          <w:szCs w:val="20"/>
        </w:rPr>
        <w:fldChar w:fldCharType="end"/>
      </w:r>
      <w:r w:rsidRPr="007672FD">
        <w:rPr>
          <w:rFonts w:ascii="Calisto MT" w:hAnsi="Calisto MT" w:cs="Times New Roman"/>
          <w:sz w:val="20"/>
          <w:szCs w:val="20"/>
        </w:rPr>
        <w:t xml:space="preserve"> </w:t>
      </w:r>
      <w:r w:rsidRPr="007672FD">
        <w:rPr>
          <w:rFonts w:ascii="Calisto MT" w:hAnsi="Calisto MT" w:cs="Times New Roman"/>
          <w:sz w:val="20"/>
          <w:szCs w:val="20"/>
          <w:lang w:val="id-ID"/>
        </w:rPr>
        <w:t>Kepatuhan jangka panjang yang buruk dan ketekunan untuk terapi obat secara universal diakui sebagai salah satu masalah klinis utama dalam pengelolaan penyakit kronis</w:t>
      </w:r>
      <w:r w:rsidRPr="007672FD">
        <w:rPr>
          <w:rFonts w:ascii="Calisto MT" w:hAnsi="Calisto MT" w:cs="Times New Roman"/>
          <w:sz w:val="20"/>
          <w:szCs w:val="20"/>
        </w:rPr>
        <w:t xml:space="preserve"> saat mengkonsumsi obat secara universal. Salah satunya adalah dengan mengkonsumsi Eritropoietin Penelitian yang dilakukan </w:t>
      </w:r>
      <w:r w:rsidRPr="007672FD">
        <w:rPr>
          <w:rFonts w:ascii="Calisto MT" w:hAnsi="Calisto MT" w:cs="Times New Roman"/>
          <w:sz w:val="20"/>
          <w:szCs w:val="20"/>
        </w:rPr>
        <w:fldChar w:fldCharType="begin" w:fldLock="1"/>
      </w:r>
      <w:r w:rsidRPr="007672FD">
        <w:rPr>
          <w:rFonts w:ascii="Calisto MT" w:hAnsi="Calisto MT" w:cs="Times New Roman"/>
          <w:sz w:val="20"/>
          <w:szCs w:val="20"/>
        </w:rPr>
        <w:instrText>ADDIN CSL_CITATION {"citationItems":[{"id":"ITEM-1","itemData":{"DOI":"10.2215/CJN.01590215","ISSN":"1555905X","PMID":"26358266","abstract":"Background and objectives Recombinant human erythropoietin (epoetin) is used routinely to increase blood hemoglobin levels in patients with ESRD and anemia. Although lower doses of epoetin are required to achieve equivalent hemoglobin responses when administered subcutaneously rather than intravenously, standard practice has been to administer epoetin to patients on hemodialysis intravenously. Randomized trials of alternative epoetin treatment regimens in patients with kidney failure have shown that risks of cardiovascular complications and death are related to the dose levels of epoetin used. Therefore, given the dose-sparing advantages of subcutaneous epoetin administration, the possibility that treatment of patients on hemodialysis with subcutaneous epoetin might be associated with more favorable outcomes compared with intravenous treatment was investigated. Design, setting, participants, &amp; measurements A retrospective cohort study of 62,710 adult patients on hemodialysis treated with either intravenous or subcutaneous epoetin-</w:instrText>
      </w:r>
      <w:r w:rsidRPr="007672FD">
        <w:rPr>
          <w:rFonts w:ascii="Cambria" w:hAnsi="Cambria" w:cs="Cambria"/>
          <w:sz w:val="20"/>
          <w:szCs w:val="20"/>
        </w:rPr>
        <w:instrText>α</w:instrText>
      </w:r>
      <w:r w:rsidRPr="007672FD">
        <w:rPr>
          <w:rFonts w:ascii="Calisto MT" w:hAnsi="Calisto MT" w:cs="Times New Roman"/>
          <w:sz w:val="20"/>
          <w:szCs w:val="20"/>
        </w:rPr>
        <w:instrText xml:space="preserve"> and enrolled in the Centers for Medicare and Medicaid Services ESRD Clinical Performance Measures Project from 1997 to 2005 was carried out. Risks of death and/or hospitalization for cardiovascular complications (adverse composite event outcomes) during 2 years of follow-up were determined in relationship to epoetin dose and route of administration (intravenous versus subcutaneous) by multivariate Cox proportional hazard modeling adjusted for demographics and clinical parameters. Results Epoetin doses used to achieve equivalent hemoglobin responses in study patients were, on average, 25% higher when epoetin was administered intravenously rather than subcutaneously (as expected). Moreover, adverse composite event outcomes were found to be significantly more likely to occur during follow-up for patients on hemodialysis managed with intravenous rather than subcutaneous epoetin (adjusted hazard ratio for adverse events within 1 year [intravenous versus subcutaneous] was 1.11 [95% confidence interval, 1.04 to 1.18]). Conclusions This study finds that treatment of patients on hemodialysis with subcutaneous epoetin is associated with more favorable clinical outcomes than those associated with intravenous epoetin treatment.","author":[{"dropping-particle":"","family":"Wright","given":"Daniel G.","non-dropping-particle":"","parse-names":false,"suffix":""},{"dropping-particle":"","family":"Wright","given":"Elizabeth C.","non-dropping-particle":"","parse-names":false,"suffix":""},{"dropping-particle":"","family":"Narva","given":"Andrew S.","non-dropping-particle":"","parse-names":false,"suffix":""},{"dropping-particle":"","family":"Noguchi","given":"Constance T.","non-dropping-particle":"","parse-names":false,"suffix":""},{"dropping-particle":"","family":"Eggers","given":"Paul W.","non-dropping-particle":"","parse-names":false,"suffix":""}],"container-title":"Clinical Journal of the American Society of Nephrology","id":"ITEM-1","issue":"10","issued":{"date-parts":[["2015"]]},"page":"1822-1830","title":"Association of erythropoietin dose and route of administration with clinical outcomes for patients on hemodialysis in the United States","type":"article-journal","volume":"10"},"uris":["http://www.mendeley.com/documents/?uuid=6ad86c72-32c0-4597-9873-38354672d51f"]}],"mendeley":{"formattedCitation":"(Wright et al., 2015)","plainTextFormattedCitation":"(Wright et al., 2015)","previouslyFormattedCitation":"(Wright et al., 2015)"},"properties":{"noteIndex":0},"schema":"https://github.com/citation-style-language/schema/raw/master/csl-citation.json"}</w:instrText>
      </w:r>
      <w:r w:rsidRPr="007672FD">
        <w:rPr>
          <w:rFonts w:ascii="Calisto MT" w:hAnsi="Calisto MT" w:cs="Times New Roman"/>
          <w:sz w:val="20"/>
          <w:szCs w:val="20"/>
        </w:rPr>
        <w:fldChar w:fldCharType="separate"/>
      </w:r>
      <w:r w:rsidRPr="007672FD">
        <w:rPr>
          <w:rFonts w:ascii="Calisto MT" w:hAnsi="Calisto MT" w:cs="Times New Roman"/>
          <w:noProof/>
          <w:sz w:val="20"/>
          <w:szCs w:val="20"/>
        </w:rPr>
        <w:t>(Wright et al., 2015)</w:t>
      </w:r>
      <w:r w:rsidRPr="007672FD">
        <w:rPr>
          <w:rFonts w:ascii="Calisto MT" w:hAnsi="Calisto MT" w:cs="Times New Roman"/>
          <w:sz w:val="20"/>
          <w:szCs w:val="20"/>
        </w:rPr>
        <w:fldChar w:fldCharType="end"/>
      </w:r>
      <w:r w:rsidRPr="007672FD">
        <w:rPr>
          <w:rFonts w:ascii="Calisto MT" w:hAnsi="Calisto MT" w:cs="Times New Roman"/>
          <w:sz w:val="20"/>
          <w:szCs w:val="20"/>
        </w:rPr>
        <w:t xml:space="preserve"> Pemberian eritropoietin diberikan kepada pasien hemodialisa </w:t>
      </w:r>
      <w:r w:rsidRPr="007672FD">
        <w:rPr>
          <w:rFonts w:ascii="Calisto MT" w:hAnsi="Calisto MT" w:cs="Times New Roman"/>
          <w:sz w:val="20"/>
          <w:szCs w:val="20"/>
          <w:lang w:val="id-ID"/>
        </w:rPr>
        <w:t xml:space="preserve">rata-rata 25% lebih tinggi dengan cara intra vena </w:t>
      </w:r>
      <w:r w:rsidRPr="007672FD">
        <w:rPr>
          <w:rFonts w:ascii="Calisto MT" w:hAnsi="Calisto MT" w:cs="Times New Roman"/>
          <w:sz w:val="20"/>
          <w:szCs w:val="20"/>
        </w:rPr>
        <w:t>dengan hasil signifikan meningkatkan hemoglobin (Hb)</w:t>
      </w:r>
    </w:p>
    <w:p w14:paraId="011E7C1F" w14:textId="77777777" w:rsidR="00287BA6" w:rsidRPr="007672FD" w:rsidRDefault="008D1CAD"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Penelitian yang dilakukan </w:t>
      </w:r>
      <w:r w:rsidRPr="007672FD">
        <w:rPr>
          <w:rFonts w:ascii="Calisto MT" w:hAnsi="Calisto MT" w:cs="Times New Roman"/>
          <w:sz w:val="20"/>
          <w:szCs w:val="20"/>
          <w:lang w:val="nl-NL"/>
        </w:rPr>
        <w:fldChar w:fldCharType="begin" w:fldLock="1"/>
      </w:r>
      <w:r w:rsidRPr="007672FD">
        <w:rPr>
          <w:rFonts w:ascii="Calisto MT" w:hAnsi="Calisto MT" w:cs="Times New Roman"/>
          <w:sz w:val="20"/>
          <w:szCs w:val="20"/>
          <w:lang w:val="nl-NL"/>
        </w:rPr>
        <w:instrText>ADDIN CSL_CITATION {"citationItems":[{"id":"ITEM-1","itemData":{"DOI":"10.1093/CKJ/SFZ091","ISSN":"20488513","abstract":"Background. International variation in anemia assessment and management practices in chronic kidney disease (CKD) is poorly understood. Methods. We performed a cross-sectional analysis of anemia laboratory monitoring, prevalence and management in the prospective Chronic Kidney Disease Outcomes and Practice Patterns Study (CKDopps). A total of 6766 participants with CKD Stages 3a-5ND from nephrology clinics in Brazil, France, Germany and the USA were included. Results. Among patients with anemia (hemoglobin &lt;12 g/dL), 36-58% in Brazil, the USA and Germany had repeat hemoglobin measured and 40-61% had iron indices measured within 3 months of the index hemoglobin measurement. Anemia was more common in the USA and Brazil than in France and Germany across CKD stages. Higher ferritin and lower iron saturation (TSAT) levels were observed with lower hemoglobin levels, and higher ferritin with more advanced CKD. The proportion of anemic patients with ferritin &lt;100 ng/mL or TSAT &lt;20% ranged from 42% in Brazil to 53% in France and Germany, and of these patients, over 40% in Brazil, Germany and the USA, compared with 27% in France, were treated with oral or intravenous iron within 3 months after hemoglobin measurement. The proportion of patients with hemoglobin &lt;10 g/dL treated with erythropoiesis-stimulating agents ranged from 28% in the USA to 57% in Germany. Conclusions. Hemoglobin and iron stores are measured less frequently than per guidelines. Among all regions, there was a substantial proportion of anemic patients with iron deficiency who were not treated with iron, highlighting an area for practice improvement in CKD care.","author":[{"dropping-particle":"","family":"Wong","given":"Michelle M.Y.","non-dropping-particle":"","parse-names":false,"suffix":""},{"dropping-particle":"","family":"Tu","given":"Charlotte","non-dropping-particle":"","parse-names":false,"suffix":""},{"dropping-particle":"","family":"Li","given":"Yun","non-dropping-particle":"","parse-names":false,"suffix":""},{"dropping-particle":"","family":"Perlman","given":"Rachel L.","non-dropping-particle":"","parse-names":false,"suffix":""},{"dropping-particle":"","family":"Pecoits-Filho","given":"Roberto","non-dropping-particle":"","parse-names":false,"suffix":""},{"dropping-particle":"","family":"Lopes","given":"Antonio A.","non-dropping-particle":"","parse-names":false,"suffix":""},{"dropping-particle":"","family":"Narita","given":"Ichiei","non-dropping-particle":"","parse-names":false,"suffix":""},{"dropping-particle":"","family":"Reichel","given":"Helmut","non-dropping-particle":"","parse-names":false,"suffix":""},{"dropping-particle":"","family":"Port","given":"Friedrich K.","non-dropping-particle":"","parse-names":false,"suffix":""},{"dropping-particle":"","family":"Sukul","given":"Nidhi","non-dropping-particle":"","parse-names":false,"suffix":""},{"dropping-particle":"","family":"Stengel","given":"Benedicte","non-dropping-particle":"","parse-names":false,"suffix":""},{"dropping-particle":"","family":"Robinson","given":"Bruce M.","non-dropping-particle":"","parse-names":false,"suffix":""},{"dropping-particle":"","family":"Massy","given":"Ziad A.","non-dropping-particle":"","parse-names":false,"suffix":""},{"dropping-particle":"","family":"Pisoni","given":"Ronald L.","non-dropping-particle":"","parse-names":false,"suffix":""}],"container-title":"Clinical Kidney Journal","id":"ITEM-1","issue":"4","issued":{"date-parts":[["2021"]]},"page":"613-624","title":"Anemia and iron deficiency among chronic kidney disease Stages 3-5ND patients in the chronic kidney disease outcomes and practice patterns study: Often unmeasured, variably treated","type":"article-journal","volume":"13"},"uris":["http://www.mendeley.com/documents/?uuid=d030f3bb-3786-40e1-a7cb-8f17d82323b2"]}],"mendeley":{"formattedCitation":"(Wong et al., 2021)","plainTextFormattedCitation":"(Wong et al., 2021)","previouslyFormattedCitation":"(Wong et al., 2021)"},"properties":{"noteIndex":0},"schema":"https://github.com/citation-style-language/schema/raw/master/csl-citation.json"}</w:instrText>
      </w:r>
      <w:r w:rsidRPr="007672FD">
        <w:rPr>
          <w:rFonts w:ascii="Calisto MT" w:hAnsi="Calisto MT" w:cs="Times New Roman"/>
          <w:sz w:val="20"/>
          <w:szCs w:val="20"/>
          <w:lang w:val="nl-NL"/>
        </w:rPr>
        <w:fldChar w:fldCharType="separate"/>
      </w:r>
      <w:r w:rsidRPr="007672FD">
        <w:rPr>
          <w:rFonts w:ascii="Calisto MT" w:hAnsi="Calisto MT" w:cs="Times New Roman"/>
          <w:noProof/>
          <w:sz w:val="20"/>
          <w:szCs w:val="20"/>
          <w:lang w:val="nl-NL"/>
        </w:rPr>
        <w:t>(Wong et al., 2021)</w:t>
      </w:r>
      <w:r w:rsidRPr="007672FD">
        <w:rPr>
          <w:rFonts w:ascii="Calisto MT" w:hAnsi="Calisto MT" w:cs="Times New Roman"/>
          <w:sz w:val="20"/>
          <w:szCs w:val="20"/>
          <w:lang w:val="nl-NL"/>
        </w:rPr>
        <w:fldChar w:fldCharType="end"/>
      </w:r>
      <w:r w:rsidRPr="007672FD">
        <w:rPr>
          <w:rFonts w:ascii="Calisto MT" w:hAnsi="Calisto MT" w:cs="Times New Roman"/>
          <w:sz w:val="20"/>
          <w:szCs w:val="20"/>
          <w:lang w:val="id-ID"/>
        </w:rPr>
        <w:t>Proporsi pasien dengan hemoglobin &lt;10</w:t>
      </w:r>
      <w:r w:rsidRPr="007672FD">
        <w:rPr>
          <w:rFonts w:ascii="Times New Roman" w:hAnsi="Times New Roman" w:cs="Times New Roman"/>
          <w:sz w:val="20"/>
          <w:szCs w:val="20"/>
          <w:lang w:val="id-ID"/>
        </w:rPr>
        <w:t> </w:t>
      </w:r>
      <w:r w:rsidRPr="007672FD">
        <w:rPr>
          <w:rFonts w:ascii="Calisto MT" w:hAnsi="Calisto MT" w:cs="Times New Roman"/>
          <w:sz w:val="20"/>
          <w:szCs w:val="20"/>
          <w:lang w:val="id-ID"/>
        </w:rPr>
        <w:t>g/dL yang diobati dengan agen perangsang eritropoiesis berkisar antara 28% di AS hingga 57% di Jerman.</w:t>
      </w:r>
    </w:p>
    <w:p w14:paraId="7B90A00D" w14:textId="3A343D3F" w:rsidR="000F77C9" w:rsidRPr="007672FD" w:rsidRDefault="000F77C9"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X4 (Tingkat Pengetahuan)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 xml:space="preserve">Y2 (Anemia pada pasien penyakit ginjal kronis yang </w:t>
      </w:r>
      <w:r w:rsidRPr="007672FD">
        <w:rPr>
          <w:rFonts w:ascii="Calisto MT" w:hAnsi="Calisto MT" w:cs="Times New Roman"/>
          <w:sz w:val="20"/>
          <w:szCs w:val="20"/>
        </w:rPr>
        <w:lastRenderedPageBreak/>
        <w:t>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signifikan</w:t>
      </w:r>
      <w:r w:rsidRPr="007672FD">
        <w:rPr>
          <w:rFonts w:ascii="Calisto MT" w:hAnsi="Calisto MT" w:cs="Times New Roman"/>
          <w:sz w:val="20"/>
          <w:szCs w:val="20"/>
          <w:lang w:val="nl-NL"/>
        </w:rPr>
        <w:t xml:space="preserve">, dengan p-value lebih kecil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(0.030 &lt; 0.050). variabel Y1 menjadi mediasi pengaruh variabel X4 terhadap Y2.</w:t>
      </w:r>
    </w:p>
    <w:p w14:paraId="76590848" w14:textId="77777777" w:rsidR="000F77C9" w:rsidRPr="007672FD" w:rsidRDefault="000F77C9" w:rsidP="007672FD">
      <w:pPr>
        <w:tabs>
          <w:tab w:val="left" w:pos="2394"/>
        </w:tabs>
        <w:ind w:right="-1"/>
        <w:outlineLvl w:val="3"/>
        <w:rPr>
          <w:rFonts w:ascii="Calisto MT" w:hAnsi="Calisto MT" w:cs="Times New Roman"/>
          <w:sz w:val="20"/>
          <w:szCs w:val="20"/>
          <w:lang w:val="nl-NL"/>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X5 (kreatinin)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Y2 (Anemia pada pasien penyakit ginjal kronis yang 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tidak signifikan</w:t>
      </w:r>
      <w:r w:rsidRPr="007672FD">
        <w:rPr>
          <w:rFonts w:ascii="Calisto MT" w:hAnsi="Calisto MT" w:cs="Times New Roman"/>
          <w:sz w:val="20"/>
          <w:szCs w:val="20"/>
          <w:lang w:val="nl-NL"/>
        </w:rPr>
        <w:t xml:space="preserve">, dengan p-value lebih besar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(0.577 &gt; 0.050). variabel Y1 tidak menjadi mediasi pengaruh variabel X5 terhadap Y2.</w:t>
      </w:r>
    </w:p>
    <w:p w14:paraId="07494DBE" w14:textId="20F6DAEC" w:rsidR="00CC1A35" w:rsidRPr="007672FD" w:rsidRDefault="000F77C9" w:rsidP="007672FD">
      <w:pPr>
        <w:tabs>
          <w:tab w:val="left" w:pos="2394"/>
        </w:tabs>
        <w:ind w:right="-1"/>
        <w:outlineLvl w:val="3"/>
        <w:rPr>
          <w:rFonts w:ascii="Calisto MT" w:hAnsi="Calisto MT" w:cs="Times New Roman"/>
          <w:sz w:val="20"/>
          <w:szCs w:val="20"/>
        </w:rPr>
      </w:pPr>
      <w:r w:rsidRPr="007672FD">
        <w:rPr>
          <w:rFonts w:ascii="Calisto MT" w:hAnsi="Calisto MT" w:cs="Times New Roman"/>
          <w:sz w:val="20"/>
          <w:szCs w:val="20"/>
          <w:lang w:val="nl-NL"/>
        </w:rPr>
        <w:t xml:space="preserve">Pengaruh tidak langsung </w:t>
      </w:r>
      <w:r w:rsidRPr="007672FD">
        <w:rPr>
          <w:rFonts w:ascii="Calisto MT" w:hAnsi="Calisto MT" w:cs="Times New Roman"/>
          <w:sz w:val="20"/>
          <w:szCs w:val="20"/>
        </w:rPr>
        <w:t xml:space="preserve">variabel X6 (ureum) </w:t>
      </w:r>
      <w:r w:rsidRPr="007672FD">
        <w:rPr>
          <w:rFonts w:ascii="Calisto MT" w:hAnsi="Calisto MT" w:cs="Times New Roman"/>
          <w:sz w:val="20"/>
          <w:szCs w:val="20"/>
          <w:lang w:val="nl-NL"/>
        </w:rPr>
        <w:t xml:space="preserve">terhadap variabel </w:t>
      </w:r>
      <w:r w:rsidRPr="007672FD">
        <w:rPr>
          <w:rFonts w:ascii="Calisto MT" w:hAnsi="Calisto MT" w:cs="Times New Roman"/>
          <w:sz w:val="20"/>
          <w:szCs w:val="20"/>
        </w:rPr>
        <w:t>Y2 (Anemia pada pasien penyakit ginjal kronis yang menjalani hemodialisis)</w:t>
      </w:r>
      <w:r w:rsidRPr="007672FD">
        <w:rPr>
          <w:rFonts w:ascii="Calisto MT" w:hAnsi="Calisto MT" w:cs="Times New Roman"/>
          <w:sz w:val="20"/>
          <w:szCs w:val="20"/>
          <w:lang w:val="nl-NL"/>
        </w:rPr>
        <w:t xml:space="preserve"> melalui variabel </w:t>
      </w:r>
      <w:r w:rsidRPr="007672FD">
        <w:rPr>
          <w:rFonts w:ascii="Calisto MT" w:hAnsi="Calisto MT" w:cs="Times New Roman"/>
          <w:sz w:val="20"/>
          <w:szCs w:val="20"/>
        </w:rPr>
        <w:t xml:space="preserve">Y1 (konsumsi EPO) adalah </w:t>
      </w:r>
      <w:r w:rsidRPr="007672FD">
        <w:rPr>
          <w:rFonts w:ascii="Calisto MT" w:hAnsi="Calisto MT" w:cs="Times New Roman"/>
          <w:b/>
          <w:sz w:val="20"/>
          <w:szCs w:val="20"/>
        </w:rPr>
        <w:t>tidak signifikan</w:t>
      </w:r>
      <w:r w:rsidRPr="007672FD">
        <w:rPr>
          <w:rFonts w:ascii="Calisto MT" w:hAnsi="Calisto MT" w:cs="Times New Roman"/>
          <w:sz w:val="20"/>
          <w:szCs w:val="20"/>
          <w:lang w:val="nl-NL"/>
        </w:rPr>
        <w:t xml:space="preserve">, dengan p-value lebih besar dari </w:t>
      </w:r>
      <w:r w:rsidRPr="007672FD">
        <w:rPr>
          <w:rFonts w:ascii="Cambria" w:hAnsi="Cambria" w:cs="Cambria"/>
          <w:sz w:val="20"/>
          <w:szCs w:val="20"/>
          <w:lang w:val="nl-NL"/>
        </w:rPr>
        <w:t>α</w:t>
      </w:r>
      <w:r w:rsidRPr="007672FD">
        <w:rPr>
          <w:rFonts w:ascii="Calisto MT" w:hAnsi="Calisto MT" w:cs="Times New Roman"/>
          <w:sz w:val="20"/>
          <w:szCs w:val="20"/>
          <w:lang w:val="nl-NL"/>
        </w:rPr>
        <w:t xml:space="preserve"> (0.310 &gt; 0.050). variabel Y1 tidak menjadi mediasi pengaruh variabel X6 terhadap Y2</w:t>
      </w:r>
      <w:r w:rsidR="00CC1A35" w:rsidRPr="007672FD">
        <w:rPr>
          <w:rFonts w:ascii="Calisto MT" w:hAnsi="Calisto MT" w:cs="Times New Roman"/>
          <w:sz w:val="20"/>
          <w:szCs w:val="20"/>
        </w:rPr>
        <w:t>.</w:t>
      </w:r>
    </w:p>
    <w:p w14:paraId="40661A20" w14:textId="49FDD2A9" w:rsidR="00E876E9" w:rsidRDefault="0044603C" w:rsidP="00622712">
      <w:pPr>
        <w:tabs>
          <w:tab w:val="left" w:pos="2394"/>
        </w:tabs>
        <w:ind w:right="-1"/>
        <w:outlineLvl w:val="3"/>
        <w:rPr>
          <w:rFonts w:ascii="Calisto MT" w:hAnsi="Calisto MT" w:cs="Times New Roman"/>
          <w:sz w:val="20"/>
          <w:szCs w:val="20"/>
        </w:rPr>
      </w:pPr>
      <w:r w:rsidRPr="007672FD">
        <w:rPr>
          <w:rFonts w:ascii="Calisto MT" w:hAnsi="Calisto MT" w:cs="Times New Roman"/>
          <w:sz w:val="20"/>
          <w:szCs w:val="20"/>
        </w:rPr>
        <w:t xml:space="preserve">Penelitian yang dilakukan oleh </w:t>
      </w:r>
      <w:r w:rsidRPr="007672FD">
        <w:rPr>
          <w:rFonts w:ascii="Calisto MT" w:hAnsi="Calisto MT" w:cs="Times New Roman"/>
          <w:sz w:val="20"/>
          <w:szCs w:val="20"/>
        </w:rPr>
        <w:fldChar w:fldCharType="begin" w:fldLock="1"/>
      </w:r>
      <w:r w:rsidR="004429DA" w:rsidRPr="007672FD">
        <w:rPr>
          <w:rFonts w:ascii="Calisto MT" w:hAnsi="Calisto MT" w:cs="Times New Roman"/>
          <w:sz w:val="20"/>
          <w:szCs w:val="20"/>
        </w:rPr>
        <w:instrText>ADDIN CSL_CITATION {"citationItems":[{"id":"ITEM-1","itemData":{"DOI":"10.15761/nrd.1000101","abstract":"Anemia refers to an absolute reduction of the total number of circulating red blood cells (RBC), resulting in a reduction of hemoglobin (Hb) concentration. Anemia is a frequent complication in chronic kidney disease (CKD), and it is often accompanied by various clinical symptoms. The primary cause of anemia in CKD patients is the reduction in the erythropoietin production, which results in a decrease of signaling molecule that stimulates red blood cell production. Other possible causes of anemia in CKD include iron deficiency, inflammation, and the accumulation of uremic toxins This chapter focuses the discussion on the strategy of the management of anemia in patients with CKD. Erythropoiesis-stimulating agents (ESAs) and adjuvant iron therapy represent the primary treatment for anemia in chronic kidney disease. The introduction of ESAs into clinical practice was a success goal, mediating an increase in hemoglobin concentrations without the risk for recurrent blood transfusions and improving quality of life substantially","author":[{"dropping-particle":"","family":"Fernando Rivera","given":"Rodolfo","non-dropping-particle":"","parse-names":false,"suffix":""},{"dropping-particle":"","family":"Lullo","given":"Luca","non-dropping-particle":"Di","parse-names":false,"suffix":""},{"dropping-particle":"","family":"Pascalis","given":"Antonio","non-dropping-particle":"De","parse-names":false,"suffix":""},{"dropping-particle":"","family":"Floccari","given":"Fulvio","non-dropping-particle":"","parse-names":false,"suffix":""},{"dropping-particle":"","family":"Joli","given":"Giancarlo","non-dropping-particle":"","parse-names":false,"suffix":""},{"dropping-particle":"","family":"Pezzini","given":"Elena","non-dropping-particle":"","parse-names":false,"suffix":""},{"dropping-particle":"","family":"Brioni","given":"Elena","non-dropping-particle":"","parse-names":false,"suffix":""},{"dropping-particle":"","family":"Sciarrone Alibrandi","given":"Maria Teresa","non-dropping-particle":"","parse-names":false,"suffix":""}],"container-title":"Nephrology and Renal Diseases","id":"ITEM-1","issue":"1","issued":{"date-parts":[["2016"]]},"page":"1-9","title":"Anemia in Patients with Chronic Kidney Disease: Current Screening and management Approaches","type":"article-journal","volume":"1"},"uris":["http://www.mendeley.com/documents/?uuid=c13de2ab-21f1-4caf-8fb3-d935a66155cf"]}],"mendeley":{"formattedCitation":"(Fernando Rivera et al., 2016)","plainTextFormattedCitation":"(Fernando Rivera et al., 2016)","previouslyFormattedCitation":"(Fernando Rivera et al., 2016)"},"properties":{"noteIndex":0},"schema":"https://github.com/citation-style-language/schema/raw/master/csl-citation.json"}</w:instrText>
      </w:r>
      <w:r w:rsidRPr="007672FD">
        <w:rPr>
          <w:rFonts w:ascii="Calisto MT" w:hAnsi="Calisto MT" w:cs="Times New Roman"/>
          <w:sz w:val="20"/>
          <w:szCs w:val="20"/>
        </w:rPr>
        <w:fldChar w:fldCharType="separate"/>
      </w:r>
      <w:r w:rsidRPr="007672FD">
        <w:rPr>
          <w:rFonts w:ascii="Calisto MT" w:hAnsi="Calisto MT" w:cs="Times New Roman"/>
          <w:noProof/>
          <w:sz w:val="20"/>
          <w:szCs w:val="20"/>
        </w:rPr>
        <w:t>(Fernando Rivera et al., 2016)</w:t>
      </w:r>
      <w:r w:rsidRPr="007672FD">
        <w:rPr>
          <w:rFonts w:ascii="Calisto MT" w:hAnsi="Calisto MT" w:cs="Times New Roman"/>
          <w:sz w:val="20"/>
          <w:szCs w:val="20"/>
        </w:rPr>
        <w:fldChar w:fldCharType="end"/>
      </w:r>
      <w:r w:rsidRPr="007672FD">
        <w:rPr>
          <w:rFonts w:ascii="Calisto MT" w:hAnsi="Calisto MT" w:cs="Times New Roman"/>
          <w:sz w:val="20"/>
          <w:szCs w:val="20"/>
        </w:rPr>
        <w:t xml:space="preserve"> </w:t>
      </w:r>
      <w:r w:rsidRPr="007672FD">
        <w:rPr>
          <w:rFonts w:ascii="Calisto MT" w:hAnsi="Calisto MT" w:cs="Times New Roman"/>
          <w:sz w:val="20"/>
          <w:szCs w:val="20"/>
          <w:lang w:val="id-ID"/>
        </w:rPr>
        <w:t xml:space="preserve">Penyebab utama anemia pada pasien </w:t>
      </w:r>
      <w:r w:rsidRPr="007672FD">
        <w:rPr>
          <w:rFonts w:ascii="Calisto MT" w:hAnsi="Calisto MT" w:cs="Times New Roman"/>
          <w:sz w:val="20"/>
          <w:szCs w:val="20"/>
        </w:rPr>
        <w:t>penyakit ginjal kronis</w:t>
      </w:r>
      <w:r w:rsidRPr="007672FD">
        <w:rPr>
          <w:rFonts w:ascii="Calisto MT" w:hAnsi="Calisto MT" w:cs="Times New Roman"/>
          <w:sz w:val="20"/>
          <w:szCs w:val="20"/>
          <w:lang w:val="id-ID"/>
        </w:rPr>
        <w:t xml:space="preserve"> adalah penurunan produksi eritropoietin, yang mengakibatkan penurunan molekul sinyal yang merangsang produksi sel darah merah. Kemungkinan penyebab lain anemia pada pasien penyakit ginjal kronis termasuk kekurangan zat besi, peradangan, dan akumulasi racun uremik</w:t>
      </w:r>
      <w:r w:rsidR="007672FD">
        <w:rPr>
          <w:rFonts w:ascii="Calisto MT" w:hAnsi="Calisto MT" w:cs="Times New Roman"/>
          <w:sz w:val="20"/>
          <w:szCs w:val="20"/>
        </w:rPr>
        <w:t>.</w:t>
      </w:r>
    </w:p>
    <w:p w14:paraId="29877C08" w14:textId="77777777" w:rsidR="00622712" w:rsidRPr="00622712" w:rsidRDefault="00622712" w:rsidP="00622712">
      <w:pPr>
        <w:tabs>
          <w:tab w:val="left" w:pos="2394"/>
        </w:tabs>
        <w:ind w:right="-1"/>
        <w:outlineLvl w:val="3"/>
        <w:rPr>
          <w:rFonts w:ascii="Calisto MT" w:hAnsi="Calisto MT" w:cs="Times New Roman"/>
          <w:sz w:val="20"/>
          <w:szCs w:val="20"/>
        </w:rPr>
      </w:pPr>
    </w:p>
    <w:p w14:paraId="759362CD" w14:textId="588AD2F3" w:rsidR="007A48D1" w:rsidRPr="007A48D1" w:rsidRDefault="007A48D1" w:rsidP="00426EF7">
      <w:pPr>
        <w:pStyle w:val="Heading2"/>
      </w:pPr>
      <w:r w:rsidRPr="007A48D1">
        <w:t xml:space="preserve">CONCLUSION </w:t>
      </w:r>
    </w:p>
    <w:p w14:paraId="545D8F6F" w14:textId="3E2B86AC" w:rsidR="00BF7C53" w:rsidRDefault="00DF20EE" w:rsidP="00BF7C53">
      <w:pPr>
        <w:autoSpaceDE w:val="0"/>
        <w:autoSpaceDN w:val="0"/>
        <w:adjustRightInd w:val="0"/>
        <w:outlineLvl w:val="3"/>
        <w:rPr>
          <w:rFonts w:ascii="Calisto MT" w:eastAsia="Times New Roman" w:hAnsi="Calisto MT" w:cs="Times New Roman"/>
          <w:bCs/>
          <w:sz w:val="20"/>
          <w:szCs w:val="20"/>
          <w:lang w:val="id-ID"/>
        </w:rPr>
      </w:pPr>
      <w:r w:rsidRPr="008914AD">
        <w:rPr>
          <w:rFonts w:ascii="Calisto MT" w:eastAsia="Times New Roman" w:hAnsi="Calisto MT" w:cs="Times New Roman"/>
          <w:bCs/>
          <w:sz w:val="20"/>
          <w:szCs w:val="20"/>
        </w:rPr>
        <w:t xml:space="preserve">Berdasarkan penelitian ini dapat disimpulkan bahwa </w:t>
      </w:r>
      <w:r w:rsidR="001C433A">
        <w:rPr>
          <w:rFonts w:ascii="Calisto MT" w:eastAsia="Times New Roman" w:hAnsi="Calisto MT" w:cs="Times New Roman"/>
          <w:bCs/>
          <w:sz w:val="20"/>
          <w:szCs w:val="20"/>
          <w:lang w:val="id-ID"/>
        </w:rPr>
        <w:t xml:space="preserve">terdapat </w:t>
      </w:r>
      <w:r w:rsidRPr="008914AD">
        <w:rPr>
          <w:rFonts w:ascii="Calisto MT" w:eastAsia="Times New Roman" w:hAnsi="Calisto MT" w:cs="Times New Roman"/>
          <w:bCs/>
          <w:sz w:val="20"/>
          <w:szCs w:val="20"/>
        </w:rPr>
        <w:t>pengaruh</w:t>
      </w:r>
      <w:r w:rsidR="00982871">
        <w:rPr>
          <w:rFonts w:ascii="Calisto MT" w:eastAsia="Times New Roman" w:hAnsi="Calisto MT" w:cs="Times New Roman"/>
          <w:bCs/>
          <w:sz w:val="20"/>
          <w:szCs w:val="20"/>
        </w:rPr>
        <w:t xml:space="preserve"> secara langsung dan tidak langsung</w:t>
      </w:r>
      <w:r w:rsidRPr="008914AD">
        <w:rPr>
          <w:rFonts w:ascii="Calisto MT" w:eastAsia="Times New Roman" w:hAnsi="Calisto MT" w:cs="Times New Roman"/>
          <w:bCs/>
          <w:sz w:val="20"/>
          <w:szCs w:val="20"/>
        </w:rPr>
        <w:t xml:space="preserve">. </w:t>
      </w:r>
      <w:r w:rsidR="001C433A" w:rsidRPr="003C1602">
        <w:rPr>
          <w:rFonts w:ascii="Calisto MT" w:eastAsia="Times New Roman" w:hAnsi="Calisto MT" w:cs="Times New Roman"/>
          <w:bCs/>
          <w:sz w:val="20"/>
          <w:szCs w:val="20"/>
          <w:lang w:val="id-ID"/>
        </w:rPr>
        <w:t>Sehingga dapat me</w:t>
      </w:r>
      <w:r w:rsidR="00982871">
        <w:rPr>
          <w:rFonts w:ascii="Calisto MT" w:eastAsia="Times New Roman" w:hAnsi="Calisto MT" w:cs="Times New Roman"/>
          <w:bCs/>
          <w:sz w:val="20"/>
          <w:szCs w:val="20"/>
          <w:lang w:val="id-ID"/>
        </w:rPr>
        <w:t>nambah pengetahuan pasien penyakit ginjal kronis untuk mengontrol anemia</w:t>
      </w:r>
      <w:r w:rsidR="001C433A" w:rsidRPr="003C1602">
        <w:rPr>
          <w:rFonts w:ascii="Calisto MT" w:eastAsia="Times New Roman" w:hAnsi="Calisto MT" w:cs="Times New Roman"/>
          <w:bCs/>
          <w:sz w:val="20"/>
          <w:szCs w:val="20"/>
          <w:lang w:val="id-ID"/>
        </w:rPr>
        <w:t>.</w:t>
      </w:r>
    </w:p>
    <w:p w14:paraId="302C9506" w14:textId="77777777" w:rsidR="00426EF7" w:rsidRDefault="00426EF7" w:rsidP="00426EF7">
      <w:pPr>
        <w:pStyle w:val="Heading2"/>
        <w:rPr>
          <w:lang w:val="id-ID"/>
        </w:rPr>
      </w:pPr>
    </w:p>
    <w:p w14:paraId="10FEFC15" w14:textId="2F3C047E" w:rsidR="00E876E9" w:rsidRPr="003C1602" w:rsidRDefault="003C1602" w:rsidP="00E876E9">
      <w:pPr>
        <w:pStyle w:val="Heading2"/>
        <w:rPr>
          <w:lang w:val="id-ID"/>
        </w:rPr>
      </w:pPr>
      <w:r>
        <w:rPr>
          <w:lang w:val="id-ID"/>
        </w:rPr>
        <w:t>ucapan terimakasih</w:t>
      </w:r>
    </w:p>
    <w:p w14:paraId="0938EC10" w14:textId="0E2D96CB" w:rsidR="00DF20EE" w:rsidRPr="00DF20EE" w:rsidRDefault="00DF20EE" w:rsidP="00DF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rFonts w:ascii="Calisto MT" w:eastAsia="Times New Roman" w:hAnsi="Calisto MT" w:cs="Courier New"/>
          <w:sz w:val="20"/>
          <w:szCs w:val="20"/>
          <w:lang w:val="id-ID" w:eastAsia="id-ID"/>
        </w:rPr>
      </w:pPr>
      <w:r>
        <w:rPr>
          <w:rFonts w:ascii="Calisto MT" w:eastAsia="Times New Roman" w:hAnsi="Calisto MT" w:cs="Courier New"/>
          <w:sz w:val="20"/>
          <w:szCs w:val="20"/>
          <w:lang w:val="id-ID" w:eastAsia="id-ID"/>
        </w:rPr>
        <w:t>Ucapan terima kasih saya</w:t>
      </w:r>
      <w:r w:rsidRPr="00DF20EE">
        <w:rPr>
          <w:rFonts w:ascii="Calisto MT" w:eastAsia="Times New Roman" w:hAnsi="Calisto MT" w:cs="Courier New"/>
          <w:sz w:val="20"/>
          <w:szCs w:val="20"/>
          <w:lang w:val="id-ID" w:eastAsia="id-ID"/>
        </w:rPr>
        <w:t xml:space="preserve"> sampaikan kepada </w:t>
      </w:r>
      <w:r w:rsidR="001302B8">
        <w:rPr>
          <w:rFonts w:ascii="Calisto MT" w:eastAsia="Times New Roman" w:hAnsi="Calisto MT" w:cs="Courier New"/>
          <w:sz w:val="20"/>
          <w:szCs w:val="20"/>
          <w:lang w:eastAsia="id-ID"/>
        </w:rPr>
        <w:t>Bapak dan Ibu pembimbing yang telah memberikan kritik dan saran. Semoga penelitian path analisysis ini memberikan pengetahuan kepada pasien penyakit ginjal kronis untuk mengontrol terjadinya anemia kemudian</w:t>
      </w:r>
      <w:r w:rsidRPr="00DF20EE">
        <w:rPr>
          <w:rFonts w:ascii="Calisto MT" w:eastAsia="Times New Roman" w:hAnsi="Calisto MT" w:cs="Courier New"/>
          <w:sz w:val="20"/>
          <w:szCs w:val="20"/>
          <w:lang w:val="id-ID" w:eastAsia="id-ID"/>
        </w:rPr>
        <w:t xml:space="preserve"> kepada Universitas Negeri Semarang yang telah memberikan izin dan fasilitas selama penelitian ini </w:t>
      </w:r>
      <w:r>
        <w:rPr>
          <w:rFonts w:ascii="Calisto MT" w:eastAsia="Times New Roman" w:hAnsi="Calisto MT" w:cs="Courier New"/>
          <w:sz w:val="20"/>
          <w:szCs w:val="20"/>
          <w:lang w:val="id-ID" w:eastAsia="id-ID"/>
        </w:rPr>
        <w:t>saya</w:t>
      </w:r>
      <w:r w:rsidRPr="00DF20EE">
        <w:rPr>
          <w:rFonts w:ascii="Calisto MT" w:eastAsia="Times New Roman" w:hAnsi="Calisto MT" w:cs="Courier New"/>
          <w:sz w:val="20"/>
          <w:szCs w:val="20"/>
          <w:lang w:val="id-ID" w:eastAsia="id-ID"/>
        </w:rPr>
        <w:t xml:space="preserve"> ucapkan terima kasih.</w:t>
      </w:r>
    </w:p>
    <w:p w14:paraId="4C75B3FA" w14:textId="77777777" w:rsidR="00E876E9" w:rsidRDefault="00E876E9" w:rsidP="00426EF7">
      <w:pPr>
        <w:pStyle w:val="Heading2"/>
      </w:pPr>
    </w:p>
    <w:p w14:paraId="4AC590A5" w14:textId="5E64BC67" w:rsidR="00C82CD7" w:rsidRPr="003C1602" w:rsidRDefault="003C1602" w:rsidP="004E4978">
      <w:pPr>
        <w:pStyle w:val="Heading2"/>
        <w:rPr>
          <w:lang w:val="id-ID"/>
        </w:rPr>
      </w:pPr>
      <w:r>
        <w:rPr>
          <w:lang w:val="id-ID"/>
        </w:rPr>
        <w:t>daftar pustaka</w:t>
      </w:r>
    </w:p>
    <w:p w14:paraId="73102151" w14:textId="6CA77F92"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Pr>
          <w:sz w:val="20"/>
          <w:lang w:val="fi-FI"/>
        </w:rPr>
        <w:fldChar w:fldCharType="begin" w:fldLock="1"/>
      </w:r>
      <w:r>
        <w:rPr>
          <w:sz w:val="20"/>
          <w:lang w:val="fi-FI"/>
        </w:rPr>
        <w:instrText xml:space="preserve">ADDIN Mendeley Bibliography CSL_BIBLIOGRAPHY </w:instrText>
      </w:r>
      <w:r>
        <w:rPr>
          <w:sz w:val="20"/>
          <w:lang w:val="fi-FI"/>
        </w:rPr>
        <w:fldChar w:fldCharType="separate"/>
      </w:r>
      <w:r w:rsidRPr="00982871">
        <w:rPr>
          <w:rFonts w:ascii="Calisto MT" w:hAnsi="Calisto MT" w:cs="Times New Roman"/>
          <w:noProof/>
          <w:sz w:val="20"/>
          <w:szCs w:val="24"/>
        </w:rPr>
        <w:t xml:space="preserve">Batchelor, E. K., Kapitsinou, P., Pergola, P. E., Kovesdy, C. P., &amp; Jalal, D. I. (2020). Iron deficiency in chronic kidney disease: Updates on pathophysiology, diagnosis, and treatment. </w:t>
      </w:r>
      <w:r w:rsidRPr="00982871">
        <w:rPr>
          <w:rFonts w:ascii="Calisto MT" w:hAnsi="Calisto MT" w:cs="Times New Roman"/>
          <w:i/>
          <w:iCs/>
          <w:noProof/>
          <w:sz w:val="20"/>
          <w:szCs w:val="24"/>
        </w:rPr>
        <w:t>Journal of the American Society of Nephrology</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31</w:t>
      </w:r>
      <w:r w:rsidRPr="00982871">
        <w:rPr>
          <w:rFonts w:ascii="Calisto MT" w:hAnsi="Calisto MT" w:cs="Times New Roman"/>
          <w:noProof/>
          <w:sz w:val="20"/>
          <w:szCs w:val="24"/>
        </w:rPr>
        <w:t>(3), 456–</w:t>
      </w:r>
      <w:r>
        <w:rPr>
          <w:rFonts w:ascii="Calisto MT" w:hAnsi="Calisto MT" w:cs="Times New Roman"/>
          <w:noProof/>
          <w:sz w:val="20"/>
          <w:szCs w:val="24"/>
        </w:rPr>
        <w:t xml:space="preserve">468. </w:t>
      </w:r>
    </w:p>
    <w:p w14:paraId="4CDB27BF" w14:textId="086FC9C4"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Brar, S. K., Perveen, S., Chaudhry, M. R., AlBabtain, S., Amreen, S., &amp; Khan, S. (2021). Erythropoietin-Induced Hypertension: A Review of Pathogenesis, Treatment, and Role of Blood Viscosity. </w:t>
      </w:r>
      <w:r w:rsidRPr="00982871">
        <w:rPr>
          <w:rFonts w:ascii="Calisto MT" w:hAnsi="Calisto MT" w:cs="Times New Roman"/>
          <w:i/>
          <w:iCs/>
          <w:noProof/>
          <w:sz w:val="20"/>
          <w:szCs w:val="24"/>
        </w:rPr>
        <w:t>Cureus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13</w:t>
      </w:r>
      <w:r w:rsidRPr="00982871">
        <w:rPr>
          <w:rFonts w:ascii="Calisto MT" w:hAnsi="Calisto MT" w:cs="Times New Roman"/>
          <w:noProof/>
          <w:sz w:val="20"/>
          <w:szCs w:val="24"/>
        </w:rPr>
        <w:t>(1), e1280</w:t>
      </w:r>
      <w:r>
        <w:rPr>
          <w:rFonts w:ascii="Calisto MT" w:hAnsi="Calisto MT" w:cs="Times New Roman"/>
          <w:noProof/>
          <w:sz w:val="20"/>
          <w:szCs w:val="24"/>
        </w:rPr>
        <w:t xml:space="preserve">4. </w:t>
      </w:r>
    </w:p>
    <w:p w14:paraId="0E90A607" w14:textId="3AFA7858"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Burnier, M., Pruijm, M., Wuerzner, G., &amp; Santschi, V. (2015). Drug adherence in chronic kidney diseases and dialysis. </w:t>
      </w:r>
      <w:r w:rsidRPr="00982871">
        <w:rPr>
          <w:rFonts w:ascii="Calisto MT" w:hAnsi="Calisto MT" w:cs="Times New Roman"/>
          <w:i/>
          <w:iCs/>
          <w:noProof/>
          <w:sz w:val="20"/>
          <w:szCs w:val="24"/>
        </w:rPr>
        <w:t>Nephrology Dialysis Transplantation</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30</w:t>
      </w:r>
      <w:r w:rsidRPr="00982871">
        <w:rPr>
          <w:rFonts w:ascii="Calisto MT" w:hAnsi="Calisto MT" w:cs="Times New Roman"/>
          <w:noProof/>
          <w:sz w:val="20"/>
          <w:szCs w:val="24"/>
        </w:rPr>
        <w:t>(1), 39–</w:t>
      </w:r>
      <w:r>
        <w:rPr>
          <w:rFonts w:ascii="Calisto MT" w:hAnsi="Calisto MT" w:cs="Times New Roman"/>
          <w:noProof/>
          <w:sz w:val="20"/>
          <w:szCs w:val="24"/>
        </w:rPr>
        <w:t xml:space="preserve">44. </w:t>
      </w:r>
    </w:p>
    <w:p w14:paraId="5E3E13A3" w14:textId="2EC43928"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Desitasari. (2014). </w:t>
      </w:r>
      <w:r w:rsidRPr="00982871">
        <w:rPr>
          <w:rFonts w:ascii="Calisto MT" w:hAnsi="Calisto MT" w:cs="Times New Roman"/>
          <w:i/>
          <w:iCs/>
          <w:noProof/>
          <w:sz w:val="20"/>
          <w:szCs w:val="24"/>
        </w:rPr>
        <w:t>Hubungan Tingkat Pengetahuan, Sikap Dan Dukungan Keluarga Terhadap Kepatuhan Diet Pada Pasien Gagal Ginjal</w:t>
      </w:r>
      <w:r w:rsidRPr="00982871">
        <w:rPr>
          <w:rFonts w:ascii="Calisto MT" w:hAnsi="Calisto MT" w:cs="Times New Roman"/>
          <w:noProof/>
          <w:sz w:val="20"/>
          <w:szCs w:val="24"/>
        </w:rPr>
        <w:t>. 1–</w:t>
      </w:r>
      <w:r>
        <w:rPr>
          <w:rFonts w:ascii="Calisto MT" w:hAnsi="Calisto MT" w:cs="Times New Roman"/>
          <w:noProof/>
          <w:sz w:val="20"/>
          <w:szCs w:val="24"/>
        </w:rPr>
        <w:t xml:space="preserve">8. </w:t>
      </w:r>
    </w:p>
    <w:p w14:paraId="0E843DCB" w14:textId="213EF6E9"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Emmanuel Gapira, B., Chironda, G., Ndahayo, D., Pierre Marie Theos, M., Jeanne Tuyisenge, M., &amp; Rajeswaran, L. (2020). Knowledge related to Chronic Kidney Disease (CKD) and perceptions on inpatient management practices among nurses at selected referral hospitals in Rwanda: A non-experimental descriptive correlational study. </w:t>
      </w:r>
      <w:r w:rsidRPr="00982871">
        <w:rPr>
          <w:rFonts w:ascii="Calisto MT" w:hAnsi="Calisto MT" w:cs="Times New Roman"/>
          <w:i/>
          <w:iCs/>
          <w:noProof/>
          <w:sz w:val="20"/>
          <w:szCs w:val="24"/>
        </w:rPr>
        <w:t>International Journal of Africa Nursing Sciences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13</w:t>
      </w:r>
      <w:r>
        <w:rPr>
          <w:rFonts w:ascii="Calisto MT" w:hAnsi="Calisto MT" w:cs="Times New Roman"/>
          <w:noProof/>
          <w:sz w:val="20"/>
          <w:szCs w:val="24"/>
        </w:rPr>
        <w:t xml:space="preserve">(May), 100203. </w:t>
      </w:r>
    </w:p>
    <w:p w14:paraId="0243459A" w14:textId="77777777"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Ferdinan, D., Joko, S., &amp; Padoli. (2019). Faktor-faktor yang mempengaruhi hipertensi intradialitik pada klien gagal ginjal kronik yang menjalani terapi hemodialisis di RSI Jemursari Surabaya. </w:t>
      </w:r>
      <w:r w:rsidRPr="00982871">
        <w:rPr>
          <w:rFonts w:ascii="Calisto MT" w:hAnsi="Calisto MT" w:cs="Times New Roman"/>
          <w:i/>
          <w:iCs/>
          <w:noProof/>
          <w:sz w:val="20"/>
          <w:szCs w:val="24"/>
        </w:rPr>
        <w:t>Jurnal Keperawatan</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12</w:t>
      </w:r>
      <w:r w:rsidRPr="00982871">
        <w:rPr>
          <w:rFonts w:ascii="Calisto MT" w:hAnsi="Calisto MT" w:cs="Times New Roman"/>
          <w:noProof/>
          <w:sz w:val="20"/>
          <w:szCs w:val="24"/>
        </w:rPr>
        <w:t>(1), 30–39.</w:t>
      </w:r>
    </w:p>
    <w:p w14:paraId="69D1E8E7" w14:textId="2BFE91CE"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Fernando Rivera, R., Di Lullo, L., De Pascalis, A., Floccari, F., Joli, G., Pezzini, E., Brioni, E., &amp; Sciarrone Alibrandi, M. T. (2016). Anemia in Patients with Chronic Kidney Disease: Current Screening and management Approaches. </w:t>
      </w:r>
      <w:r w:rsidRPr="00982871">
        <w:rPr>
          <w:rFonts w:ascii="Calisto MT" w:hAnsi="Calisto MT" w:cs="Times New Roman"/>
          <w:i/>
          <w:iCs/>
          <w:noProof/>
          <w:sz w:val="20"/>
          <w:szCs w:val="24"/>
        </w:rPr>
        <w:t>Nephrology and Renal Diseases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w:t>
      </w:r>
      <w:r w:rsidRPr="00982871">
        <w:rPr>
          <w:rFonts w:ascii="Calisto MT" w:hAnsi="Calisto MT" w:cs="Times New Roman"/>
          <w:noProof/>
          <w:sz w:val="20"/>
          <w:szCs w:val="24"/>
        </w:rPr>
        <w:t>(1), 1–</w:t>
      </w:r>
      <w:r>
        <w:rPr>
          <w:rFonts w:ascii="Calisto MT" w:hAnsi="Calisto MT" w:cs="Times New Roman"/>
          <w:noProof/>
          <w:sz w:val="20"/>
          <w:szCs w:val="24"/>
        </w:rPr>
        <w:t xml:space="preserve">9. </w:t>
      </w:r>
    </w:p>
    <w:p w14:paraId="34E0DC75" w14:textId="07931ED1"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Fitria. (2013). </w:t>
      </w:r>
      <w:r w:rsidRPr="00982871">
        <w:rPr>
          <w:rFonts w:ascii="Calisto MT" w:hAnsi="Calisto MT" w:cs="Times New Roman"/>
          <w:i/>
          <w:iCs/>
          <w:noProof/>
          <w:sz w:val="20"/>
          <w:szCs w:val="24"/>
        </w:rPr>
        <w:t>Journal of Chemical Information and Modeling</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53</w:t>
      </w:r>
      <w:r w:rsidRPr="00982871">
        <w:rPr>
          <w:rFonts w:ascii="Calisto MT" w:hAnsi="Calisto MT" w:cs="Times New Roman"/>
          <w:noProof/>
          <w:sz w:val="20"/>
          <w:szCs w:val="24"/>
        </w:rPr>
        <w:t>(9), 1689–1699.</w:t>
      </w:r>
    </w:p>
    <w:p w14:paraId="31764C9F" w14:textId="263F28A3"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Ghimire, S., Castelino, R. L., Jose, M. D., &amp; Zaidi, S. T. R. (2017). Medication adherence perspectives in haemodialysis patients: a qualitative study. </w:t>
      </w:r>
      <w:r w:rsidRPr="00982871">
        <w:rPr>
          <w:rFonts w:ascii="Calisto MT" w:hAnsi="Calisto MT" w:cs="Times New Roman"/>
          <w:i/>
          <w:iCs/>
          <w:noProof/>
          <w:sz w:val="20"/>
          <w:szCs w:val="24"/>
        </w:rPr>
        <w:t>BMC Nephrology</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18</w:t>
      </w:r>
      <w:r w:rsidRPr="00982871">
        <w:rPr>
          <w:rFonts w:ascii="Calisto MT" w:hAnsi="Calisto MT" w:cs="Times New Roman"/>
          <w:noProof/>
          <w:sz w:val="20"/>
          <w:szCs w:val="24"/>
        </w:rPr>
        <w:t>(1), 1–</w:t>
      </w:r>
      <w:r>
        <w:rPr>
          <w:rFonts w:ascii="Calisto MT" w:hAnsi="Calisto MT" w:cs="Times New Roman"/>
          <w:noProof/>
          <w:sz w:val="20"/>
          <w:szCs w:val="24"/>
        </w:rPr>
        <w:t xml:space="preserve">9. </w:t>
      </w:r>
    </w:p>
    <w:p w14:paraId="22663A9E" w14:textId="2AAE9F7F"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Hamza, E., Metzinger, L., &amp; Metzinger-Le Meuth, V. (2020). Uremic Toxins Affect Erythropoiesis during the Course of Chronic Kidney Disease: A Review. </w:t>
      </w:r>
      <w:r w:rsidRPr="00982871">
        <w:rPr>
          <w:rFonts w:ascii="Calisto MT" w:hAnsi="Calisto MT" w:cs="Times New Roman"/>
          <w:i/>
          <w:iCs/>
          <w:noProof/>
          <w:sz w:val="20"/>
          <w:szCs w:val="24"/>
        </w:rPr>
        <w:t>Cells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lastRenderedPageBreak/>
        <w:t>9</w:t>
      </w:r>
      <w:r w:rsidR="00FB0E56">
        <w:rPr>
          <w:rFonts w:ascii="Calisto MT" w:hAnsi="Calisto MT" w:cs="Times New Roman"/>
          <w:noProof/>
          <w:sz w:val="20"/>
          <w:szCs w:val="24"/>
        </w:rPr>
        <w:t xml:space="preserve">(9). </w:t>
      </w:r>
    </w:p>
    <w:p w14:paraId="46E3847B" w14:textId="1775531F"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Hassan, A. E. D., Shaat, E. A., Deif, M. M., El Azhary, N. M., &amp; Omar, E. M. (2014). Effect of erythropoietin hormone supplementation on renal functions and the level of hypoxia-inducible factor-1α in rat kidneys with experimentally induced diabetic nephropathy. </w:t>
      </w:r>
      <w:r w:rsidRPr="00982871">
        <w:rPr>
          <w:rFonts w:ascii="Calisto MT" w:hAnsi="Calisto MT" w:cs="Times New Roman"/>
          <w:i/>
          <w:iCs/>
          <w:noProof/>
          <w:sz w:val="20"/>
          <w:szCs w:val="24"/>
        </w:rPr>
        <w:t>Alexandria Journal of Medicine</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50</w:t>
      </w:r>
      <w:r w:rsidRPr="00982871">
        <w:rPr>
          <w:rFonts w:ascii="Calisto MT" w:hAnsi="Calisto MT" w:cs="Times New Roman"/>
          <w:noProof/>
          <w:sz w:val="20"/>
          <w:szCs w:val="24"/>
        </w:rPr>
        <w:t>(1), 69–</w:t>
      </w:r>
      <w:r>
        <w:rPr>
          <w:rFonts w:ascii="Calisto MT" w:hAnsi="Calisto MT" w:cs="Times New Roman"/>
          <w:noProof/>
          <w:sz w:val="20"/>
          <w:szCs w:val="24"/>
        </w:rPr>
        <w:t xml:space="preserve">75. </w:t>
      </w:r>
    </w:p>
    <w:p w14:paraId="215E4EA8" w14:textId="71FE602A"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Khorsandi, F., Parizad, N., Feizi, A., &amp; Hemmati MaslakPak, M. (2020). How do parents deal with their children’s chronic kidney disease? A qualitative study for identifying factors related to parent’s adaptation. </w:t>
      </w:r>
      <w:r w:rsidRPr="00982871">
        <w:rPr>
          <w:rFonts w:ascii="Calisto MT" w:hAnsi="Calisto MT" w:cs="Times New Roman"/>
          <w:i/>
          <w:iCs/>
          <w:noProof/>
          <w:sz w:val="20"/>
          <w:szCs w:val="24"/>
        </w:rPr>
        <w:t>BMC Nephrology</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21</w:t>
      </w:r>
      <w:r w:rsidRPr="00982871">
        <w:rPr>
          <w:rFonts w:ascii="Calisto MT" w:hAnsi="Calisto MT" w:cs="Times New Roman"/>
          <w:noProof/>
          <w:sz w:val="20"/>
          <w:szCs w:val="24"/>
        </w:rPr>
        <w:t>(1), 1–</w:t>
      </w:r>
      <w:r>
        <w:rPr>
          <w:rFonts w:ascii="Calisto MT" w:hAnsi="Calisto MT" w:cs="Times New Roman"/>
          <w:noProof/>
          <w:sz w:val="20"/>
          <w:szCs w:val="24"/>
        </w:rPr>
        <w:t xml:space="preserve">14. </w:t>
      </w:r>
    </w:p>
    <w:p w14:paraId="39FC530E" w14:textId="7F6A6FAD"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Kurniawan, A. W., &amp; Koesrini, J. (2019). Hubungan Kadar Ureum, Hemoglobin dan Lama Hemodialisa dengan Kualitas Hidup Penderita PGK. </w:t>
      </w:r>
      <w:r w:rsidRPr="00982871">
        <w:rPr>
          <w:rFonts w:ascii="Calisto MT" w:hAnsi="Calisto MT" w:cs="Times New Roman"/>
          <w:i/>
          <w:iCs/>
          <w:noProof/>
          <w:sz w:val="20"/>
          <w:szCs w:val="24"/>
        </w:rPr>
        <w:t>Jurnal Ners Dan Kebidana</w:t>
      </w:r>
      <w:r w:rsidR="00592342">
        <w:rPr>
          <w:rFonts w:ascii="Calisto MT" w:hAnsi="Calisto MT" w:cs="Times New Roman"/>
          <w:i/>
          <w:iCs/>
          <w:noProof/>
          <w:sz w:val="20"/>
          <w:szCs w:val="24"/>
        </w:rPr>
        <w:t>n</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6</w:t>
      </w:r>
      <w:r w:rsidRPr="00982871">
        <w:rPr>
          <w:rFonts w:ascii="Calisto MT" w:hAnsi="Calisto MT" w:cs="Times New Roman"/>
          <w:noProof/>
          <w:sz w:val="20"/>
          <w:szCs w:val="24"/>
        </w:rPr>
        <w:t>(3), 292–</w:t>
      </w:r>
      <w:r w:rsidR="00FB0E56">
        <w:rPr>
          <w:rFonts w:ascii="Calisto MT" w:hAnsi="Calisto MT" w:cs="Times New Roman"/>
          <w:noProof/>
          <w:sz w:val="20"/>
          <w:szCs w:val="24"/>
        </w:rPr>
        <w:t xml:space="preserve">299. </w:t>
      </w:r>
    </w:p>
    <w:p w14:paraId="200B19A1" w14:textId="4AA418F0"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Li, Y., Shi, H., Wang, W. M., Peng, A., Jiang, G. R., Zhang, J. Y., Ni, Z. H., He, L. Q., Niu, J. Y., Wang, N. S., Mei, C. L., Xu, X. D., Guo, Z. Y., Yuan, W. J., Yan, H. D., Deng, Y. Y., Yu, C., Cen, J., Zhang, Y., &amp; Chen, N. (2016). Prevalence, awareness, and treatment of anemia in Chinese patients with nondialysis chronic kidney disease First multicenter, cross-sectional study. </w:t>
      </w:r>
      <w:r w:rsidRPr="00982871">
        <w:rPr>
          <w:rFonts w:ascii="Calisto MT" w:hAnsi="Calisto MT" w:cs="Times New Roman"/>
          <w:i/>
          <w:iCs/>
          <w:noProof/>
          <w:sz w:val="20"/>
          <w:szCs w:val="24"/>
        </w:rPr>
        <w:t>Medicine (United States)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95</w:t>
      </w:r>
      <w:r w:rsidRPr="00982871">
        <w:rPr>
          <w:rFonts w:ascii="Calisto MT" w:hAnsi="Calisto MT" w:cs="Times New Roman"/>
          <w:noProof/>
          <w:sz w:val="20"/>
          <w:szCs w:val="24"/>
        </w:rPr>
        <w:t>(24), 1–</w:t>
      </w:r>
      <w:r w:rsidR="00FB0E56">
        <w:rPr>
          <w:rFonts w:ascii="Calisto MT" w:hAnsi="Calisto MT" w:cs="Times New Roman"/>
          <w:noProof/>
          <w:sz w:val="20"/>
          <w:szCs w:val="24"/>
        </w:rPr>
        <w:t>8.</w:t>
      </w:r>
    </w:p>
    <w:p w14:paraId="64E2EB49" w14:textId="27E60E14"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Mathew, M. S., Keerthi, N. R. S., &amp; Meera, N. K. (2016). Study of Management of anemia in Chronic Kidney Disease Patients. </w:t>
      </w:r>
      <w:r w:rsidRPr="00982871">
        <w:rPr>
          <w:rFonts w:ascii="Calisto MT" w:hAnsi="Calisto MT" w:cs="Times New Roman"/>
          <w:i/>
          <w:iCs/>
          <w:noProof/>
          <w:sz w:val="20"/>
          <w:szCs w:val="24"/>
        </w:rPr>
        <w:t>Indian Journal of Pharmacy Practice</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9</w:t>
      </w:r>
      <w:r w:rsidRPr="00982871">
        <w:rPr>
          <w:rFonts w:ascii="Calisto MT" w:hAnsi="Calisto MT" w:cs="Times New Roman"/>
          <w:noProof/>
          <w:sz w:val="20"/>
          <w:szCs w:val="24"/>
        </w:rPr>
        <w:t>(3), 162–</w:t>
      </w:r>
      <w:r w:rsidR="00FB0E56">
        <w:rPr>
          <w:rFonts w:ascii="Calisto MT" w:hAnsi="Calisto MT" w:cs="Times New Roman"/>
          <w:noProof/>
          <w:sz w:val="20"/>
          <w:szCs w:val="24"/>
        </w:rPr>
        <w:t xml:space="preserve">166. </w:t>
      </w:r>
    </w:p>
    <w:p w14:paraId="70693964" w14:textId="6097A25E"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Panjeta, M., Tahirovi</w:t>
      </w:r>
      <w:r w:rsidRPr="00982871">
        <w:rPr>
          <w:rFonts w:ascii="Cambria" w:hAnsi="Cambria" w:cs="Cambria"/>
          <w:noProof/>
          <w:sz w:val="20"/>
          <w:szCs w:val="24"/>
        </w:rPr>
        <w:t>ć</w:t>
      </w:r>
      <w:r w:rsidRPr="00982871">
        <w:rPr>
          <w:rFonts w:ascii="Calisto MT" w:hAnsi="Calisto MT" w:cs="Times New Roman"/>
          <w:noProof/>
          <w:sz w:val="20"/>
          <w:szCs w:val="24"/>
        </w:rPr>
        <w:t>, I., Sofi</w:t>
      </w:r>
      <w:r w:rsidRPr="00982871">
        <w:rPr>
          <w:rFonts w:ascii="Cambria" w:hAnsi="Cambria" w:cs="Cambria"/>
          <w:noProof/>
          <w:sz w:val="20"/>
          <w:szCs w:val="24"/>
        </w:rPr>
        <w:t>ć</w:t>
      </w:r>
      <w:r w:rsidRPr="00982871">
        <w:rPr>
          <w:rFonts w:ascii="Calisto MT" w:hAnsi="Calisto MT" w:cs="Times New Roman"/>
          <w:noProof/>
          <w:sz w:val="20"/>
          <w:szCs w:val="24"/>
        </w:rPr>
        <w:t>, E., Cori</w:t>
      </w:r>
      <w:r w:rsidRPr="00982871">
        <w:rPr>
          <w:rFonts w:ascii="Cambria" w:hAnsi="Cambria" w:cs="Cambria"/>
          <w:noProof/>
          <w:sz w:val="20"/>
          <w:szCs w:val="24"/>
        </w:rPr>
        <w:t>ć</w:t>
      </w:r>
      <w:r w:rsidRPr="00982871">
        <w:rPr>
          <w:rFonts w:ascii="Calisto MT" w:hAnsi="Calisto MT" w:cs="Times New Roman"/>
          <w:noProof/>
          <w:sz w:val="20"/>
          <w:szCs w:val="24"/>
        </w:rPr>
        <w:t>, J., &amp; Derviševi</w:t>
      </w:r>
      <w:r w:rsidRPr="00982871">
        <w:rPr>
          <w:rFonts w:ascii="Cambria" w:hAnsi="Cambria" w:cs="Cambria"/>
          <w:noProof/>
          <w:sz w:val="20"/>
          <w:szCs w:val="24"/>
        </w:rPr>
        <w:t>ć</w:t>
      </w:r>
      <w:r w:rsidRPr="00982871">
        <w:rPr>
          <w:rFonts w:ascii="Calisto MT" w:hAnsi="Calisto MT" w:cs="Times New Roman"/>
          <w:noProof/>
          <w:sz w:val="20"/>
          <w:szCs w:val="24"/>
        </w:rPr>
        <w:t xml:space="preserve">, A. (2017). Interpretation of Erythropoietin and Haemoglobin Levels in Patients with Various Stages of Chronic Kidney Disease. </w:t>
      </w:r>
      <w:r w:rsidRPr="00982871">
        <w:rPr>
          <w:rFonts w:ascii="Calisto MT" w:hAnsi="Calisto MT" w:cs="Times New Roman"/>
          <w:i/>
          <w:iCs/>
          <w:noProof/>
          <w:sz w:val="20"/>
          <w:szCs w:val="24"/>
        </w:rPr>
        <w:t>Journal of Medical Biochemistry</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36</w:t>
      </w:r>
      <w:r w:rsidRPr="00982871">
        <w:rPr>
          <w:rFonts w:ascii="Calisto MT" w:hAnsi="Calisto MT" w:cs="Times New Roman"/>
          <w:noProof/>
          <w:sz w:val="20"/>
          <w:szCs w:val="24"/>
        </w:rPr>
        <w:t>(2), 145–</w:t>
      </w:r>
      <w:r w:rsidR="00FB0E56">
        <w:rPr>
          <w:rFonts w:ascii="Calisto MT" w:hAnsi="Calisto MT" w:cs="Times New Roman"/>
          <w:noProof/>
          <w:sz w:val="20"/>
          <w:szCs w:val="24"/>
        </w:rPr>
        <w:t xml:space="preserve">152. </w:t>
      </w:r>
    </w:p>
    <w:p w14:paraId="0FCBA46C" w14:textId="6BD84668"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Sipahutar, B. M., Nompo, R. S., &amp; Arvia. (2019). </w:t>
      </w:r>
      <w:r w:rsidR="00592342" w:rsidRPr="00982871">
        <w:rPr>
          <w:rFonts w:ascii="Calisto MT" w:hAnsi="Calisto MT" w:cs="Times New Roman"/>
          <w:i/>
          <w:iCs/>
          <w:noProof/>
          <w:sz w:val="20"/>
          <w:szCs w:val="24"/>
        </w:rPr>
        <w:t>Perbedaan Kadar Hemoglobin (Hb) Sebelum Dan Setelah Hemodialisa Pada Penderita Hipertensi Di Rsud Jayapura</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16</w:t>
      </w:r>
      <w:r w:rsidRPr="00982871">
        <w:rPr>
          <w:rFonts w:ascii="Calisto MT" w:hAnsi="Calisto MT" w:cs="Times New Roman"/>
          <w:noProof/>
          <w:sz w:val="20"/>
          <w:szCs w:val="24"/>
        </w:rPr>
        <w:t>(2), 55–63.</w:t>
      </w:r>
    </w:p>
    <w:p w14:paraId="126F76B7" w14:textId="3170B897"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Sonnweber, T., Pizzini, A., Tancevski, I., Löffler-Ragg, J., &amp; Weiss, G. (2020). Anaemia, iron homeostasis and pulmonary hypertension: a review. </w:t>
      </w:r>
      <w:r w:rsidRPr="00982871">
        <w:rPr>
          <w:rFonts w:ascii="Calisto MT" w:hAnsi="Calisto MT" w:cs="Times New Roman"/>
          <w:i/>
          <w:iCs/>
          <w:noProof/>
          <w:sz w:val="20"/>
          <w:szCs w:val="24"/>
        </w:rPr>
        <w:t>Internal and Emergency Medicine</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15</w:t>
      </w:r>
      <w:r w:rsidRPr="00982871">
        <w:rPr>
          <w:rFonts w:ascii="Calisto MT" w:hAnsi="Calisto MT" w:cs="Times New Roman"/>
          <w:noProof/>
          <w:sz w:val="20"/>
          <w:szCs w:val="24"/>
        </w:rPr>
        <w:t>(4), 573–</w:t>
      </w:r>
      <w:r>
        <w:rPr>
          <w:rFonts w:ascii="Calisto MT" w:hAnsi="Calisto MT" w:cs="Times New Roman"/>
          <w:noProof/>
          <w:sz w:val="20"/>
          <w:szCs w:val="24"/>
        </w:rPr>
        <w:t xml:space="preserve">585. </w:t>
      </w:r>
    </w:p>
    <w:p w14:paraId="5929F5CA" w14:textId="4C664B20"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Tahir Mahmood Javaid Asad, R. M., ul Amin, N., Tahir Mahmood, R., Asad Mudassar Zafar, J., &amp; Mehmood Raja, A. (2014). Evaluating Urea and Creatinine Levels in Chronic Renal Failure Pre and Post Dialysis: A Prospective Study Evaluating Urea and Creatinine Levels in Chronic Rena Failure Pre and Post Dialysis: A </w:t>
      </w:r>
      <w:r w:rsidRPr="00982871">
        <w:rPr>
          <w:rFonts w:ascii="Calisto MT" w:hAnsi="Calisto MT" w:cs="Times New Roman"/>
          <w:noProof/>
          <w:sz w:val="20"/>
          <w:szCs w:val="24"/>
        </w:rPr>
        <w:lastRenderedPageBreak/>
        <w:t xml:space="preserve">Prospective Study. </w:t>
      </w:r>
      <w:r w:rsidRPr="00982871">
        <w:rPr>
          <w:rFonts w:ascii="Calisto MT" w:hAnsi="Calisto MT" w:cs="Times New Roman"/>
          <w:i/>
          <w:iCs/>
          <w:noProof/>
          <w:sz w:val="20"/>
          <w:szCs w:val="24"/>
        </w:rPr>
        <w:t>Journal of Cardiovascular Disease</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2</w:t>
      </w:r>
      <w:r w:rsidRPr="00982871">
        <w:rPr>
          <w:rFonts w:ascii="Calisto MT" w:hAnsi="Calisto MT" w:cs="Times New Roman"/>
          <w:noProof/>
          <w:sz w:val="20"/>
          <w:szCs w:val="24"/>
        </w:rPr>
        <w:t xml:space="preserve">(2), 2330–4596. </w:t>
      </w:r>
    </w:p>
    <w:p w14:paraId="39C71FC6" w14:textId="77777777"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Temilola, D. O., Bezuidenhout, K., Erasmus, R. T., Stephen, L., Davids, M. R., &amp; Holmes, H. (2019). </w:t>
      </w:r>
      <w:r w:rsidRPr="00982871">
        <w:rPr>
          <w:rFonts w:ascii="Calisto MT" w:hAnsi="Calisto MT" w:cs="Times New Roman"/>
          <w:i/>
          <w:iCs/>
          <w:noProof/>
          <w:sz w:val="20"/>
          <w:szCs w:val="24"/>
        </w:rPr>
        <w:t>Salivary creatinine as a diagnostic tool for evaluating patients with chronic kidney disease</w:t>
      </w:r>
      <w:r w:rsidRPr="00982871">
        <w:rPr>
          <w:rFonts w:ascii="Calisto MT" w:hAnsi="Calisto MT" w:cs="Times New Roman"/>
          <w:noProof/>
          <w:sz w:val="20"/>
          <w:szCs w:val="24"/>
        </w:rPr>
        <w:t>. 1–6.</w:t>
      </w:r>
    </w:p>
    <w:p w14:paraId="271ABD28" w14:textId="30312C65"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Utami, I. A. A., Santhi, D. G. D. D., &amp; Lestari, A. A. W. (2020). Prevalensi dan komplikasi pada penderita gagal ginjal kronik yang menjalani hemodialisa di Rumah Sakit Umum Pusat Sanglah Denpasar tahun 2018. </w:t>
      </w:r>
      <w:r w:rsidRPr="00982871">
        <w:rPr>
          <w:rFonts w:ascii="Calisto MT" w:hAnsi="Calisto MT" w:cs="Times New Roman"/>
          <w:i/>
          <w:iCs/>
          <w:noProof/>
          <w:sz w:val="20"/>
          <w:szCs w:val="24"/>
        </w:rPr>
        <w:t>Intisari Sains Medis</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11</w:t>
      </w:r>
      <w:r w:rsidRPr="00982871">
        <w:rPr>
          <w:rFonts w:ascii="Calisto MT" w:hAnsi="Calisto MT" w:cs="Times New Roman"/>
          <w:noProof/>
          <w:sz w:val="20"/>
          <w:szCs w:val="24"/>
        </w:rPr>
        <w:t>(3), 1216–</w:t>
      </w:r>
      <w:r w:rsidR="00FB0E56">
        <w:rPr>
          <w:rFonts w:ascii="Calisto MT" w:hAnsi="Calisto MT" w:cs="Times New Roman"/>
          <w:noProof/>
          <w:sz w:val="20"/>
          <w:szCs w:val="24"/>
        </w:rPr>
        <w:t xml:space="preserve">1221. </w:t>
      </w:r>
    </w:p>
    <w:p w14:paraId="47D77349" w14:textId="77777777"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Utami, M. P. S., &amp; , Elsye Maria Rosa, A. K. (2016). Gambaran Komorbid Pasien Hemodialisis. </w:t>
      </w:r>
      <w:r w:rsidRPr="00982871">
        <w:rPr>
          <w:rFonts w:ascii="Calisto MT" w:hAnsi="Calisto MT" w:cs="Times New Roman"/>
          <w:i/>
          <w:iCs/>
          <w:noProof/>
          <w:sz w:val="20"/>
          <w:szCs w:val="24"/>
        </w:rPr>
        <w:t>Gambaran Komorbid Pasien Hemodialsis</w:t>
      </w:r>
      <w:r w:rsidRPr="00982871">
        <w:rPr>
          <w:rFonts w:ascii="Calisto MT" w:hAnsi="Calisto MT" w:cs="Times New Roman"/>
          <w:noProof/>
          <w:sz w:val="20"/>
          <w:szCs w:val="24"/>
        </w:rPr>
        <w:t>, 1–12.</w:t>
      </w:r>
    </w:p>
    <w:p w14:paraId="2F6E8380" w14:textId="77777777"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Wijaya, C. A., Kusnadi, Y., &amp; Zen, N. F. (2015). Korelasi antara kadar hemoglobin dan gangguan fungsi ginjal pada diabetes melitus tipe 2 di RSUP dr mohammad hoesin palembang [The correlation between haemoglobin and renal function impairment in type 2 diabetes in RSUP dr. mohammad hoesin palembang]. </w:t>
      </w:r>
      <w:r w:rsidRPr="00982871">
        <w:rPr>
          <w:rFonts w:ascii="Calisto MT" w:hAnsi="Calisto MT" w:cs="Times New Roman"/>
          <w:i/>
          <w:iCs/>
          <w:noProof/>
          <w:sz w:val="20"/>
          <w:szCs w:val="24"/>
        </w:rPr>
        <w:t>Majalah Kedokteran Sriwijaya</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47</w:t>
      </w:r>
      <w:r w:rsidRPr="00982871">
        <w:rPr>
          <w:rFonts w:ascii="Calisto MT" w:hAnsi="Calisto MT" w:cs="Times New Roman"/>
          <w:noProof/>
          <w:sz w:val="20"/>
          <w:szCs w:val="24"/>
        </w:rPr>
        <w:t>(1), 39–44.</w:t>
      </w:r>
    </w:p>
    <w:p w14:paraId="3DB78005" w14:textId="0DF2B141" w:rsidR="00982871" w:rsidRPr="00982871" w:rsidRDefault="00982871" w:rsidP="00982871">
      <w:pPr>
        <w:widowControl w:val="0"/>
        <w:autoSpaceDE w:val="0"/>
        <w:autoSpaceDN w:val="0"/>
        <w:adjustRightInd w:val="0"/>
        <w:spacing w:line="240" w:lineRule="auto"/>
        <w:ind w:left="480" w:hanging="480"/>
        <w:rPr>
          <w:rFonts w:ascii="Calisto MT" w:hAnsi="Calisto MT" w:cs="Times New Roman"/>
          <w:noProof/>
          <w:sz w:val="20"/>
          <w:szCs w:val="24"/>
        </w:rPr>
      </w:pPr>
      <w:r w:rsidRPr="00982871">
        <w:rPr>
          <w:rFonts w:ascii="Calisto MT" w:hAnsi="Calisto MT" w:cs="Times New Roman"/>
          <w:noProof/>
          <w:sz w:val="20"/>
          <w:szCs w:val="24"/>
        </w:rPr>
        <w:t xml:space="preserve">Wong, M. M. Y., Tu, C., Li, Y., Perlman, R. L., Pecoits-Filho, R., Lopes, A. A., Narita, I., Reichel, H., Port, F. K., Sukul, N., Stengel, B., Robinson, B. M., Massy, Z. A., &amp; Pisoni, R. L. (2021). Anemia and iron deficiency among chronic kidney disease Stages 3-5ND patients in the chronic kidney disease outcomes and practice patterns study: Often unmeasured, variably treated. </w:t>
      </w:r>
      <w:r w:rsidRPr="00982871">
        <w:rPr>
          <w:rFonts w:ascii="Calisto MT" w:hAnsi="Calisto MT" w:cs="Times New Roman"/>
          <w:i/>
          <w:iCs/>
          <w:noProof/>
          <w:sz w:val="20"/>
          <w:szCs w:val="24"/>
        </w:rPr>
        <w:t>Clinical Kidney Journal</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13</w:t>
      </w:r>
      <w:r w:rsidRPr="00982871">
        <w:rPr>
          <w:rFonts w:ascii="Calisto MT" w:hAnsi="Calisto MT" w:cs="Times New Roman"/>
          <w:noProof/>
          <w:sz w:val="20"/>
          <w:szCs w:val="24"/>
        </w:rPr>
        <w:t>(4), 613–</w:t>
      </w:r>
      <w:r w:rsidR="00FB0E56">
        <w:rPr>
          <w:rFonts w:ascii="Calisto MT" w:hAnsi="Calisto MT" w:cs="Times New Roman"/>
          <w:noProof/>
          <w:sz w:val="20"/>
          <w:szCs w:val="24"/>
        </w:rPr>
        <w:t xml:space="preserve">624. </w:t>
      </w:r>
    </w:p>
    <w:p w14:paraId="43B71456" w14:textId="5EB635EF" w:rsidR="00982871" w:rsidRPr="00982871" w:rsidRDefault="00982871" w:rsidP="00982871">
      <w:pPr>
        <w:widowControl w:val="0"/>
        <w:autoSpaceDE w:val="0"/>
        <w:autoSpaceDN w:val="0"/>
        <w:adjustRightInd w:val="0"/>
        <w:spacing w:line="240" w:lineRule="auto"/>
        <w:ind w:left="480" w:hanging="480"/>
        <w:rPr>
          <w:rFonts w:ascii="Calisto MT" w:hAnsi="Calisto MT"/>
          <w:noProof/>
          <w:sz w:val="20"/>
        </w:rPr>
      </w:pPr>
      <w:r w:rsidRPr="00982871">
        <w:rPr>
          <w:rFonts w:ascii="Calisto MT" w:hAnsi="Calisto MT" w:cs="Times New Roman"/>
          <w:noProof/>
          <w:sz w:val="20"/>
          <w:szCs w:val="24"/>
        </w:rPr>
        <w:t xml:space="preserve">Wright, D. G., Wright, E. C., Narva, A. S., Noguchi, C. T., &amp; Eggers, P. W. (2015). Association of erythropoietin dose and route of administration with clinical outcomes for patients on hemodialysis in the United States. </w:t>
      </w:r>
      <w:r w:rsidRPr="00982871">
        <w:rPr>
          <w:rFonts w:ascii="Calisto MT" w:hAnsi="Calisto MT" w:cs="Times New Roman"/>
          <w:i/>
          <w:iCs/>
          <w:noProof/>
          <w:sz w:val="20"/>
          <w:szCs w:val="24"/>
        </w:rPr>
        <w:t>Clinical Journal of the American Society of Nephrology</w:t>
      </w:r>
      <w:r w:rsidRPr="00982871">
        <w:rPr>
          <w:rFonts w:ascii="Calisto MT" w:hAnsi="Calisto MT" w:cs="Times New Roman"/>
          <w:noProof/>
          <w:sz w:val="20"/>
          <w:szCs w:val="24"/>
        </w:rPr>
        <w:t xml:space="preserve">, </w:t>
      </w:r>
      <w:r w:rsidRPr="00982871">
        <w:rPr>
          <w:rFonts w:ascii="Calisto MT" w:hAnsi="Calisto MT" w:cs="Times New Roman"/>
          <w:i/>
          <w:iCs/>
          <w:noProof/>
          <w:sz w:val="20"/>
          <w:szCs w:val="24"/>
        </w:rPr>
        <w:t>10</w:t>
      </w:r>
      <w:r w:rsidRPr="00982871">
        <w:rPr>
          <w:rFonts w:ascii="Calisto MT" w:hAnsi="Calisto MT" w:cs="Times New Roman"/>
          <w:noProof/>
          <w:sz w:val="20"/>
          <w:szCs w:val="24"/>
        </w:rPr>
        <w:t>(10), 1822–</w:t>
      </w:r>
      <w:r w:rsidR="00FB0E56">
        <w:rPr>
          <w:rFonts w:ascii="Calisto MT" w:hAnsi="Calisto MT" w:cs="Times New Roman"/>
          <w:noProof/>
          <w:sz w:val="20"/>
          <w:szCs w:val="24"/>
        </w:rPr>
        <w:t xml:space="preserve">1830. </w:t>
      </w:r>
    </w:p>
    <w:p w14:paraId="4BEBF23D" w14:textId="6193FCE2" w:rsidR="009670C7" w:rsidRPr="009823A5" w:rsidRDefault="00982871" w:rsidP="00E11D11">
      <w:pPr>
        <w:pStyle w:val="Heading6"/>
        <w:ind w:left="0" w:firstLine="544"/>
        <w:rPr>
          <w:sz w:val="20"/>
          <w:lang w:val="fi-FI"/>
        </w:rPr>
      </w:pPr>
      <w:r>
        <w:rPr>
          <w:sz w:val="20"/>
          <w:lang w:val="fi-FI"/>
        </w:rPr>
        <w:fldChar w:fldCharType="end"/>
      </w:r>
    </w:p>
    <w:sectPr w:rsidR="009670C7" w:rsidRPr="009823A5" w:rsidSect="00AA44F6">
      <w:headerReference w:type="first" r:id="rId16"/>
      <w:type w:val="continuous"/>
      <w:pgSz w:w="11907" w:h="16839" w:code="9"/>
      <w:pgMar w:top="1701" w:right="1701" w:bottom="1701" w:left="1701" w:header="720" w:footer="720" w:gutter="0"/>
      <w:pgNumType w:start="234"/>
      <w:cols w:num="2" w:space="23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5E4F" w14:textId="77777777" w:rsidR="00882B1C" w:rsidRDefault="00882B1C" w:rsidP="0048529F">
      <w:r>
        <w:separator/>
      </w:r>
    </w:p>
  </w:endnote>
  <w:endnote w:type="continuationSeparator" w:id="0">
    <w:p w14:paraId="6C0A5CE6" w14:textId="77777777" w:rsidR="00882B1C" w:rsidRDefault="00882B1C" w:rsidP="0048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965D" w14:textId="1ABE2D71" w:rsidR="00E64050" w:rsidRDefault="00E64050">
    <w:pPr>
      <w:pStyle w:val="Footer"/>
    </w:pPr>
  </w:p>
  <w:p w14:paraId="4E531785" w14:textId="77777777" w:rsidR="00E64050" w:rsidRPr="009A31C2" w:rsidRDefault="00E64050" w:rsidP="009A31C2">
    <w:pPr>
      <w:pStyle w:val="Footer"/>
      <w:rPr>
        <w:rFonts w:ascii="Calisto MT" w:hAnsi="Calisto MT"/>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5BB1" w14:textId="77777777" w:rsidR="00E64050" w:rsidRDefault="00E64050">
    <w:pPr>
      <w:pStyle w:val="Footer"/>
    </w:pPr>
  </w:p>
  <w:p w14:paraId="31417F8D" w14:textId="77777777" w:rsidR="00E64050" w:rsidRDefault="00E640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9974F" w14:textId="77777777" w:rsidR="00882B1C" w:rsidRDefault="00882B1C" w:rsidP="0048529F">
      <w:r>
        <w:separator/>
      </w:r>
    </w:p>
  </w:footnote>
  <w:footnote w:type="continuationSeparator" w:id="0">
    <w:p w14:paraId="278AD64A" w14:textId="77777777" w:rsidR="00882B1C" w:rsidRDefault="00882B1C" w:rsidP="004852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42603" w14:textId="77777777" w:rsidR="00E64050" w:rsidRDefault="00E64050"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9C28" w14:textId="1CF82AFF" w:rsidR="00E64050" w:rsidRPr="00832066" w:rsidRDefault="00E64050" w:rsidP="00857563">
    <w:pPr>
      <w:rPr>
        <w:rFonts w:ascii="Calisto MT" w:hAnsi="Calisto MT" w:cs="Calisto MT"/>
        <w:color w:val="000000"/>
        <w:sz w:val="18"/>
        <w:szCs w:val="18"/>
      </w:rPr>
    </w:pPr>
    <w:r w:rsidRPr="00E876E9">
      <w:rPr>
        <w:rFonts w:ascii="Calisto MT" w:hAnsi="Calisto MT" w:cs="Times New Roman"/>
        <w:bCs/>
        <w:sz w:val="18"/>
      </w:rPr>
      <w:t>Author’s Name</w:t>
    </w:r>
    <w:r>
      <w:rPr>
        <w:rFonts w:ascii="Calisto MT" w:hAnsi="Calisto MT" w:cs="Times New Roman"/>
        <w:bCs/>
        <w:sz w:val="18"/>
      </w:rPr>
      <w:t>, et al.</w:t>
    </w:r>
    <w:r w:rsidRPr="00666526">
      <w:rPr>
        <w:rFonts w:ascii="Calisto MT" w:hAnsi="Calisto MT" w:cs="Calisto MT"/>
        <w:color w:val="000000"/>
        <w:sz w:val="18"/>
        <w:szCs w:val="20"/>
      </w:rPr>
      <w:t xml:space="preserve">/ </w:t>
    </w:r>
    <w:r w:rsidRPr="001D61B1">
      <w:rPr>
        <w:rFonts w:ascii="Calisto MT" w:hAnsi="Calisto MT" w:cs="Calisto MT"/>
        <w:sz w:val="18"/>
        <w:szCs w:val="20"/>
      </w:rPr>
      <w:t xml:space="preserve">Public Health Perspectives Journal </w:t>
    </w:r>
    <w:r>
      <w:rPr>
        <w:rFonts w:ascii="Calisto MT" w:hAnsi="Calisto MT" w:cs="Calisto MT"/>
        <w:sz w:val="18"/>
        <w:szCs w:val="20"/>
      </w:rPr>
      <w:t>…. …..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FA32" w14:textId="77777777" w:rsidR="00E64050" w:rsidRPr="00AB6728" w:rsidRDefault="00E64050" w:rsidP="00B60EF7">
    <w:pPr>
      <w:pStyle w:val="Header"/>
      <w:rPr>
        <w:rFonts w:ascii="Calisto MT" w:hAnsi="Calisto MT" w:cs="Calisto MT"/>
        <w:sz w:val="18"/>
        <w:szCs w:val="18"/>
        <w:lang w:val="it-IT"/>
      </w:rPr>
    </w:pPr>
  </w:p>
  <w:p w14:paraId="083D23B6" w14:textId="77777777" w:rsidR="00E64050" w:rsidRPr="00AB6728" w:rsidRDefault="00E64050"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A35EBC"/>
    <w:multiLevelType w:val="hybridMultilevel"/>
    <w:tmpl w:val="6F4A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2F6664"/>
    <w:multiLevelType w:val="hybridMultilevel"/>
    <w:tmpl w:val="8D625A2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F6F92"/>
    <w:multiLevelType w:val="hybridMultilevel"/>
    <w:tmpl w:val="F75412D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BF00A54"/>
    <w:multiLevelType w:val="multilevel"/>
    <w:tmpl w:val="9D3C963E"/>
    <w:lvl w:ilvl="0">
      <w:start w:val="1"/>
      <w:numFmt w:val="decimal"/>
      <w:lvlText w:val="%1."/>
      <w:lvlJc w:val="left"/>
      <w:pPr>
        <w:ind w:left="502" w:hanging="360"/>
      </w:pPr>
      <w:rPr>
        <w:b/>
      </w:rPr>
    </w:lvl>
    <w:lvl w:ilvl="1">
      <w:start w:val="1"/>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87126CE"/>
    <w:multiLevelType w:val="hybridMultilevel"/>
    <w:tmpl w:val="76C86D4E"/>
    <w:lvl w:ilvl="0" w:tplc="C948502C">
      <w:start w:val="1"/>
      <w:numFmt w:val="decimal"/>
      <w:lvlText w:val="%1."/>
      <w:lvlJc w:val="left"/>
      <w:pPr>
        <w:ind w:left="720" w:hanging="360"/>
      </w:pPr>
      <w:rPr>
        <w:rFonts w:ascii="Calisto MT" w:eastAsiaTheme="minorEastAsia" w:hAnsi="Calisto MT" w:cs="Times New Roman"/>
        <w:b w:val="0"/>
        <w:i w:val="0"/>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E2901"/>
    <w:multiLevelType w:val="hybridMultilevel"/>
    <w:tmpl w:val="828A689C"/>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5E2D3BBB"/>
    <w:multiLevelType w:val="hybridMultilevel"/>
    <w:tmpl w:val="A1CE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24" w15:restartNumberingAfterBreak="0">
    <w:nsid w:val="6E3825F4"/>
    <w:multiLevelType w:val="hybridMultilevel"/>
    <w:tmpl w:val="B9BE3416"/>
    <w:lvl w:ilvl="0" w:tplc="A65CA24C">
      <w:start w:val="1"/>
      <w:numFmt w:val="decimal"/>
      <w:lvlText w:val="%1)"/>
      <w:lvlJc w:val="left"/>
      <w:pPr>
        <w:ind w:left="1080" w:hanging="360"/>
      </w:pPr>
      <w:rPr>
        <w:rFonts w:asciiTheme="minorHAnsi" w:eastAsiaTheme="minorHAnsi" w:hAnsiTheme="minorHAnsi" w:cstheme="minorBid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1"/>
  </w:num>
  <w:num w:numId="5">
    <w:abstractNumId w:val="9"/>
  </w:num>
  <w:num w:numId="6">
    <w:abstractNumId w:val="14"/>
  </w:num>
  <w:num w:numId="7">
    <w:abstractNumId w:val="6"/>
  </w:num>
  <w:num w:numId="8">
    <w:abstractNumId w:val="26"/>
  </w:num>
  <w:num w:numId="9">
    <w:abstractNumId w:val="20"/>
  </w:num>
  <w:num w:numId="10">
    <w:abstractNumId w:val="23"/>
  </w:num>
  <w:num w:numId="11">
    <w:abstractNumId w:val="18"/>
  </w:num>
  <w:num w:numId="12">
    <w:abstractNumId w:val="8"/>
  </w:num>
  <w:num w:numId="13">
    <w:abstractNumId w:val="7"/>
  </w:num>
  <w:num w:numId="14">
    <w:abstractNumId w:val="0"/>
  </w:num>
  <w:num w:numId="15">
    <w:abstractNumId w:val="11"/>
  </w:num>
  <w:num w:numId="16">
    <w:abstractNumId w:val="13"/>
  </w:num>
  <w:num w:numId="17">
    <w:abstractNumId w:val="12"/>
  </w:num>
  <w:num w:numId="18">
    <w:abstractNumId w:val="15"/>
  </w:num>
  <w:num w:numId="19">
    <w:abstractNumId w:val="25"/>
  </w:num>
  <w:num w:numId="20">
    <w:abstractNumId w:val="27"/>
  </w:num>
  <w:num w:numId="21">
    <w:abstractNumId w:val="19"/>
  </w:num>
  <w:num w:numId="22">
    <w:abstractNumId w:val="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
  </w:num>
  <w:num w:numId="26">
    <w:abstractNumId w:val="10"/>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WzNDYzMzczMje3MDVT0lEKTi0uzszPAykwrQUA7O4P1CwAAAA="/>
  </w:docVars>
  <w:rsids>
    <w:rsidRoot w:val="0048529F"/>
    <w:rsid w:val="00003467"/>
    <w:rsid w:val="0000350D"/>
    <w:rsid w:val="00004B6E"/>
    <w:rsid w:val="0000672E"/>
    <w:rsid w:val="00014076"/>
    <w:rsid w:val="00017EB8"/>
    <w:rsid w:val="000238D5"/>
    <w:rsid w:val="0002538D"/>
    <w:rsid w:val="00027758"/>
    <w:rsid w:val="00027992"/>
    <w:rsid w:val="00031826"/>
    <w:rsid w:val="0004130F"/>
    <w:rsid w:val="00042675"/>
    <w:rsid w:val="00042B77"/>
    <w:rsid w:val="00046A53"/>
    <w:rsid w:val="00053D2F"/>
    <w:rsid w:val="00063A52"/>
    <w:rsid w:val="00063D5E"/>
    <w:rsid w:val="000667F2"/>
    <w:rsid w:val="0007255E"/>
    <w:rsid w:val="0007797C"/>
    <w:rsid w:val="00083EC8"/>
    <w:rsid w:val="000916F2"/>
    <w:rsid w:val="000934F3"/>
    <w:rsid w:val="000968BA"/>
    <w:rsid w:val="00097F3D"/>
    <w:rsid w:val="000A01F9"/>
    <w:rsid w:val="000A2676"/>
    <w:rsid w:val="000A28A1"/>
    <w:rsid w:val="000A2C93"/>
    <w:rsid w:val="000B0ADF"/>
    <w:rsid w:val="000B2B9A"/>
    <w:rsid w:val="000C289F"/>
    <w:rsid w:val="000C2DE8"/>
    <w:rsid w:val="000C57D9"/>
    <w:rsid w:val="000C669A"/>
    <w:rsid w:val="000C6FB6"/>
    <w:rsid w:val="000D0BEA"/>
    <w:rsid w:val="000D31AB"/>
    <w:rsid w:val="000D547B"/>
    <w:rsid w:val="000E13AF"/>
    <w:rsid w:val="000E4799"/>
    <w:rsid w:val="000E4826"/>
    <w:rsid w:val="000E51BA"/>
    <w:rsid w:val="000E570D"/>
    <w:rsid w:val="000F18E6"/>
    <w:rsid w:val="000F2E07"/>
    <w:rsid w:val="000F487C"/>
    <w:rsid w:val="000F67F9"/>
    <w:rsid w:val="000F77C9"/>
    <w:rsid w:val="001019D3"/>
    <w:rsid w:val="00101B14"/>
    <w:rsid w:val="00102701"/>
    <w:rsid w:val="0010749B"/>
    <w:rsid w:val="00110ED8"/>
    <w:rsid w:val="001161DA"/>
    <w:rsid w:val="001167E8"/>
    <w:rsid w:val="0011770E"/>
    <w:rsid w:val="00117F7F"/>
    <w:rsid w:val="001268AE"/>
    <w:rsid w:val="001302B8"/>
    <w:rsid w:val="00133D41"/>
    <w:rsid w:val="00136DAD"/>
    <w:rsid w:val="001378EE"/>
    <w:rsid w:val="00141B8F"/>
    <w:rsid w:val="001454D6"/>
    <w:rsid w:val="00150FF1"/>
    <w:rsid w:val="00152287"/>
    <w:rsid w:val="001561EA"/>
    <w:rsid w:val="00157ACE"/>
    <w:rsid w:val="001651D0"/>
    <w:rsid w:val="00167B51"/>
    <w:rsid w:val="0017303F"/>
    <w:rsid w:val="00175F55"/>
    <w:rsid w:val="001776DE"/>
    <w:rsid w:val="00180F13"/>
    <w:rsid w:val="001810A2"/>
    <w:rsid w:val="00191F32"/>
    <w:rsid w:val="00193A38"/>
    <w:rsid w:val="00194952"/>
    <w:rsid w:val="001951E9"/>
    <w:rsid w:val="001A2D9E"/>
    <w:rsid w:val="001A2ED3"/>
    <w:rsid w:val="001A3323"/>
    <w:rsid w:val="001A7727"/>
    <w:rsid w:val="001B113D"/>
    <w:rsid w:val="001B39E1"/>
    <w:rsid w:val="001B649C"/>
    <w:rsid w:val="001C2232"/>
    <w:rsid w:val="001C2BB5"/>
    <w:rsid w:val="001C433A"/>
    <w:rsid w:val="001C4A9E"/>
    <w:rsid w:val="001D11DB"/>
    <w:rsid w:val="001D2E8D"/>
    <w:rsid w:val="001D5164"/>
    <w:rsid w:val="001D61B1"/>
    <w:rsid w:val="001E0A2F"/>
    <w:rsid w:val="001E225B"/>
    <w:rsid w:val="001E38BA"/>
    <w:rsid w:val="001E45FB"/>
    <w:rsid w:val="001E508D"/>
    <w:rsid w:val="001E61DC"/>
    <w:rsid w:val="001E6DA8"/>
    <w:rsid w:val="001F0A9C"/>
    <w:rsid w:val="001F4982"/>
    <w:rsid w:val="00202E71"/>
    <w:rsid w:val="00203F8F"/>
    <w:rsid w:val="002075D3"/>
    <w:rsid w:val="00213520"/>
    <w:rsid w:val="00214820"/>
    <w:rsid w:val="0021555C"/>
    <w:rsid w:val="00215919"/>
    <w:rsid w:val="002160B6"/>
    <w:rsid w:val="00216811"/>
    <w:rsid w:val="00217D0F"/>
    <w:rsid w:val="0022222E"/>
    <w:rsid w:val="00223144"/>
    <w:rsid w:val="0022777A"/>
    <w:rsid w:val="00227CB1"/>
    <w:rsid w:val="00230CD4"/>
    <w:rsid w:val="00234254"/>
    <w:rsid w:val="002352AE"/>
    <w:rsid w:val="00240394"/>
    <w:rsid w:val="00244AD5"/>
    <w:rsid w:val="002450A9"/>
    <w:rsid w:val="0025190A"/>
    <w:rsid w:val="002519B3"/>
    <w:rsid w:val="00256ADF"/>
    <w:rsid w:val="00263706"/>
    <w:rsid w:val="00264221"/>
    <w:rsid w:val="002645A2"/>
    <w:rsid w:val="00264831"/>
    <w:rsid w:val="00265EC5"/>
    <w:rsid w:val="00267EA3"/>
    <w:rsid w:val="00270F67"/>
    <w:rsid w:val="002717BE"/>
    <w:rsid w:val="00271AD1"/>
    <w:rsid w:val="002722C2"/>
    <w:rsid w:val="002767AF"/>
    <w:rsid w:val="00282AF6"/>
    <w:rsid w:val="00286357"/>
    <w:rsid w:val="00287BA6"/>
    <w:rsid w:val="00287E24"/>
    <w:rsid w:val="00296058"/>
    <w:rsid w:val="002A35D4"/>
    <w:rsid w:val="002A5EB8"/>
    <w:rsid w:val="002A7D4A"/>
    <w:rsid w:val="002B007F"/>
    <w:rsid w:val="002B2830"/>
    <w:rsid w:val="002B2914"/>
    <w:rsid w:val="002B381F"/>
    <w:rsid w:val="002B5064"/>
    <w:rsid w:val="002B5BE4"/>
    <w:rsid w:val="002C04E0"/>
    <w:rsid w:val="002C3BA2"/>
    <w:rsid w:val="002C487A"/>
    <w:rsid w:val="002D3ABB"/>
    <w:rsid w:val="002D7995"/>
    <w:rsid w:val="002E0AE0"/>
    <w:rsid w:val="002E0D3C"/>
    <w:rsid w:val="002E2A09"/>
    <w:rsid w:val="002E4700"/>
    <w:rsid w:val="002E53DA"/>
    <w:rsid w:val="002E6DCC"/>
    <w:rsid w:val="002E70E4"/>
    <w:rsid w:val="002F2774"/>
    <w:rsid w:val="002F4170"/>
    <w:rsid w:val="002F4638"/>
    <w:rsid w:val="002F66B2"/>
    <w:rsid w:val="002F66E6"/>
    <w:rsid w:val="00301984"/>
    <w:rsid w:val="00302EB8"/>
    <w:rsid w:val="00313E44"/>
    <w:rsid w:val="00317257"/>
    <w:rsid w:val="003275D4"/>
    <w:rsid w:val="00327E45"/>
    <w:rsid w:val="00330126"/>
    <w:rsid w:val="003303CD"/>
    <w:rsid w:val="00332036"/>
    <w:rsid w:val="003359A8"/>
    <w:rsid w:val="00340F8A"/>
    <w:rsid w:val="003447B2"/>
    <w:rsid w:val="003468C3"/>
    <w:rsid w:val="00346A5E"/>
    <w:rsid w:val="00363C2F"/>
    <w:rsid w:val="00366FA0"/>
    <w:rsid w:val="00371EE3"/>
    <w:rsid w:val="00374DB6"/>
    <w:rsid w:val="00375076"/>
    <w:rsid w:val="00377E15"/>
    <w:rsid w:val="0038061D"/>
    <w:rsid w:val="00381375"/>
    <w:rsid w:val="0038336C"/>
    <w:rsid w:val="00383B73"/>
    <w:rsid w:val="00384711"/>
    <w:rsid w:val="0039223C"/>
    <w:rsid w:val="00392280"/>
    <w:rsid w:val="00393367"/>
    <w:rsid w:val="003976D6"/>
    <w:rsid w:val="003A25AA"/>
    <w:rsid w:val="003A3CD5"/>
    <w:rsid w:val="003B1B31"/>
    <w:rsid w:val="003B2996"/>
    <w:rsid w:val="003B76C9"/>
    <w:rsid w:val="003C1602"/>
    <w:rsid w:val="003C3F8F"/>
    <w:rsid w:val="003C5115"/>
    <w:rsid w:val="003D2217"/>
    <w:rsid w:val="003D5420"/>
    <w:rsid w:val="003D5FA3"/>
    <w:rsid w:val="003E058D"/>
    <w:rsid w:val="003E1892"/>
    <w:rsid w:val="003E1FB1"/>
    <w:rsid w:val="003E204D"/>
    <w:rsid w:val="003E5D58"/>
    <w:rsid w:val="003E65C8"/>
    <w:rsid w:val="003E69E2"/>
    <w:rsid w:val="003F531F"/>
    <w:rsid w:val="003F69D8"/>
    <w:rsid w:val="003F6D1E"/>
    <w:rsid w:val="00402489"/>
    <w:rsid w:val="004034F3"/>
    <w:rsid w:val="00404A97"/>
    <w:rsid w:val="00410015"/>
    <w:rsid w:val="00412C22"/>
    <w:rsid w:val="00417223"/>
    <w:rsid w:val="0041776A"/>
    <w:rsid w:val="00420A46"/>
    <w:rsid w:val="00421226"/>
    <w:rsid w:val="004213AF"/>
    <w:rsid w:val="004233A9"/>
    <w:rsid w:val="00423E21"/>
    <w:rsid w:val="004240C3"/>
    <w:rsid w:val="00426D2C"/>
    <w:rsid w:val="00426EF7"/>
    <w:rsid w:val="00430708"/>
    <w:rsid w:val="00431028"/>
    <w:rsid w:val="00436BF2"/>
    <w:rsid w:val="0043770D"/>
    <w:rsid w:val="00440647"/>
    <w:rsid w:val="00441CD3"/>
    <w:rsid w:val="004429DA"/>
    <w:rsid w:val="004440B2"/>
    <w:rsid w:val="004453FD"/>
    <w:rsid w:val="00445563"/>
    <w:rsid w:val="00445DC9"/>
    <w:rsid w:val="0044603C"/>
    <w:rsid w:val="00456058"/>
    <w:rsid w:val="004563F3"/>
    <w:rsid w:val="00461327"/>
    <w:rsid w:val="00462247"/>
    <w:rsid w:val="00463728"/>
    <w:rsid w:val="00467DE7"/>
    <w:rsid w:val="00473CB8"/>
    <w:rsid w:val="00481314"/>
    <w:rsid w:val="00481592"/>
    <w:rsid w:val="00484B18"/>
    <w:rsid w:val="0048529F"/>
    <w:rsid w:val="00490901"/>
    <w:rsid w:val="00492A3B"/>
    <w:rsid w:val="0049389B"/>
    <w:rsid w:val="00493901"/>
    <w:rsid w:val="004969EE"/>
    <w:rsid w:val="00496D50"/>
    <w:rsid w:val="004A091C"/>
    <w:rsid w:val="004A1CE9"/>
    <w:rsid w:val="004A486C"/>
    <w:rsid w:val="004A5F85"/>
    <w:rsid w:val="004A5FAC"/>
    <w:rsid w:val="004A69E1"/>
    <w:rsid w:val="004A74D4"/>
    <w:rsid w:val="004A7746"/>
    <w:rsid w:val="004B0C5D"/>
    <w:rsid w:val="004B1269"/>
    <w:rsid w:val="004B2620"/>
    <w:rsid w:val="004B56F0"/>
    <w:rsid w:val="004C5F51"/>
    <w:rsid w:val="004C7DBE"/>
    <w:rsid w:val="004D28EB"/>
    <w:rsid w:val="004D58F7"/>
    <w:rsid w:val="004D5F5A"/>
    <w:rsid w:val="004D6FD7"/>
    <w:rsid w:val="004E1FF7"/>
    <w:rsid w:val="004E2006"/>
    <w:rsid w:val="004E4978"/>
    <w:rsid w:val="004E5897"/>
    <w:rsid w:val="004F2804"/>
    <w:rsid w:val="004F4D50"/>
    <w:rsid w:val="004F5ADD"/>
    <w:rsid w:val="004F5D69"/>
    <w:rsid w:val="004F6E63"/>
    <w:rsid w:val="005056D9"/>
    <w:rsid w:val="0050596A"/>
    <w:rsid w:val="0051077E"/>
    <w:rsid w:val="00513F82"/>
    <w:rsid w:val="00520D89"/>
    <w:rsid w:val="00522933"/>
    <w:rsid w:val="00522FD8"/>
    <w:rsid w:val="00524720"/>
    <w:rsid w:val="00527A0E"/>
    <w:rsid w:val="00527CDC"/>
    <w:rsid w:val="005338DD"/>
    <w:rsid w:val="00535A0D"/>
    <w:rsid w:val="005400F4"/>
    <w:rsid w:val="005442AB"/>
    <w:rsid w:val="005447FC"/>
    <w:rsid w:val="0054765E"/>
    <w:rsid w:val="00551E11"/>
    <w:rsid w:val="00552CC8"/>
    <w:rsid w:val="00554EFB"/>
    <w:rsid w:val="00557453"/>
    <w:rsid w:val="00561A4C"/>
    <w:rsid w:val="005622CE"/>
    <w:rsid w:val="00565F22"/>
    <w:rsid w:val="0056669D"/>
    <w:rsid w:val="00574ECD"/>
    <w:rsid w:val="00575A7F"/>
    <w:rsid w:val="00575BBE"/>
    <w:rsid w:val="0058144D"/>
    <w:rsid w:val="00582DD3"/>
    <w:rsid w:val="00582F47"/>
    <w:rsid w:val="00585C0E"/>
    <w:rsid w:val="00587B6C"/>
    <w:rsid w:val="00587EDF"/>
    <w:rsid w:val="00590812"/>
    <w:rsid w:val="00592342"/>
    <w:rsid w:val="0059483A"/>
    <w:rsid w:val="0059493D"/>
    <w:rsid w:val="00594B22"/>
    <w:rsid w:val="005A12B5"/>
    <w:rsid w:val="005A19ED"/>
    <w:rsid w:val="005A2F0A"/>
    <w:rsid w:val="005A54DF"/>
    <w:rsid w:val="005B1B19"/>
    <w:rsid w:val="005B520F"/>
    <w:rsid w:val="005B5BB6"/>
    <w:rsid w:val="005B5F9C"/>
    <w:rsid w:val="005B6C4C"/>
    <w:rsid w:val="005B747D"/>
    <w:rsid w:val="005C4329"/>
    <w:rsid w:val="005C4469"/>
    <w:rsid w:val="005D08F6"/>
    <w:rsid w:val="005D27A1"/>
    <w:rsid w:val="005D7E11"/>
    <w:rsid w:val="005E06CF"/>
    <w:rsid w:val="005E18DD"/>
    <w:rsid w:val="005E2880"/>
    <w:rsid w:val="005E515A"/>
    <w:rsid w:val="005F1979"/>
    <w:rsid w:val="005F2226"/>
    <w:rsid w:val="005F2531"/>
    <w:rsid w:val="005F2DDA"/>
    <w:rsid w:val="005F5E75"/>
    <w:rsid w:val="005F7BD2"/>
    <w:rsid w:val="00602352"/>
    <w:rsid w:val="006057D8"/>
    <w:rsid w:val="00605EBA"/>
    <w:rsid w:val="006070A0"/>
    <w:rsid w:val="006076C2"/>
    <w:rsid w:val="00607775"/>
    <w:rsid w:val="00610964"/>
    <w:rsid w:val="006137C1"/>
    <w:rsid w:val="00614BBE"/>
    <w:rsid w:val="00615326"/>
    <w:rsid w:val="00620C99"/>
    <w:rsid w:val="00622712"/>
    <w:rsid w:val="0062389B"/>
    <w:rsid w:val="00624D21"/>
    <w:rsid w:val="00624F01"/>
    <w:rsid w:val="00630963"/>
    <w:rsid w:val="00634623"/>
    <w:rsid w:val="00634941"/>
    <w:rsid w:val="0063743B"/>
    <w:rsid w:val="006474BF"/>
    <w:rsid w:val="00647B49"/>
    <w:rsid w:val="0065008E"/>
    <w:rsid w:val="00650C18"/>
    <w:rsid w:val="00651EB8"/>
    <w:rsid w:val="00653D7A"/>
    <w:rsid w:val="00654B75"/>
    <w:rsid w:val="00654FE2"/>
    <w:rsid w:val="00656CDD"/>
    <w:rsid w:val="0065757F"/>
    <w:rsid w:val="006601B9"/>
    <w:rsid w:val="00661512"/>
    <w:rsid w:val="00666526"/>
    <w:rsid w:val="0066703C"/>
    <w:rsid w:val="00672944"/>
    <w:rsid w:val="00676E01"/>
    <w:rsid w:val="00677C8C"/>
    <w:rsid w:val="00680A85"/>
    <w:rsid w:val="00681DC2"/>
    <w:rsid w:val="00683FA7"/>
    <w:rsid w:val="0068673F"/>
    <w:rsid w:val="00690BA5"/>
    <w:rsid w:val="00693076"/>
    <w:rsid w:val="00695123"/>
    <w:rsid w:val="00696C94"/>
    <w:rsid w:val="006A2ADE"/>
    <w:rsid w:val="006A30E5"/>
    <w:rsid w:val="006A40F4"/>
    <w:rsid w:val="006A5E83"/>
    <w:rsid w:val="006A6ABD"/>
    <w:rsid w:val="006B249C"/>
    <w:rsid w:val="006B2C10"/>
    <w:rsid w:val="006B2EC7"/>
    <w:rsid w:val="006B4306"/>
    <w:rsid w:val="006B45C6"/>
    <w:rsid w:val="006B5E0A"/>
    <w:rsid w:val="006B7020"/>
    <w:rsid w:val="006B74E2"/>
    <w:rsid w:val="006C57E6"/>
    <w:rsid w:val="006C603B"/>
    <w:rsid w:val="006D07BA"/>
    <w:rsid w:val="006D238F"/>
    <w:rsid w:val="006D419A"/>
    <w:rsid w:val="006D59B0"/>
    <w:rsid w:val="006E02AA"/>
    <w:rsid w:val="006E0D54"/>
    <w:rsid w:val="006E0DA8"/>
    <w:rsid w:val="006E289C"/>
    <w:rsid w:val="006E3E47"/>
    <w:rsid w:val="006F0D48"/>
    <w:rsid w:val="006F1ABA"/>
    <w:rsid w:val="006F2452"/>
    <w:rsid w:val="006F4969"/>
    <w:rsid w:val="006F7F62"/>
    <w:rsid w:val="0070196B"/>
    <w:rsid w:val="00703200"/>
    <w:rsid w:val="0070416C"/>
    <w:rsid w:val="00704EC2"/>
    <w:rsid w:val="007050C9"/>
    <w:rsid w:val="00707D68"/>
    <w:rsid w:val="00715C3B"/>
    <w:rsid w:val="0072053B"/>
    <w:rsid w:val="00723FBD"/>
    <w:rsid w:val="00725150"/>
    <w:rsid w:val="00727865"/>
    <w:rsid w:val="007319B9"/>
    <w:rsid w:val="00737F20"/>
    <w:rsid w:val="007414A3"/>
    <w:rsid w:val="00741859"/>
    <w:rsid w:val="00741DC7"/>
    <w:rsid w:val="00742A5D"/>
    <w:rsid w:val="007430DA"/>
    <w:rsid w:val="007448F2"/>
    <w:rsid w:val="007452FA"/>
    <w:rsid w:val="00747973"/>
    <w:rsid w:val="00747F56"/>
    <w:rsid w:val="00752010"/>
    <w:rsid w:val="00754D9E"/>
    <w:rsid w:val="0076067D"/>
    <w:rsid w:val="00764917"/>
    <w:rsid w:val="00767011"/>
    <w:rsid w:val="007672FD"/>
    <w:rsid w:val="007673D0"/>
    <w:rsid w:val="00767F25"/>
    <w:rsid w:val="007711C6"/>
    <w:rsid w:val="007715CC"/>
    <w:rsid w:val="007918C5"/>
    <w:rsid w:val="00792536"/>
    <w:rsid w:val="00793925"/>
    <w:rsid w:val="00796C07"/>
    <w:rsid w:val="00797112"/>
    <w:rsid w:val="00797E98"/>
    <w:rsid w:val="007A152A"/>
    <w:rsid w:val="007A26AE"/>
    <w:rsid w:val="007A48D1"/>
    <w:rsid w:val="007B01DA"/>
    <w:rsid w:val="007B3AA8"/>
    <w:rsid w:val="007B66D7"/>
    <w:rsid w:val="007C13F8"/>
    <w:rsid w:val="007C1BC0"/>
    <w:rsid w:val="007C22A6"/>
    <w:rsid w:val="007D2295"/>
    <w:rsid w:val="007D22C5"/>
    <w:rsid w:val="007D3085"/>
    <w:rsid w:val="007D3269"/>
    <w:rsid w:val="007D39B1"/>
    <w:rsid w:val="007D3DDA"/>
    <w:rsid w:val="007E251B"/>
    <w:rsid w:val="007E3123"/>
    <w:rsid w:val="007E3517"/>
    <w:rsid w:val="007E3572"/>
    <w:rsid w:val="007E7F60"/>
    <w:rsid w:val="007F245C"/>
    <w:rsid w:val="007F3905"/>
    <w:rsid w:val="007F513E"/>
    <w:rsid w:val="007F5CCD"/>
    <w:rsid w:val="00807560"/>
    <w:rsid w:val="00807EC3"/>
    <w:rsid w:val="00812287"/>
    <w:rsid w:val="00812FF3"/>
    <w:rsid w:val="008140A6"/>
    <w:rsid w:val="00814F2A"/>
    <w:rsid w:val="00815E4D"/>
    <w:rsid w:val="0082093E"/>
    <w:rsid w:val="008226B3"/>
    <w:rsid w:val="00822CC8"/>
    <w:rsid w:val="00824ED8"/>
    <w:rsid w:val="00832066"/>
    <w:rsid w:val="00835563"/>
    <w:rsid w:val="0083571A"/>
    <w:rsid w:val="008361A5"/>
    <w:rsid w:val="00836435"/>
    <w:rsid w:val="00836CC5"/>
    <w:rsid w:val="008372DC"/>
    <w:rsid w:val="0084135D"/>
    <w:rsid w:val="00842B9F"/>
    <w:rsid w:val="0084370A"/>
    <w:rsid w:val="008444A7"/>
    <w:rsid w:val="00846224"/>
    <w:rsid w:val="00846503"/>
    <w:rsid w:val="008467EF"/>
    <w:rsid w:val="00850D84"/>
    <w:rsid w:val="00851764"/>
    <w:rsid w:val="00852420"/>
    <w:rsid w:val="008528C8"/>
    <w:rsid w:val="00852D2D"/>
    <w:rsid w:val="008537EB"/>
    <w:rsid w:val="00853B07"/>
    <w:rsid w:val="00855F17"/>
    <w:rsid w:val="00857563"/>
    <w:rsid w:val="00857CA8"/>
    <w:rsid w:val="00861094"/>
    <w:rsid w:val="008650AA"/>
    <w:rsid w:val="008656E9"/>
    <w:rsid w:val="00867535"/>
    <w:rsid w:val="008709D3"/>
    <w:rsid w:val="00870B10"/>
    <w:rsid w:val="00870CC8"/>
    <w:rsid w:val="0087573E"/>
    <w:rsid w:val="00875F9A"/>
    <w:rsid w:val="00877881"/>
    <w:rsid w:val="00881326"/>
    <w:rsid w:val="00882B1C"/>
    <w:rsid w:val="00883607"/>
    <w:rsid w:val="00884943"/>
    <w:rsid w:val="00886A18"/>
    <w:rsid w:val="00887963"/>
    <w:rsid w:val="00892440"/>
    <w:rsid w:val="0089467E"/>
    <w:rsid w:val="00896EB3"/>
    <w:rsid w:val="00897FFD"/>
    <w:rsid w:val="008A0415"/>
    <w:rsid w:val="008A183D"/>
    <w:rsid w:val="008A22FE"/>
    <w:rsid w:val="008A3C1F"/>
    <w:rsid w:val="008A4E03"/>
    <w:rsid w:val="008B178E"/>
    <w:rsid w:val="008B3A12"/>
    <w:rsid w:val="008B5A24"/>
    <w:rsid w:val="008B61D2"/>
    <w:rsid w:val="008C2548"/>
    <w:rsid w:val="008C298D"/>
    <w:rsid w:val="008C365C"/>
    <w:rsid w:val="008C38C2"/>
    <w:rsid w:val="008C3B54"/>
    <w:rsid w:val="008C42A2"/>
    <w:rsid w:val="008C5A53"/>
    <w:rsid w:val="008D0467"/>
    <w:rsid w:val="008D1CAD"/>
    <w:rsid w:val="008D4E40"/>
    <w:rsid w:val="008D6BB9"/>
    <w:rsid w:val="008E437E"/>
    <w:rsid w:val="008F0236"/>
    <w:rsid w:val="008F28D5"/>
    <w:rsid w:val="008F33F9"/>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2335"/>
    <w:rsid w:val="00924A26"/>
    <w:rsid w:val="009309FE"/>
    <w:rsid w:val="00930D7A"/>
    <w:rsid w:val="00931328"/>
    <w:rsid w:val="00931651"/>
    <w:rsid w:val="009329EB"/>
    <w:rsid w:val="00932BC5"/>
    <w:rsid w:val="00934F04"/>
    <w:rsid w:val="009401F7"/>
    <w:rsid w:val="00940EB5"/>
    <w:rsid w:val="0094389D"/>
    <w:rsid w:val="00944656"/>
    <w:rsid w:val="00946CE5"/>
    <w:rsid w:val="00947DEE"/>
    <w:rsid w:val="009551F9"/>
    <w:rsid w:val="00955D51"/>
    <w:rsid w:val="00955E2F"/>
    <w:rsid w:val="009601BD"/>
    <w:rsid w:val="009670C7"/>
    <w:rsid w:val="00972A2B"/>
    <w:rsid w:val="00974193"/>
    <w:rsid w:val="00976340"/>
    <w:rsid w:val="009823A5"/>
    <w:rsid w:val="00982871"/>
    <w:rsid w:val="00984427"/>
    <w:rsid w:val="00984B25"/>
    <w:rsid w:val="00985373"/>
    <w:rsid w:val="0098542D"/>
    <w:rsid w:val="009859E6"/>
    <w:rsid w:val="009859F7"/>
    <w:rsid w:val="0098605C"/>
    <w:rsid w:val="00992238"/>
    <w:rsid w:val="00996A65"/>
    <w:rsid w:val="009A1EA2"/>
    <w:rsid w:val="009A2466"/>
    <w:rsid w:val="009A31C2"/>
    <w:rsid w:val="009A334C"/>
    <w:rsid w:val="009B20C8"/>
    <w:rsid w:val="009B2522"/>
    <w:rsid w:val="009B2E1A"/>
    <w:rsid w:val="009B2F02"/>
    <w:rsid w:val="009B670C"/>
    <w:rsid w:val="009C0324"/>
    <w:rsid w:val="009C3068"/>
    <w:rsid w:val="009C52D2"/>
    <w:rsid w:val="009C7AB4"/>
    <w:rsid w:val="009D2724"/>
    <w:rsid w:val="009D3BC6"/>
    <w:rsid w:val="009D436B"/>
    <w:rsid w:val="009D48BF"/>
    <w:rsid w:val="009E540F"/>
    <w:rsid w:val="009E6993"/>
    <w:rsid w:val="009E6C72"/>
    <w:rsid w:val="009E6E19"/>
    <w:rsid w:val="009F0274"/>
    <w:rsid w:val="009F0333"/>
    <w:rsid w:val="009F10EC"/>
    <w:rsid w:val="009F44A0"/>
    <w:rsid w:val="00A022BA"/>
    <w:rsid w:val="00A025EA"/>
    <w:rsid w:val="00A10F88"/>
    <w:rsid w:val="00A11DF4"/>
    <w:rsid w:val="00A1370A"/>
    <w:rsid w:val="00A147C9"/>
    <w:rsid w:val="00A17629"/>
    <w:rsid w:val="00A178E2"/>
    <w:rsid w:val="00A203AA"/>
    <w:rsid w:val="00A2084C"/>
    <w:rsid w:val="00A21C4C"/>
    <w:rsid w:val="00A258B6"/>
    <w:rsid w:val="00A260D6"/>
    <w:rsid w:val="00A2701E"/>
    <w:rsid w:val="00A30CAA"/>
    <w:rsid w:val="00A317F9"/>
    <w:rsid w:val="00A40286"/>
    <w:rsid w:val="00A46B5F"/>
    <w:rsid w:val="00A47EC0"/>
    <w:rsid w:val="00A5054A"/>
    <w:rsid w:val="00A517DC"/>
    <w:rsid w:val="00A54B37"/>
    <w:rsid w:val="00A56AC9"/>
    <w:rsid w:val="00A57125"/>
    <w:rsid w:val="00A5771B"/>
    <w:rsid w:val="00A57CC3"/>
    <w:rsid w:val="00A60146"/>
    <w:rsid w:val="00A61D8F"/>
    <w:rsid w:val="00A62336"/>
    <w:rsid w:val="00A62AC5"/>
    <w:rsid w:val="00A66FC9"/>
    <w:rsid w:val="00A707CE"/>
    <w:rsid w:val="00A73911"/>
    <w:rsid w:val="00A74192"/>
    <w:rsid w:val="00A77E7E"/>
    <w:rsid w:val="00A8635D"/>
    <w:rsid w:val="00A86566"/>
    <w:rsid w:val="00A90BD0"/>
    <w:rsid w:val="00A91594"/>
    <w:rsid w:val="00A940F7"/>
    <w:rsid w:val="00A95E18"/>
    <w:rsid w:val="00A965F3"/>
    <w:rsid w:val="00A979B3"/>
    <w:rsid w:val="00AA0C29"/>
    <w:rsid w:val="00AA44F6"/>
    <w:rsid w:val="00AA686F"/>
    <w:rsid w:val="00AB0075"/>
    <w:rsid w:val="00AB396F"/>
    <w:rsid w:val="00AB6728"/>
    <w:rsid w:val="00AC0CAD"/>
    <w:rsid w:val="00AC2B6F"/>
    <w:rsid w:val="00AC6728"/>
    <w:rsid w:val="00AD0CB5"/>
    <w:rsid w:val="00AD4208"/>
    <w:rsid w:val="00AD49DA"/>
    <w:rsid w:val="00AD4A1C"/>
    <w:rsid w:val="00AD5654"/>
    <w:rsid w:val="00AD6FC4"/>
    <w:rsid w:val="00AE1788"/>
    <w:rsid w:val="00AE43DF"/>
    <w:rsid w:val="00AF1B80"/>
    <w:rsid w:val="00AF2294"/>
    <w:rsid w:val="00AF2E9B"/>
    <w:rsid w:val="00AF4B30"/>
    <w:rsid w:val="00AF515F"/>
    <w:rsid w:val="00B0589D"/>
    <w:rsid w:val="00B13FF7"/>
    <w:rsid w:val="00B226E3"/>
    <w:rsid w:val="00B23BF8"/>
    <w:rsid w:val="00B24A9E"/>
    <w:rsid w:val="00B24CEE"/>
    <w:rsid w:val="00B253BF"/>
    <w:rsid w:val="00B26E60"/>
    <w:rsid w:val="00B27F35"/>
    <w:rsid w:val="00B316FD"/>
    <w:rsid w:val="00B3359E"/>
    <w:rsid w:val="00B33797"/>
    <w:rsid w:val="00B33AEA"/>
    <w:rsid w:val="00B3619F"/>
    <w:rsid w:val="00B3752B"/>
    <w:rsid w:val="00B40ACE"/>
    <w:rsid w:val="00B41E17"/>
    <w:rsid w:val="00B44473"/>
    <w:rsid w:val="00B466B7"/>
    <w:rsid w:val="00B5238D"/>
    <w:rsid w:val="00B523CF"/>
    <w:rsid w:val="00B54069"/>
    <w:rsid w:val="00B547EA"/>
    <w:rsid w:val="00B55D6C"/>
    <w:rsid w:val="00B60EF7"/>
    <w:rsid w:val="00B65E15"/>
    <w:rsid w:val="00B70380"/>
    <w:rsid w:val="00B72ECC"/>
    <w:rsid w:val="00B756FC"/>
    <w:rsid w:val="00B758FB"/>
    <w:rsid w:val="00B80139"/>
    <w:rsid w:val="00B802B9"/>
    <w:rsid w:val="00B821A4"/>
    <w:rsid w:val="00B85AC5"/>
    <w:rsid w:val="00B8652C"/>
    <w:rsid w:val="00B93C5F"/>
    <w:rsid w:val="00B97605"/>
    <w:rsid w:val="00BA2C42"/>
    <w:rsid w:val="00BA2D40"/>
    <w:rsid w:val="00BA4919"/>
    <w:rsid w:val="00BA4E83"/>
    <w:rsid w:val="00BA6915"/>
    <w:rsid w:val="00BB533C"/>
    <w:rsid w:val="00BB63D8"/>
    <w:rsid w:val="00BC292C"/>
    <w:rsid w:val="00BC3ECC"/>
    <w:rsid w:val="00BC4EAD"/>
    <w:rsid w:val="00BC7381"/>
    <w:rsid w:val="00BD0233"/>
    <w:rsid w:val="00BD1DAF"/>
    <w:rsid w:val="00BD2001"/>
    <w:rsid w:val="00BD281A"/>
    <w:rsid w:val="00BD500F"/>
    <w:rsid w:val="00BD6B44"/>
    <w:rsid w:val="00BE0741"/>
    <w:rsid w:val="00BE14B8"/>
    <w:rsid w:val="00BE30EA"/>
    <w:rsid w:val="00BE3AB6"/>
    <w:rsid w:val="00BE3B99"/>
    <w:rsid w:val="00BE3E6F"/>
    <w:rsid w:val="00BF14C7"/>
    <w:rsid w:val="00BF21D9"/>
    <w:rsid w:val="00BF4820"/>
    <w:rsid w:val="00BF7181"/>
    <w:rsid w:val="00BF74E7"/>
    <w:rsid w:val="00BF7C53"/>
    <w:rsid w:val="00C0142D"/>
    <w:rsid w:val="00C14659"/>
    <w:rsid w:val="00C14EFA"/>
    <w:rsid w:val="00C1637F"/>
    <w:rsid w:val="00C23949"/>
    <w:rsid w:val="00C24F85"/>
    <w:rsid w:val="00C3322E"/>
    <w:rsid w:val="00C33919"/>
    <w:rsid w:val="00C37ECC"/>
    <w:rsid w:val="00C40547"/>
    <w:rsid w:val="00C42BE2"/>
    <w:rsid w:val="00C44279"/>
    <w:rsid w:val="00C46B15"/>
    <w:rsid w:val="00C5248F"/>
    <w:rsid w:val="00C52B7D"/>
    <w:rsid w:val="00C53C41"/>
    <w:rsid w:val="00C6130C"/>
    <w:rsid w:val="00C61362"/>
    <w:rsid w:val="00C65694"/>
    <w:rsid w:val="00C72E16"/>
    <w:rsid w:val="00C7399C"/>
    <w:rsid w:val="00C75D83"/>
    <w:rsid w:val="00C80AAC"/>
    <w:rsid w:val="00C815F7"/>
    <w:rsid w:val="00C826EB"/>
    <w:rsid w:val="00C82CD7"/>
    <w:rsid w:val="00C9000B"/>
    <w:rsid w:val="00C91884"/>
    <w:rsid w:val="00C9596F"/>
    <w:rsid w:val="00C96B22"/>
    <w:rsid w:val="00CA1E2B"/>
    <w:rsid w:val="00CA376F"/>
    <w:rsid w:val="00CA377B"/>
    <w:rsid w:val="00CA3CFF"/>
    <w:rsid w:val="00CA4254"/>
    <w:rsid w:val="00CA4435"/>
    <w:rsid w:val="00CA50FC"/>
    <w:rsid w:val="00CA7F54"/>
    <w:rsid w:val="00CB0146"/>
    <w:rsid w:val="00CC11F6"/>
    <w:rsid w:val="00CC1A35"/>
    <w:rsid w:val="00CC25BD"/>
    <w:rsid w:val="00CC4CF4"/>
    <w:rsid w:val="00CC5DD3"/>
    <w:rsid w:val="00CD502A"/>
    <w:rsid w:val="00CD5706"/>
    <w:rsid w:val="00CD6162"/>
    <w:rsid w:val="00CD7E56"/>
    <w:rsid w:val="00CE6633"/>
    <w:rsid w:val="00CF111E"/>
    <w:rsid w:val="00CF2360"/>
    <w:rsid w:val="00CF2810"/>
    <w:rsid w:val="00CF338B"/>
    <w:rsid w:val="00CF4D84"/>
    <w:rsid w:val="00CF5EF4"/>
    <w:rsid w:val="00D0194D"/>
    <w:rsid w:val="00D03F61"/>
    <w:rsid w:val="00D04E30"/>
    <w:rsid w:val="00D055CE"/>
    <w:rsid w:val="00D063B2"/>
    <w:rsid w:val="00D11089"/>
    <w:rsid w:val="00D11DA2"/>
    <w:rsid w:val="00D1263E"/>
    <w:rsid w:val="00D16679"/>
    <w:rsid w:val="00D23AC2"/>
    <w:rsid w:val="00D255A8"/>
    <w:rsid w:val="00D3099F"/>
    <w:rsid w:val="00D30D3D"/>
    <w:rsid w:val="00D3364B"/>
    <w:rsid w:val="00D351BA"/>
    <w:rsid w:val="00D3797D"/>
    <w:rsid w:val="00D404B5"/>
    <w:rsid w:val="00D41DA1"/>
    <w:rsid w:val="00D45A6B"/>
    <w:rsid w:val="00D46DDA"/>
    <w:rsid w:val="00D47D19"/>
    <w:rsid w:val="00D504E5"/>
    <w:rsid w:val="00D52644"/>
    <w:rsid w:val="00D53F51"/>
    <w:rsid w:val="00D56780"/>
    <w:rsid w:val="00D57073"/>
    <w:rsid w:val="00D6006F"/>
    <w:rsid w:val="00D64A5D"/>
    <w:rsid w:val="00D65EC4"/>
    <w:rsid w:val="00D66794"/>
    <w:rsid w:val="00D711FC"/>
    <w:rsid w:val="00D739B1"/>
    <w:rsid w:val="00D758D5"/>
    <w:rsid w:val="00D75DE1"/>
    <w:rsid w:val="00D82236"/>
    <w:rsid w:val="00D84BAA"/>
    <w:rsid w:val="00D84EEE"/>
    <w:rsid w:val="00D8799D"/>
    <w:rsid w:val="00D87E56"/>
    <w:rsid w:val="00D90A5B"/>
    <w:rsid w:val="00D93803"/>
    <w:rsid w:val="00DA5B6C"/>
    <w:rsid w:val="00DA70B4"/>
    <w:rsid w:val="00DA754A"/>
    <w:rsid w:val="00DB0091"/>
    <w:rsid w:val="00DB0865"/>
    <w:rsid w:val="00DC3653"/>
    <w:rsid w:val="00DC4B8C"/>
    <w:rsid w:val="00DC69BD"/>
    <w:rsid w:val="00DD00A7"/>
    <w:rsid w:val="00DD11D8"/>
    <w:rsid w:val="00DD11E2"/>
    <w:rsid w:val="00DE031A"/>
    <w:rsid w:val="00DE21F8"/>
    <w:rsid w:val="00DE2265"/>
    <w:rsid w:val="00DE47BE"/>
    <w:rsid w:val="00DE4F9C"/>
    <w:rsid w:val="00DF0265"/>
    <w:rsid w:val="00DF1088"/>
    <w:rsid w:val="00DF2013"/>
    <w:rsid w:val="00DF20EE"/>
    <w:rsid w:val="00DF794A"/>
    <w:rsid w:val="00E0200A"/>
    <w:rsid w:val="00E02520"/>
    <w:rsid w:val="00E03AD9"/>
    <w:rsid w:val="00E11931"/>
    <w:rsid w:val="00E11D11"/>
    <w:rsid w:val="00E219EC"/>
    <w:rsid w:val="00E21F3F"/>
    <w:rsid w:val="00E25245"/>
    <w:rsid w:val="00E364B6"/>
    <w:rsid w:val="00E41553"/>
    <w:rsid w:val="00E42F61"/>
    <w:rsid w:val="00E45A28"/>
    <w:rsid w:val="00E46D04"/>
    <w:rsid w:val="00E47C60"/>
    <w:rsid w:val="00E5283D"/>
    <w:rsid w:val="00E52DAB"/>
    <w:rsid w:val="00E544EA"/>
    <w:rsid w:val="00E5495B"/>
    <w:rsid w:val="00E54B7B"/>
    <w:rsid w:val="00E54E83"/>
    <w:rsid w:val="00E57545"/>
    <w:rsid w:val="00E57B14"/>
    <w:rsid w:val="00E62F94"/>
    <w:rsid w:val="00E64050"/>
    <w:rsid w:val="00E71D5B"/>
    <w:rsid w:val="00E77C45"/>
    <w:rsid w:val="00E82B02"/>
    <w:rsid w:val="00E835D6"/>
    <w:rsid w:val="00E85F2F"/>
    <w:rsid w:val="00E876E9"/>
    <w:rsid w:val="00E90E99"/>
    <w:rsid w:val="00E93D2B"/>
    <w:rsid w:val="00E943BD"/>
    <w:rsid w:val="00E95469"/>
    <w:rsid w:val="00E96BF5"/>
    <w:rsid w:val="00EA2562"/>
    <w:rsid w:val="00EA5075"/>
    <w:rsid w:val="00EA67B9"/>
    <w:rsid w:val="00EB12C3"/>
    <w:rsid w:val="00EB2F89"/>
    <w:rsid w:val="00EB3313"/>
    <w:rsid w:val="00EB3411"/>
    <w:rsid w:val="00EB5677"/>
    <w:rsid w:val="00EB6683"/>
    <w:rsid w:val="00EB7754"/>
    <w:rsid w:val="00EC09CF"/>
    <w:rsid w:val="00EC0B39"/>
    <w:rsid w:val="00ED2B33"/>
    <w:rsid w:val="00ED5F0B"/>
    <w:rsid w:val="00ED71C0"/>
    <w:rsid w:val="00ED7DE8"/>
    <w:rsid w:val="00EE1D64"/>
    <w:rsid w:val="00EE2174"/>
    <w:rsid w:val="00EE5849"/>
    <w:rsid w:val="00EE5F1A"/>
    <w:rsid w:val="00EE679F"/>
    <w:rsid w:val="00EF087F"/>
    <w:rsid w:val="00EF2E7F"/>
    <w:rsid w:val="00EF6DB1"/>
    <w:rsid w:val="00F0010D"/>
    <w:rsid w:val="00F016FC"/>
    <w:rsid w:val="00F01C27"/>
    <w:rsid w:val="00F03E54"/>
    <w:rsid w:val="00F1250F"/>
    <w:rsid w:val="00F1415D"/>
    <w:rsid w:val="00F1698C"/>
    <w:rsid w:val="00F24941"/>
    <w:rsid w:val="00F24E4D"/>
    <w:rsid w:val="00F31567"/>
    <w:rsid w:val="00F3219F"/>
    <w:rsid w:val="00F33895"/>
    <w:rsid w:val="00F35D08"/>
    <w:rsid w:val="00F4016C"/>
    <w:rsid w:val="00F439D1"/>
    <w:rsid w:val="00F5261A"/>
    <w:rsid w:val="00F53635"/>
    <w:rsid w:val="00F53A58"/>
    <w:rsid w:val="00F559A2"/>
    <w:rsid w:val="00F559C4"/>
    <w:rsid w:val="00F62E9B"/>
    <w:rsid w:val="00F647D0"/>
    <w:rsid w:val="00F6782A"/>
    <w:rsid w:val="00F750B1"/>
    <w:rsid w:val="00F757BC"/>
    <w:rsid w:val="00F77889"/>
    <w:rsid w:val="00F807D1"/>
    <w:rsid w:val="00F808F6"/>
    <w:rsid w:val="00F85984"/>
    <w:rsid w:val="00F875B1"/>
    <w:rsid w:val="00F92133"/>
    <w:rsid w:val="00F93C92"/>
    <w:rsid w:val="00F93EC9"/>
    <w:rsid w:val="00F96C5D"/>
    <w:rsid w:val="00F97EA3"/>
    <w:rsid w:val="00FA0D24"/>
    <w:rsid w:val="00FA19B9"/>
    <w:rsid w:val="00FA2713"/>
    <w:rsid w:val="00FA2C92"/>
    <w:rsid w:val="00FA54BE"/>
    <w:rsid w:val="00FB0C4B"/>
    <w:rsid w:val="00FB0E56"/>
    <w:rsid w:val="00FB145B"/>
    <w:rsid w:val="00FB2F42"/>
    <w:rsid w:val="00FB4BB4"/>
    <w:rsid w:val="00FB6210"/>
    <w:rsid w:val="00FB7FF7"/>
    <w:rsid w:val="00FC01F1"/>
    <w:rsid w:val="00FC0DCA"/>
    <w:rsid w:val="00FC1DC0"/>
    <w:rsid w:val="00FC44C7"/>
    <w:rsid w:val="00FC6123"/>
    <w:rsid w:val="00FE1C4E"/>
    <w:rsid w:val="00FE41EC"/>
    <w:rsid w:val="00FE4710"/>
    <w:rsid w:val="00FE4C04"/>
    <w:rsid w:val="00FF0028"/>
    <w:rsid w:val="00FF2EA5"/>
    <w:rsid w:val="00FF3922"/>
    <w:rsid w:val="00FF48C4"/>
    <w:rsid w:val="00FF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5585"/>
  <w15:docId w15:val="{9904FD29-3708-48C0-9CB6-FCA8F65C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8" w:lineRule="auto"/>
        <w:ind w:firstLine="544"/>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aliases w:val="Body of text,awal,List Paragraph2,UGEX'Z,List Paragraph1"/>
    <w:basedOn w:val="Normal"/>
    <w:link w:val="ListParagraphChar"/>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after="200" w:line="360" w:lineRule="auto"/>
      <w:ind w:left="720"/>
      <w:jc w:val="left"/>
    </w:pPr>
    <w:rPr>
      <w:rFonts w:ascii="Bookman Old Style" w:eastAsia="Times New Roman" w:hAnsi="Bookman Old Style" w:cs="Times New Roman"/>
      <w:sz w:val="24"/>
      <w:szCs w:val="24"/>
    </w:rPr>
  </w:style>
  <w:style w:type="paragraph" w:styleId="BodyText">
    <w:name w:val="Body Text"/>
    <w:basedOn w:val="Normal"/>
    <w:link w:val="BodyTextChar"/>
    <w:rsid w:val="00042675"/>
    <w:pPr>
      <w:spacing w:after="200" w:line="276"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unhideWhenUsed/>
    <w:rsid w:val="00410015"/>
    <w:rPr>
      <w:sz w:val="24"/>
      <w:szCs w:val="24"/>
    </w:rPr>
  </w:style>
  <w:style w:type="character" w:customStyle="1" w:styleId="CommentTextChar">
    <w:name w:val="Comment Text Char"/>
    <w:basedOn w:val="DefaultParagraphFont"/>
    <w:link w:val="CommentText"/>
    <w:uiPriority w:val="99"/>
    <w:semiHidden/>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pPr>
    <w:rPr>
      <w:rFonts w:ascii="Times New Roman" w:eastAsia="Times New Roman" w:hAnsi="Times New Roman" w:cs="Times New Roman"/>
      <w:b/>
      <w:sz w:val="36"/>
      <w:szCs w:val="20"/>
    </w:rPr>
  </w:style>
  <w:style w:type="character" w:customStyle="1" w:styleId="ListParagraphChar">
    <w:name w:val="List Paragraph Char"/>
    <w:aliases w:val="Body of text Char,awal Char,List Paragraph2 Char,UGEX'Z Char,List Paragraph1 Char"/>
    <w:link w:val="ListParagraph"/>
    <w:uiPriority w:val="34"/>
    <w:locked/>
    <w:rsid w:val="00DC4B8C"/>
  </w:style>
  <w:style w:type="paragraph" w:styleId="HTMLPreformatted">
    <w:name w:val="HTML Preformatted"/>
    <w:basedOn w:val="Normal"/>
    <w:link w:val="HTMLPreformattedChar"/>
    <w:uiPriority w:val="99"/>
    <w:unhideWhenUsed/>
    <w:rsid w:val="00CC1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C1A35"/>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481">
      <w:bodyDiv w:val="1"/>
      <w:marLeft w:val="0"/>
      <w:marRight w:val="0"/>
      <w:marTop w:val="0"/>
      <w:marBottom w:val="0"/>
      <w:divBdr>
        <w:top w:val="none" w:sz="0" w:space="0" w:color="auto"/>
        <w:left w:val="none" w:sz="0" w:space="0" w:color="auto"/>
        <w:bottom w:val="none" w:sz="0" w:space="0" w:color="auto"/>
        <w:right w:val="none" w:sz="0" w:space="0" w:color="auto"/>
      </w:divBdr>
    </w:div>
    <w:div w:id="287711237">
      <w:bodyDiv w:val="1"/>
      <w:marLeft w:val="0"/>
      <w:marRight w:val="0"/>
      <w:marTop w:val="0"/>
      <w:marBottom w:val="0"/>
      <w:divBdr>
        <w:top w:val="none" w:sz="0" w:space="0" w:color="auto"/>
        <w:left w:val="none" w:sz="0" w:space="0" w:color="auto"/>
        <w:bottom w:val="none" w:sz="0" w:space="0" w:color="auto"/>
        <w:right w:val="none" w:sz="0" w:space="0" w:color="auto"/>
      </w:divBdr>
    </w:div>
    <w:div w:id="367989891">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76874197">
      <w:bodyDiv w:val="1"/>
      <w:marLeft w:val="0"/>
      <w:marRight w:val="0"/>
      <w:marTop w:val="0"/>
      <w:marBottom w:val="0"/>
      <w:divBdr>
        <w:top w:val="none" w:sz="0" w:space="0" w:color="auto"/>
        <w:left w:val="none" w:sz="0" w:space="0" w:color="auto"/>
        <w:bottom w:val="none" w:sz="0" w:space="0" w:color="auto"/>
        <w:right w:val="none" w:sz="0" w:space="0" w:color="auto"/>
      </w:divBdr>
    </w:div>
    <w:div w:id="1002509241">
      <w:bodyDiv w:val="1"/>
      <w:marLeft w:val="0"/>
      <w:marRight w:val="0"/>
      <w:marTop w:val="0"/>
      <w:marBottom w:val="0"/>
      <w:divBdr>
        <w:top w:val="none" w:sz="0" w:space="0" w:color="auto"/>
        <w:left w:val="none" w:sz="0" w:space="0" w:color="auto"/>
        <w:bottom w:val="none" w:sz="0" w:space="0" w:color="auto"/>
        <w:right w:val="none" w:sz="0" w:space="0" w:color="auto"/>
      </w:divBdr>
    </w:div>
    <w:div w:id="1185635239">
      <w:bodyDiv w:val="1"/>
      <w:marLeft w:val="0"/>
      <w:marRight w:val="0"/>
      <w:marTop w:val="0"/>
      <w:marBottom w:val="0"/>
      <w:divBdr>
        <w:top w:val="none" w:sz="0" w:space="0" w:color="auto"/>
        <w:left w:val="none" w:sz="0" w:space="0" w:color="auto"/>
        <w:bottom w:val="none" w:sz="0" w:space="0" w:color="auto"/>
        <w:right w:val="none" w:sz="0" w:space="0" w:color="auto"/>
      </w:divBdr>
    </w:div>
    <w:div w:id="1326008020">
      <w:bodyDiv w:val="1"/>
      <w:marLeft w:val="0"/>
      <w:marRight w:val="0"/>
      <w:marTop w:val="0"/>
      <w:marBottom w:val="0"/>
      <w:divBdr>
        <w:top w:val="none" w:sz="0" w:space="0" w:color="auto"/>
        <w:left w:val="none" w:sz="0" w:space="0" w:color="auto"/>
        <w:bottom w:val="none" w:sz="0" w:space="0" w:color="auto"/>
        <w:right w:val="none" w:sz="0" w:space="0" w:color="auto"/>
      </w:divBdr>
    </w:div>
    <w:div w:id="1620720552">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687905">
      <w:bodyDiv w:val="1"/>
      <w:marLeft w:val="0"/>
      <w:marRight w:val="0"/>
      <w:marTop w:val="0"/>
      <w:marBottom w:val="0"/>
      <w:divBdr>
        <w:top w:val="none" w:sz="0" w:space="0" w:color="auto"/>
        <w:left w:val="none" w:sz="0" w:space="0" w:color="auto"/>
        <w:bottom w:val="none" w:sz="0" w:space="0" w:color="auto"/>
        <w:right w:val="none" w:sz="0" w:space="0" w:color="auto"/>
      </w:divBdr>
    </w:div>
    <w:div w:id="1817142630">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992818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84384641">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23B5-7B08-40E7-BC89-488FFAFA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15381</Words>
  <Characters>87675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cp:lastModifiedBy>
  <cp:revision>2</cp:revision>
  <cp:lastPrinted>2018-01-05T02:05:00Z</cp:lastPrinted>
  <dcterms:created xsi:type="dcterms:W3CDTF">2021-06-02T17:42:00Z</dcterms:created>
  <dcterms:modified xsi:type="dcterms:W3CDTF">2021-06-02T17:42:00Z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32f4ecb4-a3f2-3755-a974-e123572047ff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