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C4CB" w14:textId="1CE1A7EC" w:rsidR="0016385D" w:rsidRPr="00075EA6" w:rsidRDefault="0044085B" w:rsidP="004C7243">
      <w:pPr>
        <w:pStyle w:val="PaperTitle"/>
        <w:rPr>
          <w:b w:val="0"/>
          <w:bCs/>
          <w:sz w:val="24"/>
          <w:szCs w:val="24"/>
        </w:rPr>
      </w:pPr>
      <w:r w:rsidRPr="0044085B">
        <w:t>Incidence of</w:t>
      </w:r>
      <w:r>
        <w:t xml:space="preserve"> </w:t>
      </w:r>
      <w:r w:rsidRPr="0044085B">
        <w:t>Stroke and Associated Risk Factors in Bogor, Indonesia</w:t>
      </w:r>
      <w:r w:rsidR="007C7A4B">
        <w:t xml:space="preserve">: A </w:t>
      </w:r>
      <w:r w:rsidR="007C7A4B" w:rsidRPr="007C7A4B">
        <w:t>Nested Case-Control Study</w:t>
      </w:r>
      <w:r w:rsidR="007C7A4B" w:rsidRPr="00075EA6">
        <w:t xml:space="preserve"> </w:t>
      </w:r>
    </w:p>
    <w:p w14:paraId="08568820" w14:textId="0B0DE9A6" w:rsidR="0016385D" w:rsidRPr="0044085B" w:rsidRDefault="0044085B" w:rsidP="0044085B">
      <w:pPr>
        <w:pStyle w:val="AuthorName"/>
        <w:tabs>
          <w:tab w:val="left" w:pos="1985"/>
        </w:tabs>
      </w:pPr>
      <w:r>
        <w:t xml:space="preserve">Muhamad </w:t>
      </w:r>
      <w:proofErr w:type="spellStart"/>
      <w:r>
        <w:t>Zakki</w:t>
      </w:r>
      <w:proofErr w:type="spellEnd"/>
      <w:r>
        <w:t xml:space="preserve"> Saefurrohim,</w:t>
      </w:r>
      <w:r w:rsidR="00EF6940" w:rsidRPr="00075EA6">
        <w:rPr>
          <w:szCs w:val="28"/>
          <w:vertAlign w:val="superscript"/>
        </w:rPr>
        <w:t>1</w:t>
      </w:r>
      <w:r w:rsidR="003A5C85" w:rsidRPr="00075EA6">
        <w:rPr>
          <w:szCs w:val="28"/>
          <w:vertAlign w:val="superscript"/>
        </w:rPr>
        <w:t xml:space="preserve"> </w:t>
      </w:r>
      <w:proofErr w:type="spellStart"/>
      <w:r>
        <w:t>Mahalul</w:t>
      </w:r>
      <w:proofErr w:type="spellEnd"/>
      <w:r>
        <w:t xml:space="preserve"> Azam</w:t>
      </w:r>
      <w:r>
        <w:rPr>
          <w:szCs w:val="28"/>
          <w:vertAlign w:val="superscript"/>
        </w:rPr>
        <w:t xml:space="preserve">2, </w:t>
      </w:r>
      <w:r w:rsidR="00EF6940" w:rsidRPr="00075EA6">
        <w:rPr>
          <w:szCs w:val="28"/>
          <w:vertAlign w:val="superscript"/>
        </w:rPr>
        <w:t>a)</w:t>
      </w:r>
      <w:r w:rsidR="0016385D" w:rsidRPr="00075EA6">
        <w:t xml:space="preserve"> </w:t>
      </w:r>
      <w:r w:rsidRPr="0044085B">
        <w:t xml:space="preserve">Sri </w:t>
      </w:r>
      <w:proofErr w:type="spellStart"/>
      <w:r w:rsidRPr="0044085B">
        <w:t>Ratna</w:t>
      </w:r>
      <w:proofErr w:type="spellEnd"/>
      <w:r w:rsidRPr="0044085B">
        <w:t xml:space="preserve"> Rahayu</w:t>
      </w:r>
      <w:r>
        <w:t>,</w:t>
      </w:r>
      <w:r w:rsidR="00EF6940" w:rsidRPr="00075EA6">
        <w:rPr>
          <w:szCs w:val="28"/>
          <w:vertAlign w:val="superscript"/>
        </w:rPr>
        <w:t>2</w:t>
      </w:r>
      <w:r>
        <w:rPr>
          <w:szCs w:val="28"/>
          <w:vertAlign w:val="superscript"/>
        </w:rPr>
        <w:t xml:space="preserve"> </w:t>
      </w:r>
      <w:proofErr w:type="spellStart"/>
      <w:r w:rsidRPr="0044085B">
        <w:t>Widya</w:t>
      </w:r>
      <w:proofErr w:type="spellEnd"/>
      <w:r w:rsidRPr="0044085B">
        <w:t xml:space="preserve"> </w:t>
      </w:r>
      <w:proofErr w:type="spellStart"/>
      <w:r w:rsidRPr="0044085B">
        <w:t>Hary</w:t>
      </w:r>
      <w:proofErr w:type="spellEnd"/>
      <w:r w:rsidRPr="0044085B">
        <w:t xml:space="preserve"> Cahyati</w:t>
      </w:r>
      <w:r>
        <w:t>.</w:t>
      </w:r>
      <w:r w:rsidRPr="00075EA6">
        <w:rPr>
          <w:szCs w:val="28"/>
          <w:vertAlign w:val="superscript"/>
        </w:rPr>
        <w:t>2</w:t>
      </w:r>
      <w:r>
        <w:rPr>
          <w:szCs w:val="28"/>
          <w:vertAlign w:val="superscript"/>
        </w:rPr>
        <w:t xml:space="preserve"> </w:t>
      </w:r>
    </w:p>
    <w:p w14:paraId="003EBFF9" w14:textId="17619FF2" w:rsidR="0044085B" w:rsidRDefault="00EF6940" w:rsidP="0044085B">
      <w:pPr>
        <w:pStyle w:val="AuthorAffiliation"/>
      </w:pPr>
      <w:r w:rsidRPr="00075EA6">
        <w:rPr>
          <w:i w:val="0"/>
          <w:iCs/>
          <w:vertAlign w:val="superscript"/>
        </w:rPr>
        <w:t>1</w:t>
      </w:r>
      <w:r w:rsidR="0044085B">
        <w:t>Master Program in Public Health, Post Graduate Program, State University of Semarang, Semarang, Indonesia</w:t>
      </w:r>
    </w:p>
    <w:p w14:paraId="6FC6E04E" w14:textId="64977DCB" w:rsidR="007B4863" w:rsidRPr="00075EA6" w:rsidRDefault="0044085B" w:rsidP="0044085B">
      <w:pPr>
        <w:pStyle w:val="AuthorAffiliation"/>
      </w:pPr>
      <w:r w:rsidRPr="0044085B">
        <w:rPr>
          <w:vertAlign w:val="superscript"/>
        </w:rPr>
        <w:t>2</w:t>
      </w:r>
      <w:r>
        <w:t xml:space="preserve">Department of Public Health, </w:t>
      </w:r>
      <w:r w:rsidR="00000091">
        <w:t xml:space="preserve">Faculty of Sports Sciences, </w:t>
      </w:r>
      <w:r>
        <w:t>Universitas Negeri Semarang, Semarang, Indonesia</w:t>
      </w:r>
      <w:r w:rsidR="00EC0D0C">
        <w:t>.</w:t>
      </w:r>
    </w:p>
    <w:p w14:paraId="3B97FCC2" w14:textId="39225BE7" w:rsidR="003A5C85" w:rsidRPr="00075EA6" w:rsidRDefault="003A5C85" w:rsidP="003A5C85">
      <w:pPr>
        <w:pStyle w:val="AuthorEmail"/>
      </w:pPr>
      <w:r w:rsidRPr="00075EA6">
        <w:br/>
      </w:r>
      <w:r w:rsidR="0044085B" w:rsidRPr="00075EA6">
        <w:rPr>
          <w:szCs w:val="28"/>
          <w:vertAlign w:val="superscript"/>
        </w:rPr>
        <w:t>a)</w:t>
      </w:r>
      <w:r w:rsidR="0044085B" w:rsidRPr="00075EA6">
        <w:t xml:space="preserve"> Corresponding</w:t>
      </w:r>
      <w:r w:rsidR="004E3CB2" w:rsidRPr="00075EA6">
        <w:t xml:space="preserve"> author: </w:t>
      </w:r>
      <w:hyperlink r:id="rId6" w:history="1">
        <w:r w:rsidR="0044085B" w:rsidRPr="00EF4A73">
          <w:rPr>
            <w:rStyle w:val="Hyperlink"/>
          </w:rPr>
          <w:t>mahalul.azam@mail.unnes.ac.id</w:t>
        </w:r>
      </w:hyperlink>
      <w:r w:rsidR="0044085B">
        <w:t xml:space="preserve"> </w:t>
      </w:r>
    </w:p>
    <w:p w14:paraId="69721A0F" w14:textId="4724A4C4" w:rsidR="00631178" w:rsidRDefault="0016385D" w:rsidP="003D7855">
      <w:pPr>
        <w:pStyle w:val="Abstract"/>
      </w:pPr>
      <w:r w:rsidRPr="00075EA6">
        <w:rPr>
          <w:b/>
          <w:bCs/>
        </w:rPr>
        <w:t>Abstract.</w:t>
      </w:r>
      <w:r w:rsidRPr="00075EA6">
        <w:t xml:space="preserve"> </w:t>
      </w:r>
      <w:r w:rsidR="00631178">
        <w:t>The increasing number of stroke cases and their risk factors is the crisis that needs to be addressed. This study aimed to determine the number of new stroke cases in Bogor, Indonesia, and its risk factors</w:t>
      </w:r>
      <w:r w:rsidR="007C7A4B">
        <w:t xml:space="preserve">. </w:t>
      </w:r>
      <w:r w:rsidR="007C7A4B" w:rsidRPr="007C7A4B">
        <w:t>We conducted a nested case control study from</w:t>
      </w:r>
      <w:r w:rsidR="007C7A4B">
        <w:t xml:space="preserve"> </w:t>
      </w:r>
      <w:r w:rsidR="00631178">
        <w:t>the Study of Non-Communicable Disease (NCD) Risk Factors of the National Health Institute of Research and Development, Ministry of Health, Indonesia in 2018.</w:t>
      </w:r>
      <w:r w:rsidR="003D7855">
        <w:t xml:space="preserve"> </w:t>
      </w:r>
      <w:r w:rsidR="003D7855" w:rsidRPr="003D7855">
        <w:t>A deep analyze was conducted in 1.210 respondents based on the subset of baseline this data. Data collected by interview method on permanent residents in Bogor City, Indonesia in 2018. Diagnosis of stroke was based on the anamnesis of a neurologist and a neurological examination.</w:t>
      </w:r>
      <w:r w:rsidR="003D7855">
        <w:t xml:space="preserve"> </w:t>
      </w:r>
      <w:r w:rsidR="003D7855" w:rsidRPr="003D7855">
        <w:t>Independent variables include sociodemographic characteristics, metabolic syndrome, and risky behaviors. The data was analyzed with a dual logistic regression test. The incidence of stroke during 2018 amounted to 48 cases (3.9%). The main determinants of stroke in this population include diabetes mellitus and systolic blood pressure being the main factors for stroke, with each p-value, AOR, and (95% C.I) being 0,000, 0.222 (0.122-0.405), 0.003, 0.291 (0.128-0.662). There was no significant difference in metabolic syndrome outcomes one year before the diagnosis of stroke and the year when the stroke was diagnosed. Special attention is needed in DM patients who have high blood pressure to prevent stroke.</w:t>
      </w:r>
    </w:p>
    <w:p w14:paraId="50C87205" w14:textId="52F3AE49" w:rsidR="0016385D" w:rsidRPr="00075EA6" w:rsidRDefault="00631178" w:rsidP="00631178">
      <w:pPr>
        <w:pStyle w:val="Abstract"/>
      </w:pPr>
      <w:r w:rsidRPr="00631178">
        <w:rPr>
          <w:b/>
          <w:bCs/>
        </w:rPr>
        <w:t>Key Words:</w:t>
      </w:r>
      <w:r>
        <w:t xml:space="preserve"> Incidence of Stroke and Associated Risk Factors</w:t>
      </w:r>
      <w:r w:rsidR="00B10134" w:rsidRPr="00075EA6">
        <w:t>.</w:t>
      </w:r>
    </w:p>
    <w:p w14:paraId="34CB17F6" w14:textId="55CF6C84" w:rsidR="003A287B" w:rsidRPr="008B4FB4" w:rsidRDefault="008B4FB4" w:rsidP="008B4FB4">
      <w:pPr>
        <w:pStyle w:val="Heading1"/>
        <w:rPr>
          <w:b w:val="0"/>
          <w:caps w:val="0"/>
          <w:sz w:val="20"/>
        </w:rPr>
      </w:pPr>
      <w:r w:rsidRPr="008B4FB4">
        <w:t>BACKGROUND</w:t>
      </w:r>
      <w:r w:rsidR="00616F3B" w:rsidRPr="008B4FB4">
        <w:br/>
      </w:r>
    </w:p>
    <w:p w14:paraId="77362A3C" w14:textId="6503DE62" w:rsidR="008B4FB4" w:rsidRPr="008B4FB4" w:rsidRDefault="008B4FB4" w:rsidP="0097039D">
      <w:pPr>
        <w:spacing w:line="276" w:lineRule="auto"/>
        <w:ind w:firstLine="720"/>
        <w:jc w:val="both"/>
        <w:rPr>
          <w:rFonts w:eastAsia="Calibri"/>
          <w:color w:val="000000" w:themeColor="text1"/>
          <w:szCs w:val="24"/>
        </w:rPr>
      </w:pPr>
      <w:r w:rsidRPr="008B4FB4">
        <w:rPr>
          <w:color w:val="000000" w:themeColor="text1"/>
          <w:szCs w:val="24"/>
          <w:lang w:val="en"/>
        </w:rPr>
        <w:t>The cause specific death rate of stroke reaches 5.5 million deaths, and more than 116 million stroke patients had complications including disability each year</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{"citationItems":[{"id":"ITEM-1","itemData":{"DOI":"10.1177/1747493020909545","ISSN":"17474949","PMID":"32146867","abstract":"Background: Data on stroke epidemiology and availability of hospital-based stroke services around the world are important for guiding policy decisions and healthcare planning. Aims: To provide the most current incidence, mortality and case–fatality data on stroke and describe current availability of stroke units around the world by country. Methods: We searched multiple databases (based on our existing search strategy) to identify new original manuscripts and review articles published between 1 June 2016 and 31 October 2018 that met the ideal criteria for data on stroke incidence and case–fatality. For data on the availability of hospital-based stroke services, we searched PubMed for all literature published up until 31 June 2018. We further screened reference lists, citation history of manuscripts and gray literature for this information. Mortality codes for International Classification of Diseases-9 and International Classification of Diseases-10 were extracted from the World Health Organization mortality database for each country providing these data. Population denominators were obtained from the World Health Organization, and when these were unavailable within a two-year period of mortality data, population denominators within a two-year period were obtained from the United Nations. Using country-specific population denominators and the most recent years of mortality data available for each country, we calculated both the crude mortality from stroke and mortality adjusted to the World Health Organization world population. Results: Since our last report in 2017, there were two countries with new incidence studies, China (n = 1) and India (n = 2) that met the ideal criteria. New data on case–fatality were found for Estonia and India. The most current mortality data were available for the year 2015 (39 countries), 2016 (43 countries), and 2017 (7 countries). No new data on mortality were available for six countries. Availability of stroke units was noted for 63 countries, and the proportion of patients treated in stroke units was reported for 35/63 countries. Conclusion: Up-to-date data on stroke incidence, case–fatality, and mortality statistics provide evidence of variation among countries and changing magnitudes of burden among high and low–middle income countries. Reporting of hospital-based stroke units remains limited and should be encouraged.","author":[{"dropping-particle":"","family":"Kim","given":"Joosup","non-dropping-particle":"","parse-names":false,"suffix":""},{"dropping-particle":"","family":"Thayabaranathan","given":"Tharshanah","non-dropping-particle":"","parse-names":false,"suffix":""},{"dropping-particle":"","family":"Donnan","given":"Geoffrey A.","non-dropping-particle":"","parse-names":false,"suffix":""},{"dropping-particle":"","family":"Howard","given":"George","non-dropping-particle":"","parse-names":false,"suffix":""},{"dropping-particle":"","family":"Howard","given":"Virginia J.","non-dropping-particle":"","parse-names":false,"suffix":""},{"dropping-particle":"","family":"Rothwell","given":"Peter M.","non-dropping-particle":"","parse-names":false,"suffix":""},{"dropping-particle":"","family":"Feigin","given":"Valery","non-dropping-particle":"","parse-names":false,"suffix":""},{"dropping-particle":"","family":"Norrving","given":"Bo","non-dropping-particle":"","parse-names":false,"suffix":""},{"dropping-particle":"","family":"Owolabi","given":"Mayowa","non-dropping-particle":"","parse-names":false,"suffix":""},{"dropping-particle":"","family":"Pandian","given":"Jeyaraj","non-dropping-particle":"","parse-names":false,"suffix":""},{"dropping-particle":"","family":"Liu","given":"Liping","non-dropping-particle":"","parse-names":false,"suffix":""},{"dropping-particle":"","family":"Cadilhac","given":"Dominique A.","non-dropping-particle":"","parse-names":false,"suffix":""},{"dropping-particle":"","family":"Thrift","given":"Amanda G.","non-dropping-particle":"","parse-names":false,"suffix":""}],"container-title":"International Journal of Stroke","id":"ITEM-1","issue":"8","issued":{"date-parts":[["2020"]]},"page":"819-838","title":"Global Stroke Statistics 2019","type":"article-journal","volume":"15"},"uris":["http://www.mendeley.com/documents/?uuid=a2133b25-ca71-4aca-87e0-ba012a3a2fed"]},{"id":"ITEM-2","itemData":{"DOI":"10.1177/1747493019881353","ISSN":"1747-4949 (Electronic)","PMID":"31658892","author":[{"dropping-particle":"","family":"Lindsay","given":"M Patrice","non-dropping-particle":"","parse-names":false,"suffix":""},{"dropping-particle":"","family":"Norrving","given":"Bo","non-dropping-particle":"","parse-names":false,"suffix":""},{"dropping-particle":"","family":"Sacco","given":"Ralph L","non-dropping-particle":"","parse-names":false,"suffix":""},{"dropping-particle":"","family":"Brainin","given":"Michael","non-dropping-particle":"","parse-names":false,"suffix":""},{"dropping-particle":"","family":"Hacke","given":"Werner","non-dropping-particle":"","parse-names":false,"suffix":""},{"dropping-particle":"","family":"Martins","given":"Sheila","non-dropping-particle":"","parse-names":false,"suffix":""},{"dropping-particle":"","family":"Pandian","given":"Jeyaraj","non-dropping-particle":"","parse-names":false,"suffix":""},{"dropping-particle":"","family":"Feigin","given":"Valery","non-dropping-particle":"","parse-names":false,"suffix":""}],"container-title":"International journal of stroke : official journal of the International Stroke  Society","id":"ITEM-2","issue":"8","issued":{"date-parts":[["2019","10"]]},"language":"eng","page":"806-817","publisher-place":"United States","title":"World Stroke Organization (WSO): Global Stroke Fact Sheet 2019.","type":"article-journal","volume":"14"},"uris":["http://www.mendeley.com/documents/?uuid=55f8b553-db05-48ea-9d8c-e07ed784bbcc","http://www.mendeley.com/documents/?uuid=083a1a1d-3527-4a64-acc9-2822aa6d5bb2"]},{"id":"ITEM-3","itemData":{"abstract":"The World Stroke Organization overviews the best available scientific evidence to provide reliable and up to date data on stroke and its impact around the world. Using","author":[{"dropping-particle":"","family":"World Stroke Organization","given":"","non-dropping-particle":"","parse-names":false,"suffix":""}],"container-title":"World Stroke Organization 2021","id":"ITEM-3","issue":"1","issued":{"date-parts":[["2019"]]},"page":"3","title":"Global Stroke Fact Sheet","type":"webpage","volume":"1"},"uris":["http://www.mendeley.com/documents/?uuid=2fde1216-6861-4ed3-a835-896e89fd8176","http://www.mendeley.com/documents/?uuid=2d4ec5c6-c717-4bd7-a702-a35c523589d3"]}],"mendeley":{"formattedCitation":"(Kim et al., 2020; Lindsay et al., 2019; World Stroke Organization, 2019)","plainTextFormattedCitation":"(Kim et al., 2020; Lindsay et al., 2019; World Stroke Organization, 2019)","previouslyFormattedCitation":"(Kim et al., 2020; Lindsay et al., 2019; World Stroke Organization, 2019)"},"properties":{"noteIndex":0},"schema":"https://github.com/citation-style-language/schema/raw/master/csl-citation.json"}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(Kim et al., 2020; Lindsay et al., 2019; World Stroke Organization, 2019)</w:t>
      </w:r>
      <w:r w:rsidRPr="008B4FB4">
        <w:rPr>
          <w:color w:val="000000" w:themeColor="text1"/>
          <w:szCs w:val="24"/>
          <w:lang w:val="en"/>
        </w:rPr>
        <w:fldChar w:fldCharType="end"/>
      </w:r>
      <w:r w:rsidRPr="008B4FB4">
        <w:rPr>
          <w:color w:val="000000" w:themeColor="text1"/>
          <w:szCs w:val="24"/>
          <w:lang w:val="en"/>
        </w:rPr>
        <w:t>. More than 80 million people had a history of stroke in 2016, and more than 13.7 million new cases each year</w:t>
      </w:r>
      <w:r w:rsidRPr="008B4FB4">
        <w:rPr>
          <w:lang w:val="en"/>
        </w:rPr>
        <w:t>[</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{"citationItems":[{"id":"ITEM-1","itemData":{"DOI":"10.1177/1747493020909545","ISSN":"17474949","PMID":"32146867","abstract":"Background: Data on stroke epidemiology and availability of hospital-based stroke services around the world are important for guiding policy decisions and healthcare planning. Aims: To provide the most current incidence, mortality and case–fatality data on stroke and describe current availability of stroke units around the world by country. Methods: We searched multiple databases (based on our existing search strategy) to identify new original manuscripts and review articles published between 1 June 2016 and 31 October 2018 that met the ideal criteria for data on stroke incidence and case–fatality. For data on the availability of hospital-based stroke services, we searched PubMed for all literature published up until 31 June 2018. We further screened reference lists, citation history of manuscripts and gray literature for this information. Mortality codes for International Classification of Diseases-9 and International Classification of Diseases-10 were extracted from the World Health Organization mortality database for each country providing these data. Population denominators were obtained from the World Health Organization, and when these were unavailable within a two-year period of mortality data, population denominators within a two-year period were obtained from the United Nations. Using country-specific population denominators and the most recent years of mortality data available for each country, we calculated both the crude mortality from stroke and mortality adjusted to the World Health Organization world population. Results: Since our last report in 2017, there were two countries with new incidence studies, China (n = 1) and India (n = 2) that met the ideal criteria. New data on case–fatality were found for Estonia and India. The most current mortality data were available for the year 2015 (39 countries), 2016 (43 countries), and 2017 (7 countries). No new data on mortality were available for six countries. Availability of stroke units was noted for 63 countries, and the proportion of patients treated in stroke units was reported for 35/63 countries. Conclusion: Up-to-date data on stroke incidence, case–fatality, and mortality statistics provide evidence of variation among countries and changing magnitudes of burden among high and low–middle income countries. Reporting of hospital-based stroke units remains limited and should be encouraged.","author":[{"dropping-particle":"","family":"Kim","given":"Joosup","non-dropping-particle":"","parse-names":false,"suffix":""},{"dropping-particle":"","family":"Thayabaranathan","given":"Tharshanah","non-dropping-particle":"","parse-names":false,"suffix":""},{"dropping-particle":"","family":"Donnan","given":"Geoffrey A.","non-dropping-particle":"","parse-names":false,"suffix":""},{"dropping-particle":"","family":"Howard","given":"George","non-dropping-particle":"","parse-names":false,"suffix":""},{"dropping-particle":"","family":"Howard","given":"Virginia J.","non-dropping-particle":"","parse-names":false,"suffix":""},{"dropping-particle":"","family":"Rothwell","given":"Peter M.","non-dropping-particle":"","parse-names":false,"suffix":""},{"dropping-particle":"","family":"Feigin","given":"Valery","non-dropping-particle":"","parse-names":false,"suffix":""},{"dropping-particle":"","family":"Norrving","given":"Bo","non-dropping-particle":"","parse-names":false,"suffix":""},{"dropping-particle":"","family":"Owolabi","given":"Mayowa","non-dropping-particle":"","parse-names":false,"suffix":""},{"dropping-particle":"","family":"Pandian","given":"Jeyaraj","non-dropping-particle":"","parse-names":false,"suffix":""},{"dropping-particle":"","family":"Liu","given":"Liping","non-dropping-particle":"","parse-names":false,"suffix":""},{"dropping-particle":"","family":"Cadilhac","given":"Dominique A.","non-dropping-particle":"","parse-names":false,"suffix":""},{"dropping-particle":"","family":"Thrift","given":"Amanda G.","non-dropping-particle":"","parse-names":false,"suffix":""}],"container-title":"International Journal of Stroke","id":"ITEM-1","issue":"8","issued":{"date-parts":[["2020"]]},"page":"819-838","title":"Global Stroke Statistics 2019","type":"article-journal","volume":"15"},"uris":["http://www.mendeley.com/documents/?uuid=a2133b25-ca71-4aca-87e0-ba012a3a2fed"]}],"mendeley":{"formattedCitation":"(Kim et al., 2020)","plainTextFormattedCitation":"(Kim et al., 2020)","previouslyFormattedCitation":"(Kim et al., 2020)"},"properties":{"noteIndex":0},"schema":"https://github.com/citation-style-language/schema/raw/master/csl-citation.json"}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(Kim et al., 2020)</w:t>
      </w:r>
      <w:r w:rsidRPr="008B4FB4">
        <w:rPr>
          <w:color w:val="000000" w:themeColor="text1"/>
          <w:szCs w:val="24"/>
          <w:lang w:val="en"/>
        </w:rPr>
        <w:fldChar w:fldCharType="end"/>
      </w:r>
      <w:r w:rsidRPr="008B4FB4">
        <w:rPr>
          <w:color w:val="000000" w:themeColor="text1"/>
          <w:szCs w:val="24"/>
          <w:lang w:val="en"/>
        </w:rPr>
        <w:t>. Globally, it is estimated that one in four people over the age of 25 will have a stroke during their lifetime. Over the past four decades, the incidence of stroke in lower-middle-income countries has more than doubled</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DOI":"10.2471/BLT.16.181636","ISSN":"15640604","PMID":"27708464","author":[{"dropping-particle":"","family":"Johnson","given":"Walter","non-dropping-particle":"","parse-names":false,"suffix":""},{"dropping-particle":"","family":"Onuma","given":"Oyere","non-dropping-particle":"","parse-names":false,"suffix":""},{"dropping-particle":"","family":"Owolabi","given":"Mayowa","non-dropping-particle":"","parse-names":false,"suffix":""},{"dropping-particle":"","family":"Sachdev","given":"Sonal","non-dropping-particle":"","parse-names":false,"suffix":""}],"container-title":"Bulletin of the World Health Organization","id":"ITEM-1","issue":"9","issued":{"date-parts":[["2016"]]},"page":"634A-635A","title":"Stroke: A global response is needed","type":"article-journal","volume":"94"},"uris":["http://www.mendeley.com/documents/?uuid=ffa1cf19-cdc0-4515-bd63-b2324b4b558c","http://www.mendeley.com/documents/?uuid=7ec048da-6943-48ac-880b-50993b6ab110"]}],"mendeley":{"formattedCitation":"(Johnson et al., 2016)","plainTextFormattedCitation":"(Johnson et al., 2016)","previouslyFormattedCitation":"(Johnson et al., 2016)"},"properties":{"noteIndex":0},"schema":"https://github.com/citation-style-language/schema/raw/master/csl-citation.json"}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(Johnson et al., 2016)</w:t>
      </w:r>
      <w:r w:rsidRPr="008B4FB4">
        <w:rPr>
          <w:color w:val="000000" w:themeColor="text1"/>
          <w:szCs w:val="24"/>
          <w:lang w:val="en"/>
        </w:rPr>
        <w:fldChar w:fldCharType="end"/>
      </w:r>
      <w:r w:rsidRPr="008B4FB4">
        <w:rPr>
          <w:color w:val="000000" w:themeColor="text1"/>
          <w:szCs w:val="24"/>
          <w:lang w:val="en"/>
        </w:rPr>
        <w:t>, worldwide stroke deaths have mostly occurred in developing countries, such as Indonesia, which contributes 75.2% of all deaths</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{"citationItems":[{"id":"ITEM-1","itemData":{"DOI":"10.1016/S0140-6736(13)61953-4","ISSN":"1474547X","PMID":"24449944","abstract":"Background Although stroke is the second leading cause of death worldwide, no comprehensive and comparable assessment of incidence, prevalence, mortality, disability, and epidemiological trends has been estimated for most regions. We used data from the Global Burden of Diseases, Injuries, and Risk Factors Study 2010 (GBD 2010) to estimate the global and regional burden of stroke during 1990.2010. Methods We searched Medline, Embase, LILACS, Scopus, PubMed, Science Direct, Global Health Database, the WHO library, and WHO regional databases from 1990 to 2012 to identify relevant studies published between 1990 and 2010. We applied the GBD 2010 analytical technique (DisMod-MR), based on disease-specifi c, pre-specifi ed associations between incidence, prevalence, and mortality, to calculate regional and country-specifi c estimates of stroke incidence, prevalence, mortality, and disability-adjusted life-years (DALYs) lost by age group (&lt;75 years, .75 years, and in total) and country income level (high-income, and low-income and middle-income) for 1990, 2005, and 2010. Findings We included 119 studies (58 from high-income countries and 61 from low-income and middle-income countries). From 1990 to 2010, the age-standardised incidence of stroke signifi cantly decreased by 12% (95% CI 6.17) in high-income countries, and increased by 12% (.3 to 22) in low-income and middle-income countries, albeit nonsignifi cantly. Mortality rates decreased signifi cantly in both high income (37%, 31.41) and low-income and middleincome countries (20%, 15.30). In 2010, the absolute numbers of people with fi rst stroke (16-9 million), stroke survivors (33 million), stroke-related deaths (5-9 million), and DALYs lost (102 million) were high and had signifi cantly increased since 1990 (68%, 84%, 26%, and 12% increase, respectively), with most of the burden (68-6% incident strokes, 52-2% prevalent strokes, 70-9% stroke deaths, and 77-7% DALYs lost) in low-income and middle-income countries. In 2010, 5-2 million (31%) strokes were in children (aged &lt;20 years old) and young and middle-aged adults (20.64 years), to which children and young and middle-aged adults from low-income and middle-income countries contributed almost 74 000 (89%) and 4-0 million (78%), respectively, of the burden. Additionally, we noted signifi cant geographical diff erences of between three and ten times in stroke burden between GBD regions and countries. More than 62% of new strokes, 69-8% of prevalent strokes,…","author":[{"dropping-particle":"","family":"Feigin","given":"Valery L.","non-dropping-particle":"","parse-names":false,"suffix":""},{"dropping-particle":"","family":"Forouzanfar","given":"Mohammad H.","non-dropping-particle":"","parse-names":false,"suffix":""},{"dropping-particle":"","family":"Krishnamurthi","given":"Rita","non-dropping-particle":"","parse-names":false,"suffix":""},{"dropping-particle":"","family":"Mensah","given":"George A.","non-dropping-particle":"","parse-names":false,"suffix":""},{"dropping-particle":"","family":"Connor","given":"Myles","non-dropping-particle":"","parse-names":false,"suffix":""},{"dropping-particle":"","family":"Bennett","given":"Derrick A.","non-dropping-particle":"","parse-names":false,"suffix":""},{"dropping-particle":"","family":"Moran","given":"Andrew E.","non-dropping-particle":"","parse-names":false,"suffix":""},{"dropping-particle":"","family":"Sacco","given":"Ralph L.","non-dropping-particle":"","parse-names":false,"suffix":""},{"dropping-particle":"","family":"Anderson","given":"Laurie","non-dropping-particle":"","parse-names":false,"suffix":""},{"dropping-particle":"","family":"Truelsen","given":"Thomas","non-dropping-particle":"","parse-names":false,"suffix":""},{"dropping-particle":"","family":"O'Donnell","given":"Martin","non-dropping-particle":"","parse-names":false,"suffix":""},{"dropping-particle":"","family":"Venketasubramanian","given":"Narayanaswamy","non-dropping-particle":"","parse-names":false,"suffix":""},{"dropping-particle":"","family":"Barker-Collo","given":"Suzanne","non-dropping-particle":"","parse-names":false,"suffix":""},{"dropping-particle":"","family":"Lawes","given":"Carlene M.M.","non-dropping-particle":"","parse-names":false,"suffix":""},{"dropping-particle":"","family":"Wang","given":"Wenzhi","non-dropping-particle":"","parse-names":false,"suffix":""},{"dropping-particle":"","family":"Shinohara","given":"Yukito","non-dropping-particle":"","parse-names":false,"suffix":""},{"dropping-particle":"","family":"Witt","given":"Emma","non-dropping-particle":"","parse-names":false,"suffix":""},{"dropping-particle":"","family":"Ezzati","given":"Majid","non-dropping-particle":"","parse-names":false,"suffix":""},{"dropping-particle":"","family":"Naghavi","given":"Mohsen","non-dropping-particle":"","parse-names":false,"suffix":""}],"container-title":"The Lancet","id":"ITEM-1","issue":"9913","issued":{"date-parts":[["2014"]]},"page":"245-255","publisher":"Elsevier Ltd","title":"Global and regional burden of stroke during 1990-2010: Findings from the Global Burden of Disease Study 2010","type":"article-journal","volume":"383"},"uris":["http://www.mendeley.com/documents/?uuid=2e43dc55-b5cf-4a8e-8d07-5dc8b46edd2f","http://www.mendeley.com/documents/?uuid=9fdd6422-4019-4269-9076-099d25d8bee6"]},{"id":"ITEM-2","itemData":{"DOI":"10.1016/j.gheart.2018.09.511","ISSN":"22118179","PMID":"30301680","author":[{"dropping-particle":"","family":"Thomas","given":"Hana","non-dropping-particle":"","parse-names":false,"suffix":""},{"dropping-particle":"","family":"Diamond","given":"Jaime","non-dropping-particle":"","parse-names":false,"suffix":""},{"dropping-particle":"","family":"Vieco","given":"Adrianna","non-dropping-particle":"","parse-names":false,"suffix":""},{"dropping-particle":"","family":"Chaudhuri","given":"Shaoli","non-dropping-particle":"","parse-names":false,"suffix":""},{"dropping-particle":"","family":"Shinnar","given":"Eliezer","non-dropping-particle":"","parse-names":false,"suffix":""},{"dropping-particle":"","family":"Cromer","given":"Sara","non-dropping-particle":"","parse-names":false,"suffix":""},{"dropping-particle":"","family":"Perel","given":"Pablo","non-dropping-particle":"","parse-names":false,"suffix":""},{"dropping-particle":"","family":"Mensah","given":"George A.","non-dropping-particle":"","parse-names":false,"suffix":""},{"dropping-particle":"","family":"Narula","given":"Jagat","non-dropping-particle":"","parse-names":false,"suffix":""},{"dropping-particle":"","family":"Johnson","given":"Catherine O.","non-dropping-particle":"","parse-names":false,"suffix":""},{"dropping-particle":"","family":"Roth","given":"Gregory A.","non-dropping-particle":"","parse-names":false,"suffix":""},{"dropping-particle":"","family":"Moran","given":"Andrew E.","non-dropping-particle":"","parse-names":false,"suffix":""}],"container-title":"Global Heart","id":"ITEM-2","issue":"3","issued":{"date-parts":[["2018"]]},"page":"143-163","title":"Global Atlas of Cardiovascular Disease 2000-2016: The Path to Prevention and Control","type":"article-journal","volume":"13"},"uris":["http://www.mendeley.com/documents/?uuid=a087c25e-94e5-4f48-a242-1ea56bcb1119","http://www.mendeley.com/documents/?uuid=86ac6a71-dcc3-4c04-ae7d-b992077a9932"]},{"id":"ITEM-3","itemData":{"DOI":"10.1177/1747493020909545","ISSN":"17474949","PMID":"32146867","abstract":"Background: Data on stroke epidemiology and availability of hospital-based stroke services around the world are important for guiding policy decisions and healthcare planning. Aims: To provide the most current incidence, mortality and case–fatality data on stroke and describe current availability of stroke units around the world by country. Methods: We searched multiple databases (based on our existing search strategy) to identify new original manuscripts and review articles published between 1 June 2016 and 31 October 2018 that met the ideal criteria for data on stroke incidence and case–fatality. For data on the availability of hospital-based stroke services, we searched PubMed for all literature published up until 31 June 2018. We further screened reference lists, citation history of manuscripts and gray literature for this information. Mortality codes for International Classification of Diseases-9 and International Classification of Diseases-10 were extracted from the World Health Organization mortality database for each country providing these data. Population denominators were obtained from the World Health Organization, and when these were unavailable within a two-year period of mortality data, population denominators within a two-year period were obtained from the United Nations. Using country-specific population denominators and the most recent years of mortality data available for each country, we calculated both the crude mortality from stroke and mortality adjusted to the World Health Organization world population. Results: Since our last report in 2017, there were two countries with new incidence studies, China (n = 1) and India (n = 2) that met the ideal criteria. New data on case–fatality were found for Estonia and India. The most current mortality data were available for the year 2015 (39 countries), 2016 (43 countries), and 2017 (7 countries). No new data on mortality were available for six countries. Availability of stroke units was noted for 63 countries, and the proportion of patients treated in stroke units was reported for 35/63 countries. Conclusion: Up-to-date data on stroke incidence, case–fatality, and mortality statistics provide evidence of variation among countries and changing magnitudes of burden among high and low–middle income countries. Reporting of hospital-based stroke units remains limited and should be encouraged.","author":[{"dropping-particle":"","family":"Kim","given":"Joosup","non-dropping-particle":"","parse-names":false,"suffix":""},{"dropping-particle":"","family":"Thayabaranathan","given":"Tharshanah","non-dropping-particle":"","parse-names":false,"suffix":""},{"dropping-particle":"","family":"Donnan","given":"Geoffrey A.","non-dropping-particle":"","parse-names":false,"suffix":""},{"dropping-particle":"","family":"Howard","given":"George","non-dropping-particle":"","parse-names":false,"suffix":""},{"dropping-particle":"","family":"Howard","given":"Virginia J.","non-dropping-particle":"","parse-names":false,"suffix":""},{"dropping-particle":"","family":"Rothwell","given":"Peter M.","non-dropping-particle":"","parse-names":false,"suffix":""},{"dropping-particle":"","family":"Feigin","given":"Valery","non-dropping-particle":"","parse-names":false,"suffix":""},{"dropping-particle":"","family":"Norrving","given":"Bo","non-dropping-particle":"","parse-names":false,"suffix":""},{"dropping-particle":"","family":"Owolabi","given":"Mayowa","non-dropping-particle":"","parse-names":false,"suffix":""},{"dropping-particle":"","family":"Pandian","given":"Jeyaraj","non-dropping-particle":"","parse-names":false,"suffix":""},{"dropping-particle":"","family":"Liu","given":"Liping","non-dropping-particle":"","parse-names":false,"suffix":""},{"dropping-particle":"","family":"Cadilhac","given":"Dominique A.","non-dropping-particle":"","parse-names":false,"suffix":""},{"dropping-particle":"","family":"Thrift","given":"Amanda G.","non-dropping-particle":"","parse-names":false,"suffix":""}],"container-title":"International Journal of Stroke","id":"ITEM-3","issue":"8","issued":{"date-parts":[["2020"]]},"page":"819-838","title":"Global Stroke Statistics 2019","type":"article-journal","volume":"15"},"uris":["http://www.mendeley.com/documents/?uuid=a2133b25-ca71-4aca-87e0-ba012a3a2fed"]}],"mendeley":{"formattedCitation":"(Feigin et al., 2014; Kim et al., 2020; Thomas et al., 2018)","plainTextFormattedCitation":"(Feigin et al., 2014; Kim et al., 2020; Thomas et al., 2018)","previouslyFormattedCitation":"(Feigin et al., 2014; Kim et al., 2020; Thomas et al., 2018)"},"properties":{"noteIndex":0},"schema":"https://github.com/citation-style-language/schema/raw/master/csl-citation.json"}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(Feigin et al., 2014; Kim et al., 2020; Thomas et al., 2018)</w:t>
      </w:r>
      <w:r w:rsidRPr="008B4FB4">
        <w:rPr>
          <w:color w:val="000000" w:themeColor="text1"/>
          <w:szCs w:val="24"/>
          <w:lang w:val="en"/>
        </w:rPr>
        <w:fldChar w:fldCharType="end"/>
      </w:r>
      <w:r w:rsidRPr="008B4FB4">
        <w:rPr>
          <w:color w:val="000000" w:themeColor="text1"/>
          <w:szCs w:val="24"/>
          <w:lang w:val="en"/>
        </w:rPr>
        <w:t>.</w:t>
      </w:r>
    </w:p>
    <w:p w14:paraId="73FF25D9" w14:textId="3BFC8773" w:rsidR="008B4FB4" w:rsidRPr="008B4FB4" w:rsidRDefault="008B4FB4" w:rsidP="0097039D">
      <w:pPr>
        <w:spacing w:line="276" w:lineRule="auto"/>
        <w:ind w:firstLine="720"/>
        <w:jc w:val="both"/>
        <w:rPr>
          <w:rFonts w:eastAsia="Calibri"/>
          <w:color w:val="000000" w:themeColor="text1"/>
          <w:szCs w:val="24"/>
          <w:vertAlign w:val="superscript"/>
        </w:rPr>
      </w:pPr>
      <w:r w:rsidRPr="008B4FB4">
        <w:rPr>
          <w:color w:val="000000" w:themeColor="text1"/>
          <w:szCs w:val="24"/>
          <w:lang w:val="en"/>
        </w:rPr>
        <w:t>The prevalence of Stroke in Indonesia increased from 7% in 2013 to 10.9% or estimated as many as 2,120,362 people had strokes in 2018</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{"citationItems":[{"id":"ITEM-1","itemData":{"author":[{"dropping-particle":"","family":"Badan Penelitian dan Pengembangan Kesehatan","given":"","non-dropping-particle":"","parse-names":false,"suffix":""}],"container-title":"Badan Penelitian dan Pengembangan Kesehatan","id":"ITEM-1","issued":{"date-parts":[["2018"]]},"page":"198","title":"Laporan Nasional Riskesdas 2018","type":"article"},"uris":["http://www.mendeley.com/documents/?uuid=e9fb8890-fe7e-4282-862c-e7c880b15d39"]}],"mendeley":{"formattedCitation":"(Badan Penelitian dan Pengembangan Kesehatan, 2018)","plainTextFormattedCitation":"(Badan Penelitian dan Pengembangan Kesehatan, 2018)","previouslyFormattedCitation":"(Badan Penelitian dan Pengembangan Kesehatan, 2018)"},"properties":{"noteIndex":0},"schema":"https://github.com/citation-style-language/schema/raw/master/csl-citation.json"}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(Badan Penelitian dan Pengembangan Kesehatan, 2018)</w:t>
      </w:r>
      <w:r w:rsidRPr="008B4FB4">
        <w:rPr>
          <w:color w:val="000000" w:themeColor="text1"/>
          <w:szCs w:val="24"/>
          <w:lang w:val="en"/>
        </w:rPr>
        <w:fldChar w:fldCharType="end"/>
      </w:r>
      <w:r w:rsidRPr="008B4FB4">
        <w:rPr>
          <w:color w:val="000000" w:themeColor="text1"/>
          <w:szCs w:val="24"/>
          <w:lang w:val="en"/>
        </w:rPr>
        <w:t xml:space="preserve">. It is becoming the first cause of death in </w:t>
      </w:r>
      <w:r w:rsidR="00A85ABA" w:rsidRPr="008B4FB4">
        <w:rPr>
          <w:color w:val="000000" w:themeColor="text1"/>
          <w:szCs w:val="24"/>
          <w:lang w:val="en"/>
        </w:rPr>
        <w:t>Indonesia</w:t>
      </w:r>
      <w:r w:rsidR="00A85ABA" w:rsidRPr="008B4FB4">
        <w:rPr>
          <w:noProof/>
          <w:color w:val="000000" w:themeColor="text1"/>
          <w:szCs w:val="24"/>
          <w:lang w:val="en"/>
        </w:rPr>
        <w:t xml:space="preserve"> [</w:t>
      </w:r>
      <w:r w:rsidRPr="008B4FB4">
        <w:rPr>
          <w:noProof/>
          <w:color w:val="000000" w:themeColor="text1"/>
          <w:szCs w:val="24"/>
          <w:lang w:val="en"/>
        </w:rPr>
        <w:t>8,9]</w:t>
      </w:r>
      <w:r w:rsidRPr="008B4FB4">
        <w:rPr>
          <w:color w:val="000000" w:themeColor="text1"/>
          <w:szCs w:val="24"/>
          <w:lang w:val="en"/>
        </w:rPr>
        <w:t xml:space="preserve">, with 21.1% of deaths in Indonesia </w:t>
      </w:r>
      <w:r w:rsidRPr="008B4FB4">
        <w:rPr>
          <w:color w:val="000000" w:themeColor="text1"/>
          <w:szCs w:val="24"/>
          <w:lang w:val="en"/>
        </w:rPr>
        <w:lastRenderedPageBreak/>
        <w:t xml:space="preserve">caused by stroke. The results of the non-communicable diseases (NCD) cohort study in </w:t>
      </w:r>
      <w:proofErr w:type="spellStart"/>
      <w:r w:rsidRPr="008B4FB4">
        <w:rPr>
          <w:color w:val="000000" w:themeColor="text1"/>
          <w:szCs w:val="24"/>
          <w:lang w:val="en"/>
        </w:rPr>
        <w:t>Kebon</w:t>
      </w:r>
      <w:proofErr w:type="spellEnd"/>
      <w:r w:rsidRPr="008B4FB4">
        <w:rPr>
          <w:color w:val="000000" w:themeColor="text1"/>
          <w:szCs w:val="24"/>
          <w:lang w:val="en"/>
        </w:rPr>
        <w:t xml:space="preserve"> </w:t>
      </w:r>
      <w:proofErr w:type="spellStart"/>
      <w:r w:rsidRPr="008B4FB4">
        <w:rPr>
          <w:color w:val="000000" w:themeColor="text1"/>
          <w:szCs w:val="24"/>
          <w:lang w:val="en"/>
        </w:rPr>
        <w:t>Kelapa</w:t>
      </w:r>
      <w:proofErr w:type="spellEnd"/>
      <w:r w:rsidRPr="008B4FB4">
        <w:rPr>
          <w:color w:val="000000" w:themeColor="text1"/>
          <w:szCs w:val="24"/>
          <w:lang w:val="en"/>
        </w:rPr>
        <w:t>,  Bogor showed that stroke became a disease with the first fatality rate</w:t>
      </w:r>
      <w:r w:rsidRPr="008B4FB4">
        <w:rPr>
          <w:color w:val="000000" w:themeColor="text1"/>
          <w:szCs w:val="24"/>
          <w:vertAlign w:val="superscript"/>
          <w:lang w:val="en"/>
        </w:rPr>
        <w:fldChar w:fldCharType="begin" w:fldLock="1"/>
      </w:r>
      <w:r w:rsidR="009715F9">
        <w:rPr>
          <w:color w:val="000000" w:themeColor="text1"/>
          <w:szCs w:val="24"/>
          <w:vertAlign w:val="superscript"/>
          <w:lang w:val="en"/>
        </w:rPr>
        <w:instrText>ADDIN CSL_CITATION {"citationItems":[{"id":"ITEM-1","itemData":{"author":[{"dropping-particle":"","family":"Kemenkes RI","given":"","non-dropping-particle":"","parse-names":false,"suffix":""}],"id":"ITEM-1","issued":{"date-parts":[["2016"]]},"title":"Dukungan Penelitian dan Pengembangan dan Kualitas Pencegahan dan Pengendalian Penyakit","type":"article"},"uris":["http://www.mendeley.com/documents/?uuid=1e9a9e2f-bbf5-4aa9-96c8-0d203f3ce63d","http://www.mendeley.com/documents/?uuid=f4cbe19c-2399-432b-928e-10db2a032985","http://www.mendeley.com/documents/?uuid=47f343d0-870f-4582-a0b1-bbe5b49d2256"]},{"id":"ITEM-2","itemData":{"author":[{"dropping-particle":"","family":"Kemenkes RI","given":"","non-dropping-particle":"","parse-names":false,"suffix":""}],"id":"ITEM-2","issued":{"date-parts":[["2012"]]},"title":"Buletin-Ptm","type":"article"},"uris":["http://www.mendeley.com/documents/?uuid=f58e8a0a-a59f-453a-b7ac-5c768a324a78","http://www.mendeley.com/documents/?uuid=882d6111-750e-4940-9193-d00ee2dbcefb","http://www.mendeley.com/documents/?uuid=8728698f-d927-4992-a624-317b19503e31"]}],"mendeley":{"formattedCitation":"(Kemenkes RI, 2012, 2016)","plainTextFormattedCitation":"(Kemenkes RI, 2012, 2016)","previouslyFormattedCitation":"(Kemenkes RI, 2012, 2016)"},"properties":{"noteIndex":0},"schema":"https://github.com/citation-style-language/schema/raw/master/csl-citation.json"}</w:instrText>
      </w:r>
      <w:r w:rsidRPr="008B4FB4">
        <w:rPr>
          <w:color w:val="000000" w:themeColor="text1"/>
          <w:szCs w:val="24"/>
          <w:vertAlign w:val="superscript"/>
          <w:lang w:val="en"/>
        </w:rPr>
        <w:fldChar w:fldCharType="separate"/>
      </w:r>
      <w:r w:rsidRPr="008B4FB4">
        <w:rPr>
          <w:noProof/>
          <w:color w:val="000000" w:themeColor="text1"/>
          <w:szCs w:val="24"/>
          <w:lang w:val="en"/>
        </w:rPr>
        <w:t>(Kemenkes RI, 2012, 2016)</w:t>
      </w:r>
      <w:r w:rsidRPr="008B4FB4">
        <w:rPr>
          <w:color w:val="000000" w:themeColor="text1"/>
          <w:szCs w:val="24"/>
          <w:vertAlign w:val="superscript"/>
          <w:lang w:val="en"/>
        </w:rPr>
        <w:fldChar w:fldCharType="end"/>
      </w:r>
      <w:r w:rsidRPr="008B4FB4">
        <w:rPr>
          <w:color w:val="000000" w:themeColor="text1"/>
          <w:szCs w:val="24"/>
          <w:lang w:val="en"/>
        </w:rPr>
        <w:t>. Despite its enormous impact on the socio-economic development of the country, this growing crisis, stroke has lack of attention to date</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DOI":"10.2471/BLT.16.181636","ISSN":"15640604","PMID":"27708464","author":[{"dropping-particle":"","family":"Johnson","given":"Walter","non-dropping-particle":"","parse-names":false,"suffix":""},{"dropping-particle":"","family":"Onuma","given":"Oyere","non-dropping-particle":"","parse-names":false,"suffix":""},{"dropping-particle":"","family":"Owolabi","given":"Mayowa","non-dropping-particle":"","parse-names":false,"suffix":""},{"dropping-particle":"","family":"Sachdev","given":"Sonal","non-dropping-particle":"","parse-names":false,"suffix":""}],"container-title":"Bulletin of the World Health Organization","id":"ITEM-1","issue":"9","issued":{"date-parts":[["2016"]]},"page":"634A-635A","title":"Stroke: A global response is needed","type":"article-journal","volume":"94"},"uris":["http://www.mendeley.com/documents/?uuid=ffa1cf19-cdc0-4515-bd63-b2324b4b558c","http://www.mendeley.com/documents/?uuid=7ec048da-6943-48ac-880b-50993b6ab110"]}],"mendeley":{"formattedCitation":"(Johnson et al., 2016)","plainTextFormattedCitation":"(Johnson et al., 2016)","previouslyFormattedCitation":"(Johnson et al., 2016)"},"properties":{"noteIndex":0},"schema":"https://github.com/citation-style-language/schema/raw/master/csl-citation.json"}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(Johnson et al., 2016)</w:t>
      </w:r>
      <w:r w:rsidRPr="008B4FB4">
        <w:rPr>
          <w:color w:val="000000" w:themeColor="text1"/>
          <w:szCs w:val="24"/>
          <w:lang w:val="en"/>
        </w:rPr>
        <w:fldChar w:fldCharType="end"/>
      </w:r>
      <w:r w:rsidRPr="008B4FB4">
        <w:rPr>
          <w:color w:val="000000" w:themeColor="text1"/>
          <w:szCs w:val="24"/>
          <w:lang w:val="en"/>
        </w:rPr>
        <w:t>.</w:t>
      </w:r>
    </w:p>
    <w:p w14:paraId="1E5BDEF5" w14:textId="20A726C6" w:rsidR="008B4FB4" w:rsidRPr="008B4FB4" w:rsidRDefault="008B4FB4" w:rsidP="0097039D">
      <w:pPr>
        <w:spacing w:line="276" w:lineRule="auto"/>
        <w:ind w:firstLine="720"/>
        <w:jc w:val="both"/>
        <w:rPr>
          <w:rFonts w:eastAsia="Calibri"/>
          <w:color w:val="000000" w:themeColor="text1"/>
          <w:szCs w:val="24"/>
        </w:rPr>
      </w:pPr>
      <w:r w:rsidRPr="008B4FB4">
        <w:rPr>
          <w:color w:val="000000" w:themeColor="text1"/>
          <w:szCs w:val="24"/>
          <w:lang w:val="en"/>
        </w:rPr>
        <w:t xml:space="preserve">The metabolic risk factors of stroke are hypertension, obesity, and diabetes mellitus </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{"citationItems":[{"id":"ITEM-1","itemData":{"DOI":"10.1155/2019/2642458","ISSN":"2090-8105","abstract":"BACKGROUND: Stroke remains one of the most common noncommunicable diseases among Indonesian populations. This study aimed to identify the prevalence of stroke and its associated risk factors in the Sleman District of Yogyakarta Special Region, Indonesia. METHOD: This study was a secondary analysis of community-based data collected by the Sleman Health and Demographic Surveillance System (HDSS) in 2016. Basic demographic and socioeconomic data were collected. Additional questions about history of stroke and other chronic diseases were interviewed as a self-reported diagnosis. History of hormonal contraceptives use and dietary patterns were also collected. We examined the association between the prevalence of stroke and risk factors, namely, age, gender, self-reported history of chronic diseases, hormonal contraceptives use, and high-risk dietary patterns. RESULTS: The survey included 4,996 households composed of 20,465 individuals. Data regarding stroke incidents were available from 13,605 subjects aged ≥20 years old. Among them, a total of 4,884 subjects also have data regarding stroke risk factors. The overall prevalence of stroke in Sleman District was 1.4% (0.5% men and 0.90% women). The prevalence increased with additional decades of age (p&lt;0.001). In a multivariable model, increasing age, self-reported history of hypertension (OR=8.37, 95%CI: 4.76 to 14.69), and self-reported history of diabetes mellitus (OR=2.87, 95%CI: 1.54 to 5.35) were significantly associated with stroke. CONCLUSIONS: A community-based survey in Indonesia showed a high prevalence of stroke which was associated with increasing age, hypertension, and diabetes mellitus. These findings suggest that preventive actions against the aforementioned modifiable risk factors should be prioritized.","author":[{"dropping-particle":"","family":"Setyopranoto","given":"Ismail","non-dropping-particle":"","parse-names":false,"suffix":""},{"dropping-particle":"","family":"Bayuangga","given":"Halwan Fuad","non-dropping-particle":"","parse-names":false,"suffix":""},{"dropping-particle":"","family":"Panggabean","given":"Andre Stefanus","non-dropping-particle":"","parse-names":false,"suffix":""},{"dropping-particle":"","family":"Alifaningdyah","given":"Sarastiti","non-dropping-particle":"","parse-names":false,"suffix":""},{"dropping-particle":"","family":"Lazuardi","given":"Lutfan","non-dropping-particle":"","parse-names":false,"suffix":""},{"dropping-particle":"","family":"Dewi","given":"Fatwa Sari Tetra","non-dropping-particle":"","parse-names":false,"suffix":""},{"dropping-particle":"","family":"Malueka","given":"Rusdy Ghazali","non-dropping-particle":"","parse-names":false,"suffix":""}],"container-title":"Stroke research and treatment","id":"ITEM-1","issued":{"date-parts":[["2019","5","2"]]},"language":"eng","page":"2642458","publisher":"Hindawi","title":"Prevalence of Stroke and Associated Risk Factors in Sleman District of Yogyakarta Special Region, Indonesia","type":"article-journal","volume":"2019"},"uris":["http://www.mendeley.com/documents/?uuid=13fb601c-c36b-4391-be5c-a7b6df9ee9a8"]},{"id":"ITEM-2","itemData":{"DOI":"10.1371/journal.pone.0195210","ISBN":"1111111111","ISSN":"19326203","PMID":"29601602","abstract":"Background Whether metabolically healthy obese (MHO) individuals are at increased risk of ischemic stroke is not well known. We investigated the association of the MHO phenotype with ischemic stroke. Methods A total of 354,083 adults (age 45.8 ± 14.2 years) from the Korean National Health Insurance Service–National Sample Cohort enrolled in 2004–2008 were followed-up for incident ischemic stroke until 2013. Subjects meeting none of the metabolic syndrome criteria were classified as ‘metabolically healthy’. The cohort was categorized into four groups according to obesity and metabolic status: metabolically healthy normal weight (MHNW), metabolically unhealthy normal weight (MUNW), MHO, and metabolically unhealthy obese (MUO). Results Ischemic stroke was newly diagnosed in 4,884 (1.4%) individuals during a mean follow-up of 7.4 ± 1.5 years. Stroke incidence rates for the MHNW, MUNW, MHO, and MUO groups were 0.56, 2.61, 0.61, and 2.76 per 1,000 person-years, respectively. While risk for stroke increased significantly in metabolically unhealthy groups, it was not increased in MHO compared to the MHNW group on multivariate analysis. In metabolically healthy individuals, obesity did not increase the risk for ischemic stroke, regardless of the severity of obesity. Meanwhile, in metabolically unhealthy individuals, being obese was significantly associated with increased risk of stroke. Conclusions MHO individuals were not at increased risk for ischemic stroke. However, obesity increased risk for ischemic stroke in persons with metabolic risk factors; therefore, maintaining normal weight may be more important for this population. Also, metabolic unhealthiness showed greater association than obesity with stroke.","author":[{"dropping-particle":"","family":"Lee","given":"Hyun Jung","non-dropping-particle":"","parse-names":false,"suffix":""},{"dropping-particle":"","family":"Choi","given":"Eue Keun","non-dropping-particle":"","parse-names":false,"suffix":""},{"dropping-particle":"","family":"Lee","given":"Seung Hwan","non-dropping-particle":"","parse-names":false,"suffix":""},{"dropping-particle":"","family":"Kim","given":"Yong Jin","non-dropping-particle":"","parse-names":false,"suffix":""},{"dropping-particle":"Do","family":"Han","given":"Kyung","non-dropping-particle":"","parse-names":false,"suffix":""},{"dropping-particle":"","family":"Oh","given":"Seil","non-dropping-particle":"","parse-names":false,"suffix":""}],"container-title":"PLoS ONE","id":"ITEM-2","issue":"3","issued":{"date-parts":[["2018"]]},"page":"1-14","title":"Risk of ischemic stroke in metabolically healthy obesity: A nationwide population-based study","type":"article-journal","volume":"13"},"uris":["http://www.mendeley.com/documents/?uuid=7f3c2537-5dcf-44b0-8d20-3c52082c99b4"]},{"id":"ITEM-3","itemData":{"DOI":"10.1161/CIRCRESAHA.116.308398","ISSN":"15244571","PMID":"28154098","abstract":"Stroke is a heterogeneous syndrome, and determining risk factors and treatment depends on the specific pathogenesis of stroke. Risk factors for stroke can be categorized as modifiable and nonmodifiable. Age, sex, and race/ethnicity are nonmodifiable risk factors for both ischemic and hemorrhagic stroke, while hypertension, smoking, diet, and physical inactivity are among some of the more commonly reported modifiable risk factors. More recently described risk factors and triggers of stroke include inflammatory disorders, infection, pollution, and cardiac atrial disorders independent of atrial fibrillation. Single-gene disorders may cause rare, hereditary disorders for which stroke is a primary manifestation. Recent research also suggests that common and rare genetic polymorphisms can influence risk of more common causes of stroke, due to both other risk factors and specific stroke mechanisms, such as atrial fibrillation. Genetic factors, particularly those with environmental interactions, may be more modifiable than previously recognized. Stroke prevention has generally focused on modifiable risk factors. Lifestyle and behavioral modification, such as dietary changes or smoking cessation, not only reduces stroke risk, but also reduces the risk of other cardiovascular diseases. Other prevention strategies include identifying and treating medical conditions, such as hypertension and diabetes, that increase stroke risk. Recent research into risk factors and genetics of stroke has not only identified those at risk for stroke but also identified ways to target at-risk populations for stroke prevention.","author":[{"dropping-particle":"","family":"Boehme","given":"Amelia K.","non-dropping-particle":"","parse-names":false,"suffix":""},{"dropping-particle":"","family":"Esenwa","given":"Charles","non-dropping-particle":"","parse-names":false,"suffix":""},{"dropping-particle":"","family":"Elkind","given":"Mitchell S.V.","non-dropping-particle":"","parse-names":false,"suffix":""}],"container-title":"Circulation Research","id":"ITEM-3","issue":"3","issued":{"date-parts":[["2017"]]},"page":"472-495","title":"Stroke Risk Factors, Genetics, and Prevention","type":"article-journal","volume":"120"},"uris":["http://www.mendeley.com/documents/?uuid=fe264fba-f7e7-4bf0-954a-603282b0e56f"]},{"id":"ITEM-4","itemData":{"URL":"https://www.who.int/news-room/fact-sheets/detail/noncommunicablediseases","abstract":"Noncommunicable diseases (NCDs) kill 41 million people each year, equivalent to 71% of all deaths globally. Each year, 15 million people die from a NCD between the ages of 30 and 69 years; over 85% of these \"premature\" deaths occur in low- and middle-income countries. Cardiovascular diseases account for most NCD deaths, or 17.9 million people annually, followed by cancers (9.0 million), respiratory diseases (3.9million), and diabetes (1.6 million). These 4 groups of diseases account for over 80% of all premature NCD deaths. Tobacco use, physical inactivity, the harmful use of alcohol and unhealthy diets all increase the risk of dying from a NCD. Detection, screening and treatment of NCDs, as well as palliative care, are key components of the response to NCDs.","author":[{"dropping-particle":"","family":"WHO","given":"","non-dropping-particle":"","parse-names":false,"suffix":""}],"container-title":"World Health Organization","id":"ITEM-4","issue":"1","issued":{"date-parts":[["2018"]]},"page":"1-7","title":"Noncommnicable Disease : Key Facts","type":"webpage","volume":"23"},"uris":["http://www.mendeley.com/documents/?uuid=486288c2-c93d-453b-8fd7-94dc402bee6a","http://www.mendeley.com/documents/?uuid=6d766226-3e91-4746-af36-be0f6cc54a6f"]},{"id":"ITEM-5","itemData":{"abstract":"Abstrak Penyakit stroke semakin meningkat setiap tahunnya dan penelitian-penelitian tentang faktor risiko stroke juga semakin banyak dilakukan. Penelitian ini bertujuan untuk mengestimasi risiko orang dengan faktor risiko merokok, hipertensi, diabetes mellitus, obesitas dan kurang aktivitas fisik dengan penyakit stroke di Asia dan melihat analisis faktor-faktor tersebut dengan tipe stroke iskemik dan hemoragik. Penelitian ini menggunakan metode meta-analisis dengan penelusuran penelitian dengan desain kohor dan case-control pada database PubMed, EBSCO dan MEDLINE. Uji bias publikasi dilakukan dengan menggunakan funnelplot, Egger’s test dan teknik trim and fill untuk mengestimasi nilai central. Hasil identifikasi dan setelah melalui tahap seleksi pada penelitian-penelitian relevan yang diidentifikasi, sebanyak 16 artikel masuk ke dalam meta-analisis. Merokok, hipertensi, diabetes mellitus, obesitas dan kurang aktivitas fisik secara signifikan meningkatkan risiko stroke dengan pooled OR masing- masing sebesar 2,04 (95% CI 1,57-2,65) untuk merokok, 5,90 (95% CI 4,50-7,74) untuk hipertensi dan 2,68 (95% CI 2,27-3,16) untuk diabetes mellitus. Pooled OR 1,68 (95% CI 1,21-2,33) untuk obesitas dan 7,44 (95% CI 1,71-32,25) untuk kurang aktivitas fisik. Merokok dan obesitas secara signifikan berhubungan dengan penyakit stroke iskemik dan hemoragik. Untuk menekan peningkatan penyakit stroke di Asia perlu adanya upaya pencegahan dan pengendalian faktor risiko stroke. Menambah area bebas rokok serta mengontrol tekanan darah perlu dilakukan untuk meminimalisir risiko terjadinya stroke. Pola hidup sehat dan rutin berolahraga sangat disarankan untuk menurunkan risiko stroke. Kata kunci : Stroke, Faktor Risiko Stroke, Meta-analisis","author":[{"dropping-particle":"","family":"Hasnah","given":"Fadhilatul","non-dropping-particle":"","parse-names":false,"suffix":""}],"id":"ITEM-5","issued":{"date-parts":[["2020"]]},"page":"129","title":"Meta analisis faktor risiko penyakit stroke di asia","type":"article-journal"},"uris":["http://www.mendeley.com/documents/?uuid=2111cdfb-81bc-4e8c-86be-f621d8e3da7b","http://www.mendeley.com/documents/?uuid=fcd3d6da-ee67-4e44-a468-5aebf6458ace"]}],"mendeley":{"formattedCitation":"(Boehme et al., 2017; Hasnah, 2020; Lee et al., 2018; Setyopranoto et al., 2019; WHO, 2018)","plainTextFormattedCitation":"(Boehme et al., 2017; Hasnah, 2020; Lee et al., 2018; Setyopranoto et al., 2019; WHO, 2018)","previouslyFormattedCitation":"(Boehme et al., 2017; Hasnah, 2020; Lee et al., 2018; Setyopranoto et al., 2019; WHO, 2018)"},"properties":{"noteIndex":0},"schema":"https://github.com/citation-style-language/schema/raw/master/csl-citation.json"}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(Boehme et al., 2017; Hasnah, 2020; Lee et al., 2018; Setyopranoto et al., 2019; WHO, 2018)</w:t>
      </w:r>
      <w:r w:rsidRPr="008B4FB4">
        <w:rPr>
          <w:color w:val="000000" w:themeColor="text1"/>
          <w:szCs w:val="24"/>
          <w:lang w:val="en"/>
        </w:rPr>
        <w:fldChar w:fldCharType="end"/>
      </w:r>
      <w:r w:rsidRPr="008B4FB4">
        <w:rPr>
          <w:color w:val="000000" w:themeColor="text1"/>
          <w:szCs w:val="24"/>
          <w:lang w:val="en"/>
        </w:rPr>
        <w:t>.</w:t>
      </w:r>
      <w:r w:rsidRPr="008B4FB4">
        <w:rPr>
          <w:lang w:val="en"/>
        </w:rPr>
        <w:t xml:space="preserve"> </w:t>
      </w:r>
      <w:r w:rsidRPr="008B4FB4">
        <w:rPr>
          <w:color w:val="000000" w:themeColor="text1"/>
          <w:szCs w:val="24"/>
          <w:lang w:val="en"/>
        </w:rPr>
        <w:t>Indonesia's basic health research (</w:t>
      </w:r>
      <w:proofErr w:type="spellStart"/>
      <w:r w:rsidRPr="008B4FB4">
        <w:rPr>
          <w:color w:val="000000" w:themeColor="text1"/>
          <w:szCs w:val="24"/>
          <w:lang w:val="en"/>
        </w:rPr>
        <w:t>riset</w:t>
      </w:r>
      <w:proofErr w:type="spellEnd"/>
      <w:r w:rsidRPr="008B4FB4">
        <w:rPr>
          <w:color w:val="000000" w:themeColor="text1"/>
          <w:szCs w:val="24"/>
          <w:lang w:val="en"/>
        </w:rPr>
        <w:t xml:space="preserve"> </w:t>
      </w:r>
      <w:proofErr w:type="spellStart"/>
      <w:r w:rsidRPr="008B4FB4">
        <w:rPr>
          <w:color w:val="000000" w:themeColor="text1"/>
          <w:szCs w:val="24"/>
          <w:lang w:val="en"/>
        </w:rPr>
        <w:t>kesehatan</w:t>
      </w:r>
      <w:proofErr w:type="spellEnd"/>
      <w:r w:rsidRPr="008B4FB4">
        <w:rPr>
          <w:color w:val="000000" w:themeColor="text1"/>
          <w:szCs w:val="24"/>
          <w:lang w:val="en"/>
        </w:rPr>
        <w:t xml:space="preserve"> </w:t>
      </w:r>
      <w:proofErr w:type="spellStart"/>
      <w:r w:rsidRPr="008B4FB4">
        <w:rPr>
          <w:color w:val="000000" w:themeColor="text1"/>
          <w:szCs w:val="24"/>
          <w:lang w:val="en"/>
        </w:rPr>
        <w:t>dasar</w:t>
      </w:r>
      <w:proofErr w:type="spellEnd"/>
      <w:r w:rsidRPr="008B4FB4">
        <w:rPr>
          <w:color w:val="000000" w:themeColor="text1"/>
          <w:szCs w:val="24"/>
          <w:lang w:val="en"/>
        </w:rPr>
        <w:t xml:space="preserve">=RISKESDAS) </w:t>
      </w:r>
      <w:r w:rsidR="00A85ABA" w:rsidRPr="008B4FB4">
        <w:rPr>
          <w:color w:val="000000" w:themeColor="text1"/>
          <w:szCs w:val="24"/>
          <w:lang w:val="en"/>
        </w:rPr>
        <w:t>report shows</w:t>
      </w:r>
      <w:r w:rsidRPr="008B4FB4">
        <w:rPr>
          <w:color w:val="000000" w:themeColor="text1"/>
          <w:szCs w:val="24"/>
          <w:lang w:val="en"/>
        </w:rPr>
        <w:t xml:space="preserve"> that the </w:t>
      </w:r>
      <w:r w:rsidR="00A85ABA" w:rsidRPr="008B4FB4">
        <w:rPr>
          <w:color w:val="000000" w:themeColor="text1"/>
          <w:szCs w:val="24"/>
          <w:lang w:val="en"/>
        </w:rPr>
        <w:t>prevalence of</w:t>
      </w:r>
      <w:r w:rsidRPr="008B4FB4">
        <w:rPr>
          <w:color w:val="000000" w:themeColor="text1"/>
          <w:szCs w:val="24"/>
          <w:lang w:val="en"/>
        </w:rPr>
        <w:t xml:space="preserve"> these risk factors </w:t>
      </w:r>
      <w:r w:rsidR="00A85ABA" w:rsidRPr="008B4FB4">
        <w:rPr>
          <w:color w:val="000000" w:themeColor="text1"/>
          <w:szCs w:val="24"/>
          <w:lang w:val="en"/>
        </w:rPr>
        <w:t>has</w:t>
      </w:r>
      <w:r w:rsidRPr="008B4FB4">
        <w:rPr>
          <w:color w:val="000000" w:themeColor="text1"/>
          <w:szCs w:val="24"/>
          <w:lang w:val="en"/>
        </w:rPr>
        <w:t xml:space="preserve"> increased. The prevalence of hypertension for people aged &gt;18-years-old increased from 25.8% to 34.1%; the prevalence of obesity in the &gt;18-year-old increased from 14.8% to 21.8%; and diabetes mellitus in the ≥ 15-year-old increased from 6.9% to 10.9% </w:t>
      </w:r>
      <w:r w:rsidRPr="008B4FB4">
        <w:rPr>
          <w:color w:val="000000" w:themeColor="text1"/>
          <w:szCs w:val="24"/>
          <w:lang w:val="en"/>
        </w:rPr>
        <w:fldChar w:fldCharType="begin" w:fldLock="1"/>
      </w:r>
      <w:r w:rsidR="009715F9">
        <w:rPr>
          <w:color w:val="000000" w:themeColor="text1"/>
          <w:szCs w:val="24"/>
          <w:lang w:val="en"/>
        </w:rPr>
        <w:instrText>ADDIN CSL_CITATION {"citationItems":[{"id":"ITEM-1","itemData":{"author":[{"dropping-particle":"","family":"Badan Penelitian dan Pengembangan Kesehatan","given":"","non-dropping-particle":"","parse-names":false,"suffix":""}],"container-title":"Badan Penelitian dan Pengembangan Kesehatan","id":"ITEM-1","issued":{"date-parts":[["2018"]]},"page":"198","title":"Laporan Nasional Riskesdas 2018","type":"article"},"uris":["http://www.mendeley.com/documents/?uuid=23565455-6778-4389-a6ac-07a2f3804d5e","http://www.mendeley.com/documents/?uuid=e9fb8890-fe7e-4282-862c-e7c880b15d39"]}],"mendeley":{"formattedCitation":"(Badan Penelitian dan Pengembangan Kesehatan, 2018)","plainTextFormattedCitation":"(Badan Penelitian dan Pengembangan Kesehatan, 2018)","previouslyFormattedCitation":"(Badan Penelitian dan Pengembangan Kesehatan, 2018)"},"properties":{"noteIndex":0},"schema":"https://github.com/citation-style-language/schema/raw/master/csl-citation.json"}</w:instrText>
      </w:r>
      <w:r w:rsidRPr="008B4FB4">
        <w:rPr>
          <w:color w:val="000000" w:themeColor="text1"/>
          <w:szCs w:val="24"/>
          <w:lang w:val="en"/>
        </w:rPr>
        <w:fldChar w:fldCharType="separate"/>
      </w:r>
      <w:r w:rsidRPr="008B4FB4">
        <w:rPr>
          <w:noProof/>
          <w:color w:val="000000" w:themeColor="text1"/>
          <w:szCs w:val="24"/>
          <w:lang w:val="en"/>
        </w:rPr>
        <w:t>(Badan Penelitian dan Pengembangan Kesehatan, 2018)</w:t>
      </w:r>
      <w:r w:rsidRPr="008B4FB4">
        <w:rPr>
          <w:color w:val="000000" w:themeColor="text1"/>
          <w:szCs w:val="24"/>
          <w:lang w:val="en"/>
        </w:rPr>
        <w:fldChar w:fldCharType="end"/>
      </w:r>
      <w:r w:rsidRPr="008B4FB4">
        <w:rPr>
          <w:color w:val="000000" w:themeColor="text1"/>
          <w:szCs w:val="24"/>
          <w:lang w:val="en"/>
        </w:rPr>
        <w:t>. This study</w:t>
      </w:r>
      <w:bookmarkStart w:id="0" w:name="_Hlk90114454"/>
      <w:r w:rsidRPr="008B4FB4">
        <w:rPr>
          <w:color w:val="000000" w:themeColor="text1"/>
          <w:szCs w:val="24"/>
          <w:lang w:val="en"/>
        </w:rPr>
        <w:t xml:space="preserve"> aimed to find out the number of new cases during 2018 and their risk factors based on the data from NCD risk factors cohorts conducted by the National Health Institute of Research and Development, the Ministry of Health of the Republic of Indonesia.   </w:t>
      </w:r>
    </w:p>
    <w:p w14:paraId="458530D9" w14:textId="77777777" w:rsidR="008B4FB4" w:rsidRPr="008B4FB4" w:rsidRDefault="008B4FB4" w:rsidP="00B507A6">
      <w:pPr>
        <w:spacing w:line="276" w:lineRule="auto"/>
        <w:ind w:firstLine="720"/>
        <w:jc w:val="both"/>
        <w:rPr>
          <w:rFonts w:eastAsia="Calibri"/>
          <w:color w:val="000000" w:themeColor="text1"/>
          <w:szCs w:val="24"/>
        </w:rPr>
      </w:pPr>
    </w:p>
    <w:p w14:paraId="21AFD87D" w14:textId="77777777" w:rsidR="008B4FB4" w:rsidRPr="008B4FB4" w:rsidRDefault="008B4FB4" w:rsidP="008B4FB4">
      <w:pPr>
        <w:pStyle w:val="Heading1"/>
      </w:pPr>
      <w:r w:rsidRPr="008B4FB4">
        <w:t>MATERIALS AND METHODS</w:t>
      </w:r>
    </w:p>
    <w:p w14:paraId="7210FD36" w14:textId="77777777" w:rsidR="008B4FB4" w:rsidRPr="008B4FB4" w:rsidRDefault="008B4FB4" w:rsidP="008B4FB4">
      <w:pPr>
        <w:pStyle w:val="Heading2"/>
      </w:pPr>
      <w:r w:rsidRPr="008B4FB4">
        <w:rPr>
          <w:lang w:val="en"/>
        </w:rPr>
        <w:t>Data source and subjects</w:t>
      </w:r>
    </w:p>
    <w:p w14:paraId="10CEFD9A" w14:textId="77777777" w:rsidR="008B4FB4" w:rsidRPr="008B4FB4" w:rsidRDefault="008B4FB4" w:rsidP="00B53CB1">
      <w:pPr>
        <w:spacing w:line="276" w:lineRule="auto"/>
        <w:ind w:firstLine="720"/>
        <w:jc w:val="both"/>
        <w:rPr>
          <w:szCs w:val="24"/>
        </w:rPr>
      </w:pPr>
      <w:r w:rsidRPr="008B4FB4">
        <w:rPr>
          <w:szCs w:val="24"/>
          <w:lang w:val="en"/>
        </w:rPr>
        <w:t>This study was a secondary data analysis that used research data of the NCD Risk Factor Cohort Study in Bogor City in 2017-2018 from the Ministry of Health of the Republic of Indonesia and was a community-based prospective cohort study.</w:t>
      </w:r>
    </w:p>
    <w:p w14:paraId="6FE3AF85" w14:textId="77777777" w:rsidR="008B4FB4" w:rsidRPr="008B4FB4" w:rsidRDefault="008B4FB4" w:rsidP="008B4FB4">
      <w:pPr>
        <w:pStyle w:val="Heading2"/>
      </w:pPr>
      <w:r w:rsidRPr="008B4FB4">
        <w:rPr>
          <w:lang w:val="en"/>
        </w:rPr>
        <w:t>Data Management and Analysis</w:t>
      </w:r>
    </w:p>
    <w:p w14:paraId="0CD17276" w14:textId="04BC3944" w:rsidR="008B4FB4" w:rsidRPr="008B4FB4" w:rsidRDefault="008B4FB4" w:rsidP="00B53CB1">
      <w:pPr>
        <w:spacing w:line="276" w:lineRule="auto"/>
        <w:ind w:firstLine="720"/>
        <w:jc w:val="both"/>
        <w:rPr>
          <w:szCs w:val="24"/>
        </w:rPr>
      </w:pPr>
      <w:r w:rsidRPr="008B4FB4">
        <w:rPr>
          <w:szCs w:val="24"/>
          <w:lang w:val="en"/>
        </w:rPr>
        <w:t xml:space="preserve"> </w:t>
      </w:r>
      <w:r w:rsidRPr="008B4FB4">
        <w:rPr>
          <w:lang w:val="en"/>
        </w:rPr>
        <w:t xml:space="preserve"> Respondents</w:t>
      </w:r>
      <w:r w:rsidRPr="008B4FB4">
        <w:rPr>
          <w:szCs w:val="24"/>
          <w:lang w:val="en"/>
        </w:rPr>
        <w:t xml:space="preserve"> registered in the cohort study in 2017-2018 amounted to 3,784 respondents. 1,210 respondents</w:t>
      </w:r>
      <w:r w:rsidRPr="008B4FB4">
        <w:rPr>
          <w:lang w:val="en"/>
        </w:rPr>
        <w:t xml:space="preserve"> </w:t>
      </w:r>
      <w:r w:rsidRPr="008B4FB4">
        <w:rPr>
          <w:szCs w:val="24"/>
          <w:lang w:val="en"/>
        </w:rPr>
        <w:t xml:space="preserve">had carried out stroke confirmation examinations. Dependent variables are strokes categorized into strokes and not strokes based on the results of neurological studies and confirmation of stroke by a neurologist. The independent variables that potentially associated with stroke were age; gender; level </w:t>
      </w:r>
      <w:r w:rsidR="007C7A4B" w:rsidRPr="008B4FB4">
        <w:rPr>
          <w:szCs w:val="24"/>
          <w:lang w:val="en"/>
        </w:rPr>
        <w:t>of</w:t>
      </w:r>
      <w:r w:rsidRPr="008B4FB4">
        <w:rPr>
          <w:szCs w:val="24"/>
          <w:lang w:val="en"/>
        </w:rPr>
        <w:t xml:space="preserve"> education that categorized into low education (junior school or lower), and higher education (high school - college); Types of jobs categorized by private employees</w:t>
      </w:r>
      <w:r w:rsidRPr="008B4FB4">
        <w:rPr>
          <w:lang w:val="en"/>
        </w:rPr>
        <w:t>/</w:t>
      </w:r>
      <w:r w:rsidRPr="008B4FB4">
        <w:rPr>
          <w:szCs w:val="24"/>
          <w:lang w:val="en"/>
        </w:rPr>
        <w:t>entrepreneurs and civil servants; Respondents' income categorized &lt; UMK, and ≥ UMK;</w:t>
      </w:r>
      <w:r w:rsidRPr="008B4FB4">
        <w:rPr>
          <w:lang w:val="en"/>
        </w:rPr>
        <w:t xml:space="preserve"> </w:t>
      </w:r>
      <w:r w:rsidRPr="008B4FB4">
        <w:rPr>
          <w:szCs w:val="24"/>
          <w:lang w:val="en"/>
        </w:rPr>
        <w:t xml:space="preserve"> The</w:t>
      </w:r>
      <w:r w:rsidRPr="008B4FB4">
        <w:rPr>
          <w:lang w:val="en"/>
        </w:rPr>
        <w:t xml:space="preserve"> </w:t>
      </w:r>
      <w:r w:rsidRPr="008B4FB4">
        <w:rPr>
          <w:szCs w:val="24"/>
          <w:lang w:val="en"/>
        </w:rPr>
        <w:t xml:space="preserve">categorized health insurance has and does not; </w:t>
      </w:r>
      <w:r w:rsidRPr="008B4FB4">
        <w:rPr>
          <w:lang w:val="en"/>
        </w:rPr>
        <w:t xml:space="preserve"> </w:t>
      </w:r>
      <w:r w:rsidRPr="008B4FB4">
        <w:rPr>
          <w:szCs w:val="24"/>
          <w:lang w:val="en"/>
        </w:rPr>
        <w:t xml:space="preserve">Smoking status  in the past year categorized as smoking and not smoking; </w:t>
      </w:r>
      <w:r w:rsidRPr="008B4FB4">
        <w:rPr>
          <w:lang w:val="en"/>
        </w:rPr>
        <w:t xml:space="preserve"> </w:t>
      </w:r>
      <w:r w:rsidRPr="008B4FB4">
        <w:rPr>
          <w:szCs w:val="24"/>
          <w:lang w:val="en"/>
        </w:rPr>
        <w:t xml:space="preserve">The age of smoking started categorized  ≤ 15 years and &gt; 15 years; </w:t>
      </w:r>
      <w:r w:rsidRPr="008B4FB4">
        <w:rPr>
          <w:lang w:val="en"/>
        </w:rPr>
        <w:t xml:space="preserve"> </w:t>
      </w:r>
      <w:r w:rsidRPr="008B4FB4">
        <w:rPr>
          <w:szCs w:val="24"/>
          <w:lang w:val="en"/>
        </w:rPr>
        <w:t>Alcohol consumption,  physical</w:t>
      </w:r>
      <w:r w:rsidRPr="008B4FB4">
        <w:rPr>
          <w:lang w:val="en"/>
        </w:rPr>
        <w:t xml:space="preserve"> </w:t>
      </w:r>
      <w:r w:rsidRPr="008B4FB4">
        <w:rPr>
          <w:szCs w:val="24"/>
          <w:lang w:val="en"/>
        </w:rPr>
        <w:t xml:space="preserve">activity categorized into strenuous and light activity;  Diabetes Mellitus; and </w:t>
      </w:r>
      <w:r w:rsidRPr="008B4FB4">
        <w:rPr>
          <w:lang w:val="en"/>
        </w:rPr>
        <w:t xml:space="preserve"> emotional </w:t>
      </w:r>
      <w:r w:rsidRPr="008B4FB4">
        <w:rPr>
          <w:szCs w:val="24"/>
          <w:lang w:val="en"/>
        </w:rPr>
        <w:t>distress</w:t>
      </w:r>
      <w:r w:rsidRPr="008B4FB4">
        <w:rPr>
          <w:lang w:val="en"/>
        </w:rPr>
        <w:t xml:space="preserve"> status </w:t>
      </w:r>
      <w:r w:rsidRPr="008B4FB4">
        <w:rPr>
          <w:szCs w:val="24"/>
          <w:lang w:val="en"/>
        </w:rPr>
        <w:t xml:space="preserve">(stress) was classified as stress if the respondents experienced at least 6 out of 20 symptoms in the Instrument Self Reporting Questionnaire (SRQ). </w:t>
      </w:r>
    </w:p>
    <w:p w14:paraId="5A20D722" w14:textId="5D8642D8" w:rsidR="008B4FB4" w:rsidRPr="008B4FB4" w:rsidRDefault="008B4FB4" w:rsidP="00D040C3">
      <w:pPr>
        <w:spacing w:line="276" w:lineRule="auto"/>
        <w:ind w:firstLine="720"/>
        <w:jc w:val="both"/>
        <w:rPr>
          <w:szCs w:val="24"/>
        </w:rPr>
      </w:pPr>
      <w:r w:rsidRPr="008B4FB4">
        <w:rPr>
          <w:szCs w:val="24"/>
          <w:lang w:val="en"/>
        </w:rPr>
        <w:t xml:space="preserve"> Metabolic syndrome factors include fasting</w:t>
      </w:r>
      <w:r w:rsidRPr="008B4FB4">
        <w:rPr>
          <w:lang w:val="en"/>
        </w:rPr>
        <w:t xml:space="preserve"> </w:t>
      </w:r>
      <w:r w:rsidRPr="008B4FB4">
        <w:rPr>
          <w:szCs w:val="24"/>
          <w:lang w:val="en"/>
        </w:rPr>
        <w:t>blood glucose levels, post-loading blood</w:t>
      </w:r>
      <w:r w:rsidRPr="008B4FB4">
        <w:rPr>
          <w:lang w:val="en"/>
        </w:rPr>
        <w:t xml:space="preserve"> </w:t>
      </w:r>
      <w:r w:rsidRPr="008B4FB4">
        <w:rPr>
          <w:szCs w:val="24"/>
          <w:lang w:val="en"/>
        </w:rPr>
        <w:t>glucose, total cholesterol, LDL, HDL, triglyceride, systolic blood pressure, diastolic</w:t>
      </w:r>
      <w:r w:rsidRPr="008B4FB4">
        <w:rPr>
          <w:lang w:val="en"/>
        </w:rPr>
        <w:t xml:space="preserve"> </w:t>
      </w:r>
      <w:r w:rsidRPr="008B4FB4">
        <w:rPr>
          <w:szCs w:val="24"/>
          <w:lang w:val="en"/>
        </w:rPr>
        <w:t xml:space="preserve">blood pressure, and </w:t>
      </w:r>
      <w:r w:rsidRPr="008B4FB4">
        <w:rPr>
          <w:lang w:val="en"/>
        </w:rPr>
        <w:t>body</w:t>
      </w:r>
      <w:r w:rsidRPr="008B4FB4">
        <w:rPr>
          <w:szCs w:val="24"/>
          <w:lang w:val="en"/>
        </w:rPr>
        <w:t xml:space="preserve"> mass index (BMI).</w:t>
      </w:r>
      <w:r w:rsidRPr="008B4FB4">
        <w:rPr>
          <w:lang w:val="en"/>
        </w:rPr>
        <w:t xml:space="preserve"> </w:t>
      </w:r>
      <w:r w:rsidRPr="008B4FB4">
        <w:rPr>
          <w:szCs w:val="24"/>
          <w:lang w:val="en"/>
        </w:rPr>
        <w:t xml:space="preserve">Risk categories include fasting blood glucose ≥ 125 mg/dL, </w:t>
      </w:r>
      <w:r w:rsidRPr="008B4FB4">
        <w:rPr>
          <w:szCs w:val="24"/>
          <w:lang w:val="en"/>
        </w:rPr>
        <w:lastRenderedPageBreak/>
        <w:t>post prandial blood glucose ≥ 180 mg/dL, total cholesterol ≥ 200 mg/dL, LDL ≥ 100 mg/dL, HDL &lt; 40 for men and &lt; 50 for women and triglycerides ≥ 150 mg/dL, systolic blood pressure ≤ 120 mmHg, diastolic blood pressure ≤ 80 mmHg, and BMI</w:t>
      </w:r>
      <w:r w:rsidRPr="008B4FB4">
        <w:rPr>
          <w:lang w:val="en"/>
        </w:rPr>
        <w:t xml:space="preserve"> </w:t>
      </w:r>
      <w:r w:rsidRPr="008B4FB4">
        <w:rPr>
          <w:szCs w:val="24"/>
          <w:lang w:val="en"/>
        </w:rPr>
        <w:t>classified as normal and obese (≥ 27).</w:t>
      </w:r>
    </w:p>
    <w:p w14:paraId="38EA0B05" w14:textId="77777777" w:rsidR="008B4FB4" w:rsidRPr="008B4FB4" w:rsidRDefault="008B4FB4" w:rsidP="008B4FB4">
      <w:pPr>
        <w:pStyle w:val="Heading2"/>
      </w:pPr>
      <w:r w:rsidRPr="008B4FB4">
        <w:rPr>
          <w:lang w:val="en"/>
        </w:rPr>
        <w:t>Statistical Analysis</w:t>
      </w:r>
    </w:p>
    <w:p w14:paraId="05B5863A" w14:textId="77777777" w:rsidR="008B4FB4" w:rsidRPr="008B4FB4" w:rsidRDefault="008B4FB4" w:rsidP="00B507A6">
      <w:pPr>
        <w:spacing w:line="276" w:lineRule="auto"/>
        <w:jc w:val="both"/>
        <w:rPr>
          <w:szCs w:val="24"/>
        </w:rPr>
      </w:pPr>
      <w:r w:rsidRPr="008B4FB4">
        <w:rPr>
          <w:szCs w:val="24"/>
          <w:lang w:val="en"/>
        </w:rPr>
        <w:t xml:space="preserve">Data was presented as frequencies and percentages based on variable categories. Bivariate analysis is used to identify risk factors associated with stroke incidence. In the absence of collinearity, all variables were included in the logistic regression model using a gradual method to determine the associated variable (p 0.05). Odds ratio (OR) with a confidence interval of 95% (CI) was calculated as a measure of association. In addition, the </w:t>
      </w:r>
      <w:r w:rsidRPr="008B4FB4">
        <w:rPr>
          <w:i/>
          <w:iCs/>
          <w:szCs w:val="24"/>
          <w:lang w:val="en"/>
        </w:rPr>
        <w:t>Mann-Whitney test</w:t>
      </w:r>
      <w:r w:rsidRPr="008B4FB4">
        <w:rPr>
          <w:szCs w:val="24"/>
          <w:lang w:val="en"/>
        </w:rPr>
        <w:t xml:space="preserve"> was conducted to find out the difference in risk factors</w:t>
      </w:r>
      <w:r w:rsidRPr="008B4FB4">
        <w:rPr>
          <w:lang w:val="en"/>
        </w:rPr>
        <w:t xml:space="preserve"> for</w:t>
      </w:r>
      <w:r w:rsidRPr="008B4FB4">
        <w:rPr>
          <w:szCs w:val="24"/>
          <w:lang w:val="en"/>
        </w:rPr>
        <w:t xml:space="preserve"> metabolic syndrome years before</w:t>
      </w:r>
      <w:r w:rsidRPr="008B4FB4">
        <w:rPr>
          <w:lang w:val="en"/>
        </w:rPr>
        <w:t xml:space="preserve"> the </w:t>
      </w:r>
      <w:r w:rsidRPr="008B4FB4">
        <w:rPr>
          <w:szCs w:val="24"/>
          <w:lang w:val="en"/>
        </w:rPr>
        <w:t>stroke was diagnosed</w:t>
      </w:r>
      <w:r w:rsidRPr="008B4FB4">
        <w:rPr>
          <w:lang w:val="en"/>
        </w:rPr>
        <w:t xml:space="preserve"> </w:t>
      </w:r>
      <w:r w:rsidRPr="008B4FB4">
        <w:rPr>
          <w:szCs w:val="24"/>
          <w:lang w:val="en"/>
        </w:rPr>
        <w:t>with the year of the stroke diagnosis.</w:t>
      </w:r>
      <w:r w:rsidRPr="008B4FB4">
        <w:rPr>
          <w:lang w:val="en"/>
        </w:rPr>
        <w:t xml:space="preserve"> </w:t>
      </w:r>
      <w:r w:rsidRPr="008B4FB4">
        <w:rPr>
          <w:szCs w:val="24"/>
          <w:lang w:val="en"/>
        </w:rPr>
        <w:t>All analyses were conducted by SPSS 22.0 (IBM Corporation, NY, USA).</w:t>
      </w:r>
    </w:p>
    <w:p w14:paraId="1FEB1685" w14:textId="77777777" w:rsidR="008B4FB4" w:rsidRPr="008B4FB4" w:rsidRDefault="008B4FB4" w:rsidP="008B4FB4">
      <w:pPr>
        <w:pStyle w:val="Heading2"/>
      </w:pPr>
      <w:r w:rsidRPr="008B4FB4">
        <w:rPr>
          <w:lang w:val="en"/>
        </w:rPr>
        <w:t>Code of Ethics</w:t>
      </w:r>
    </w:p>
    <w:p w14:paraId="18CBAFAE" w14:textId="77777777" w:rsidR="008B4FB4" w:rsidRPr="008B4FB4" w:rsidRDefault="008B4FB4" w:rsidP="00C83521">
      <w:pPr>
        <w:spacing w:line="276" w:lineRule="auto"/>
        <w:jc w:val="both"/>
      </w:pPr>
      <w:r w:rsidRPr="008B4FB4">
        <w:rPr>
          <w:lang w:val="en"/>
        </w:rPr>
        <w:t>This cohort data source had received updated ethical approval every year from the Health Research Ethics Commission, Health Research and Development Agency, Ministry of Health of the Republic of Indonesia. Research ethics permit in 2017 number LB.02.01/5.2/KE.108/ 2017. No further ethical permission was required for the analyzed of secondary data.</w:t>
      </w:r>
    </w:p>
    <w:p w14:paraId="591F6500" w14:textId="77777777" w:rsidR="008B4FB4" w:rsidRPr="008B4FB4" w:rsidRDefault="008B4FB4" w:rsidP="00C83521">
      <w:pPr>
        <w:spacing w:line="276" w:lineRule="auto"/>
        <w:jc w:val="both"/>
      </w:pPr>
    </w:p>
    <w:p w14:paraId="24729315" w14:textId="77777777" w:rsidR="008B4FB4" w:rsidRPr="008B4FB4" w:rsidRDefault="008B4FB4" w:rsidP="008B4FB4">
      <w:pPr>
        <w:pStyle w:val="Heading1"/>
      </w:pPr>
      <w:r w:rsidRPr="008B4FB4">
        <w:t>RESULTS</w:t>
      </w:r>
    </w:p>
    <w:p w14:paraId="5A815D8D" w14:textId="77777777" w:rsidR="008B4FB4" w:rsidRPr="008B4FB4" w:rsidRDefault="008B4FB4" w:rsidP="0097039D">
      <w:pPr>
        <w:spacing w:line="276" w:lineRule="auto"/>
        <w:jc w:val="both"/>
        <w:rPr>
          <w:b/>
          <w:bCs/>
        </w:rPr>
      </w:pPr>
      <w:r w:rsidRPr="008B4FB4">
        <w:rPr>
          <w:b/>
          <w:bCs/>
          <w:lang w:val="en"/>
        </w:rPr>
        <w:t>Table 1. Characteristics of Research Respondents</w:t>
      </w:r>
    </w:p>
    <w:tbl>
      <w:tblPr>
        <w:tblW w:w="9752" w:type="dxa"/>
        <w:tblBorders>
          <w:top w:val="single" w:sz="4" w:space="0" w:color="auto"/>
          <w:bottom w:val="single" w:sz="4" w:space="0" w:color="auto"/>
        </w:tblBorders>
        <w:tblLook w:val="04A0" w:firstRow="1" w:lastRow="0" w:firstColumn="1" w:lastColumn="0" w:noHBand="0" w:noVBand="1"/>
      </w:tblPr>
      <w:tblGrid>
        <w:gridCol w:w="5247"/>
        <w:gridCol w:w="2371"/>
        <w:gridCol w:w="2134"/>
      </w:tblGrid>
      <w:tr w:rsidR="008B4FB4" w:rsidRPr="008B4FB4" w14:paraId="4A6F21D5" w14:textId="77777777" w:rsidTr="002B4CEF">
        <w:trPr>
          <w:trHeight w:val="20"/>
          <w:tblHeader/>
        </w:trPr>
        <w:tc>
          <w:tcPr>
            <w:tcW w:w="5247" w:type="dxa"/>
            <w:tcBorders>
              <w:bottom w:val="single" w:sz="4" w:space="0" w:color="auto"/>
            </w:tcBorders>
            <w:shd w:val="clear" w:color="auto" w:fill="auto"/>
            <w:noWrap/>
            <w:vAlign w:val="bottom"/>
            <w:hideMark/>
          </w:tcPr>
          <w:p w14:paraId="2FEECAA8" w14:textId="77777777" w:rsidR="008B4FB4" w:rsidRPr="008B4FB4" w:rsidRDefault="008B4FB4" w:rsidP="00C654A3">
            <w:pPr>
              <w:jc w:val="both"/>
              <w:rPr>
                <w:b/>
                <w:bCs/>
              </w:rPr>
            </w:pPr>
            <w:r w:rsidRPr="008B4FB4">
              <w:rPr>
                <w:b/>
                <w:bCs/>
                <w:lang w:val="en"/>
              </w:rPr>
              <w:t>Variable</w:t>
            </w:r>
          </w:p>
        </w:tc>
        <w:tc>
          <w:tcPr>
            <w:tcW w:w="2371" w:type="dxa"/>
            <w:tcBorders>
              <w:bottom w:val="single" w:sz="4" w:space="0" w:color="auto"/>
            </w:tcBorders>
            <w:shd w:val="clear" w:color="auto" w:fill="auto"/>
            <w:vAlign w:val="bottom"/>
            <w:hideMark/>
          </w:tcPr>
          <w:p w14:paraId="76E1601A" w14:textId="77777777" w:rsidR="008B4FB4" w:rsidRPr="008B4FB4" w:rsidRDefault="008B4FB4" w:rsidP="00C654A3">
            <w:pPr>
              <w:jc w:val="both"/>
              <w:rPr>
                <w:b/>
                <w:bCs/>
              </w:rPr>
            </w:pPr>
            <w:r w:rsidRPr="008B4FB4">
              <w:rPr>
                <w:b/>
                <w:bCs/>
                <w:lang w:val="en"/>
              </w:rPr>
              <w:t>Frequency</w:t>
            </w:r>
          </w:p>
        </w:tc>
        <w:tc>
          <w:tcPr>
            <w:tcW w:w="2134" w:type="dxa"/>
            <w:tcBorders>
              <w:bottom w:val="single" w:sz="4" w:space="0" w:color="auto"/>
            </w:tcBorders>
            <w:shd w:val="clear" w:color="auto" w:fill="auto"/>
            <w:vAlign w:val="bottom"/>
            <w:hideMark/>
          </w:tcPr>
          <w:p w14:paraId="3F30B3D1" w14:textId="77777777" w:rsidR="008B4FB4" w:rsidRPr="008B4FB4" w:rsidRDefault="008B4FB4" w:rsidP="00C654A3">
            <w:pPr>
              <w:jc w:val="both"/>
              <w:rPr>
                <w:b/>
                <w:bCs/>
              </w:rPr>
            </w:pPr>
            <w:r w:rsidRPr="008B4FB4">
              <w:rPr>
                <w:b/>
                <w:bCs/>
                <w:lang w:val="en"/>
              </w:rPr>
              <w:t>Percent</w:t>
            </w:r>
          </w:p>
        </w:tc>
      </w:tr>
      <w:tr w:rsidR="008B4FB4" w:rsidRPr="008B4FB4" w14:paraId="482F8B9A" w14:textId="77777777" w:rsidTr="002B4CEF">
        <w:trPr>
          <w:trHeight w:val="20"/>
        </w:trPr>
        <w:tc>
          <w:tcPr>
            <w:tcW w:w="5247" w:type="dxa"/>
            <w:tcBorders>
              <w:top w:val="single" w:sz="4" w:space="0" w:color="auto"/>
              <w:bottom w:val="single" w:sz="4" w:space="0" w:color="auto"/>
            </w:tcBorders>
            <w:shd w:val="clear" w:color="auto" w:fill="auto"/>
            <w:noWrap/>
            <w:vAlign w:val="bottom"/>
          </w:tcPr>
          <w:p w14:paraId="2471B81B" w14:textId="77777777" w:rsidR="008B4FB4" w:rsidRPr="008B4FB4" w:rsidRDefault="008B4FB4" w:rsidP="00C654A3">
            <w:pPr>
              <w:jc w:val="both"/>
              <w:rPr>
                <w:b/>
                <w:bCs/>
              </w:rPr>
            </w:pPr>
            <w:r w:rsidRPr="008B4FB4">
              <w:rPr>
                <w:b/>
                <w:bCs/>
                <w:lang w:val="en"/>
              </w:rPr>
              <w:t>Age (mean; SD)</w:t>
            </w:r>
          </w:p>
        </w:tc>
        <w:tc>
          <w:tcPr>
            <w:tcW w:w="4505" w:type="dxa"/>
            <w:gridSpan w:val="2"/>
            <w:tcBorders>
              <w:top w:val="single" w:sz="4" w:space="0" w:color="auto"/>
              <w:bottom w:val="single" w:sz="4" w:space="0" w:color="auto"/>
            </w:tcBorders>
            <w:shd w:val="clear" w:color="auto" w:fill="auto"/>
            <w:vAlign w:val="bottom"/>
          </w:tcPr>
          <w:p w14:paraId="39B0A17A" w14:textId="77777777" w:rsidR="008B4FB4" w:rsidRPr="008B4FB4" w:rsidRDefault="008B4FB4" w:rsidP="00C654A3">
            <w:pPr>
              <w:jc w:val="both"/>
            </w:pPr>
            <w:r w:rsidRPr="008B4FB4">
              <w:rPr>
                <w:lang w:val="en"/>
              </w:rPr>
              <w:t>43.3; 10.14</w:t>
            </w:r>
          </w:p>
        </w:tc>
      </w:tr>
      <w:tr w:rsidR="008B4FB4" w:rsidRPr="008B4FB4" w14:paraId="47E32ADD" w14:textId="77777777" w:rsidTr="002B4CEF">
        <w:trPr>
          <w:trHeight w:val="20"/>
        </w:trPr>
        <w:tc>
          <w:tcPr>
            <w:tcW w:w="5247" w:type="dxa"/>
            <w:tcBorders>
              <w:top w:val="single" w:sz="4" w:space="0" w:color="auto"/>
              <w:bottom w:val="nil"/>
            </w:tcBorders>
            <w:shd w:val="clear" w:color="auto" w:fill="auto"/>
            <w:noWrap/>
            <w:vAlign w:val="bottom"/>
            <w:hideMark/>
          </w:tcPr>
          <w:p w14:paraId="630B7B52" w14:textId="77777777" w:rsidR="008B4FB4" w:rsidRPr="008B4FB4" w:rsidRDefault="008B4FB4" w:rsidP="00C654A3">
            <w:pPr>
              <w:jc w:val="both"/>
              <w:rPr>
                <w:b/>
                <w:bCs/>
              </w:rPr>
            </w:pPr>
            <w:r w:rsidRPr="008B4FB4">
              <w:rPr>
                <w:b/>
                <w:bCs/>
                <w:lang w:val="en"/>
              </w:rPr>
              <w:t xml:space="preserve"> Gender</w:t>
            </w:r>
          </w:p>
        </w:tc>
        <w:tc>
          <w:tcPr>
            <w:tcW w:w="2371" w:type="dxa"/>
            <w:tcBorders>
              <w:top w:val="single" w:sz="4" w:space="0" w:color="auto"/>
              <w:bottom w:val="nil"/>
            </w:tcBorders>
            <w:shd w:val="clear" w:color="auto" w:fill="auto"/>
            <w:vAlign w:val="bottom"/>
            <w:hideMark/>
          </w:tcPr>
          <w:p w14:paraId="4A86D39A"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vAlign w:val="bottom"/>
            <w:hideMark/>
          </w:tcPr>
          <w:p w14:paraId="31709A7B" w14:textId="77777777" w:rsidR="008B4FB4" w:rsidRPr="008B4FB4" w:rsidRDefault="008B4FB4" w:rsidP="00C654A3">
            <w:pPr>
              <w:jc w:val="both"/>
              <w:rPr>
                <w:b/>
                <w:bCs/>
              </w:rPr>
            </w:pPr>
            <w:r w:rsidRPr="008B4FB4">
              <w:rPr>
                <w:b/>
                <w:bCs/>
              </w:rPr>
              <w:t> </w:t>
            </w:r>
          </w:p>
        </w:tc>
      </w:tr>
      <w:tr w:rsidR="008B4FB4" w:rsidRPr="008B4FB4" w14:paraId="77D32BF9" w14:textId="77777777" w:rsidTr="002B4CEF">
        <w:trPr>
          <w:trHeight w:val="20"/>
        </w:trPr>
        <w:tc>
          <w:tcPr>
            <w:tcW w:w="5247" w:type="dxa"/>
            <w:tcBorders>
              <w:top w:val="nil"/>
              <w:bottom w:val="nil"/>
            </w:tcBorders>
            <w:shd w:val="clear" w:color="auto" w:fill="auto"/>
            <w:noWrap/>
            <w:vAlign w:val="bottom"/>
            <w:hideMark/>
          </w:tcPr>
          <w:p w14:paraId="70F03361" w14:textId="77777777" w:rsidR="008B4FB4" w:rsidRPr="008B4FB4" w:rsidRDefault="008B4FB4" w:rsidP="00C654A3">
            <w:pPr>
              <w:jc w:val="both"/>
            </w:pPr>
            <w:r w:rsidRPr="008B4FB4">
              <w:rPr>
                <w:lang w:val="en"/>
              </w:rPr>
              <w:t>Man</w:t>
            </w:r>
          </w:p>
        </w:tc>
        <w:tc>
          <w:tcPr>
            <w:tcW w:w="2371" w:type="dxa"/>
            <w:tcBorders>
              <w:top w:val="nil"/>
              <w:bottom w:val="nil"/>
            </w:tcBorders>
            <w:shd w:val="clear" w:color="auto" w:fill="auto"/>
            <w:noWrap/>
            <w:vAlign w:val="center"/>
            <w:hideMark/>
          </w:tcPr>
          <w:p w14:paraId="49EFFAF0" w14:textId="77777777" w:rsidR="008B4FB4" w:rsidRPr="008B4FB4" w:rsidRDefault="008B4FB4" w:rsidP="00C654A3">
            <w:pPr>
              <w:jc w:val="both"/>
            </w:pPr>
            <w:r w:rsidRPr="008B4FB4">
              <w:rPr>
                <w:lang w:val="en"/>
              </w:rPr>
              <w:t>419</w:t>
            </w:r>
          </w:p>
        </w:tc>
        <w:tc>
          <w:tcPr>
            <w:tcW w:w="2134" w:type="dxa"/>
            <w:tcBorders>
              <w:top w:val="nil"/>
              <w:bottom w:val="nil"/>
            </w:tcBorders>
            <w:shd w:val="clear" w:color="auto" w:fill="auto"/>
            <w:noWrap/>
            <w:vAlign w:val="center"/>
            <w:hideMark/>
          </w:tcPr>
          <w:p w14:paraId="167A95D8" w14:textId="77777777" w:rsidR="008B4FB4" w:rsidRPr="008B4FB4" w:rsidRDefault="008B4FB4" w:rsidP="00C654A3">
            <w:pPr>
              <w:jc w:val="both"/>
            </w:pPr>
            <w:r w:rsidRPr="008B4FB4">
              <w:rPr>
                <w:lang w:val="en"/>
              </w:rPr>
              <w:t>34.6</w:t>
            </w:r>
          </w:p>
        </w:tc>
      </w:tr>
      <w:tr w:rsidR="008B4FB4" w:rsidRPr="008B4FB4" w14:paraId="7A5B50B6" w14:textId="77777777" w:rsidTr="002B4CEF">
        <w:trPr>
          <w:trHeight w:val="20"/>
        </w:trPr>
        <w:tc>
          <w:tcPr>
            <w:tcW w:w="5247" w:type="dxa"/>
            <w:tcBorders>
              <w:top w:val="nil"/>
              <w:bottom w:val="single" w:sz="4" w:space="0" w:color="auto"/>
            </w:tcBorders>
            <w:shd w:val="clear" w:color="auto" w:fill="auto"/>
            <w:noWrap/>
            <w:vAlign w:val="bottom"/>
            <w:hideMark/>
          </w:tcPr>
          <w:p w14:paraId="7B4AEB9C" w14:textId="77777777" w:rsidR="008B4FB4" w:rsidRPr="008B4FB4" w:rsidRDefault="008B4FB4" w:rsidP="00C654A3">
            <w:pPr>
              <w:jc w:val="both"/>
            </w:pPr>
            <w:r w:rsidRPr="008B4FB4">
              <w:rPr>
                <w:lang w:val="en"/>
              </w:rPr>
              <w:t>Woman</w:t>
            </w:r>
          </w:p>
        </w:tc>
        <w:tc>
          <w:tcPr>
            <w:tcW w:w="2371" w:type="dxa"/>
            <w:tcBorders>
              <w:top w:val="nil"/>
              <w:bottom w:val="single" w:sz="4" w:space="0" w:color="auto"/>
            </w:tcBorders>
            <w:shd w:val="clear" w:color="auto" w:fill="auto"/>
            <w:noWrap/>
            <w:vAlign w:val="center"/>
            <w:hideMark/>
          </w:tcPr>
          <w:p w14:paraId="043DBF21" w14:textId="77777777" w:rsidR="008B4FB4" w:rsidRPr="008B4FB4" w:rsidRDefault="008B4FB4" w:rsidP="00C654A3">
            <w:pPr>
              <w:jc w:val="both"/>
            </w:pPr>
            <w:r w:rsidRPr="008B4FB4">
              <w:rPr>
                <w:lang w:val="en"/>
              </w:rPr>
              <w:t>791</w:t>
            </w:r>
          </w:p>
        </w:tc>
        <w:tc>
          <w:tcPr>
            <w:tcW w:w="2134" w:type="dxa"/>
            <w:tcBorders>
              <w:top w:val="nil"/>
              <w:bottom w:val="single" w:sz="4" w:space="0" w:color="auto"/>
            </w:tcBorders>
            <w:shd w:val="clear" w:color="auto" w:fill="auto"/>
            <w:noWrap/>
            <w:vAlign w:val="center"/>
            <w:hideMark/>
          </w:tcPr>
          <w:p w14:paraId="4FDA076A" w14:textId="77777777" w:rsidR="008B4FB4" w:rsidRPr="008B4FB4" w:rsidRDefault="008B4FB4" w:rsidP="00C654A3">
            <w:pPr>
              <w:jc w:val="both"/>
            </w:pPr>
            <w:r w:rsidRPr="008B4FB4">
              <w:rPr>
                <w:lang w:val="en"/>
              </w:rPr>
              <w:t>65.4</w:t>
            </w:r>
          </w:p>
        </w:tc>
      </w:tr>
      <w:tr w:rsidR="008B4FB4" w:rsidRPr="008B4FB4" w14:paraId="58FDF05F" w14:textId="77777777" w:rsidTr="002B4CEF">
        <w:trPr>
          <w:trHeight w:val="20"/>
        </w:trPr>
        <w:tc>
          <w:tcPr>
            <w:tcW w:w="5247" w:type="dxa"/>
            <w:tcBorders>
              <w:top w:val="single" w:sz="4" w:space="0" w:color="auto"/>
              <w:bottom w:val="nil"/>
            </w:tcBorders>
            <w:shd w:val="clear" w:color="auto" w:fill="auto"/>
            <w:noWrap/>
            <w:vAlign w:val="bottom"/>
            <w:hideMark/>
          </w:tcPr>
          <w:p w14:paraId="1C3442D7" w14:textId="77777777" w:rsidR="008B4FB4" w:rsidRPr="008B4FB4" w:rsidRDefault="008B4FB4" w:rsidP="00C654A3">
            <w:pPr>
              <w:jc w:val="both"/>
              <w:rPr>
                <w:b/>
                <w:bCs/>
              </w:rPr>
            </w:pPr>
            <w:r w:rsidRPr="008B4FB4">
              <w:rPr>
                <w:b/>
                <w:bCs/>
                <w:lang w:val="en"/>
              </w:rPr>
              <w:t>Education</w:t>
            </w:r>
          </w:p>
        </w:tc>
        <w:tc>
          <w:tcPr>
            <w:tcW w:w="2371" w:type="dxa"/>
            <w:tcBorders>
              <w:top w:val="single" w:sz="4" w:space="0" w:color="auto"/>
              <w:bottom w:val="nil"/>
            </w:tcBorders>
            <w:shd w:val="clear" w:color="auto" w:fill="auto"/>
            <w:noWrap/>
            <w:vAlign w:val="center"/>
            <w:hideMark/>
          </w:tcPr>
          <w:p w14:paraId="1BF4FB2A"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2054318F" w14:textId="77777777" w:rsidR="008B4FB4" w:rsidRPr="008B4FB4" w:rsidRDefault="008B4FB4" w:rsidP="00C654A3">
            <w:pPr>
              <w:jc w:val="both"/>
              <w:rPr>
                <w:b/>
                <w:bCs/>
              </w:rPr>
            </w:pPr>
            <w:r w:rsidRPr="008B4FB4">
              <w:rPr>
                <w:b/>
                <w:bCs/>
              </w:rPr>
              <w:t> </w:t>
            </w:r>
          </w:p>
        </w:tc>
      </w:tr>
      <w:tr w:rsidR="008B4FB4" w:rsidRPr="008B4FB4" w14:paraId="5B07B047" w14:textId="77777777" w:rsidTr="002B4CEF">
        <w:trPr>
          <w:trHeight w:val="20"/>
        </w:trPr>
        <w:tc>
          <w:tcPr>
            <w:tcW w:w="5247" w:type="dxa"/>
            <w:tcBorders>
              <w:top w:val="nil"/>
            </w:tcBorders>
            <w:shd w:val="clear" w:color="auto" w:fill="auto"/>
            <w:noWrap/>
            <w:vAlign w:val="bottom"/>
            <w:hideMark/>
          </w:tcPr>
          <w:p w14:paraId="20FB59E9" w14:textId="77777777" w:rsidR="008B4FB4" w:rsidRPr="008B4FB4" w:rsidRDefault="008B4FB4" w:rsidP="00C654A3">
            <w:pPr>
              <w:jc w:val="both"/>
            </w:pPr>
            <w:r w:rsidRPr="008B4FB4">
              <w:rPr>
                <w:lang w:val="en"/>
              </w:rPr>
              <w:t>Low (Not School - Junior school)</w:t>
            </w:r>
          </w:p>
        </w:tc>
        <w:tc>
          <w:tcPr>
            <w:tcW w:w="2371" w:type="dxa"/>
            <w:tcBorders>
              <w:top w:val="nil"/>
            </w:tcBorders>
            <w:shd w:val="clear" w:color="auto" w:fill="auto"/>
            <w:noWrap/>
            <w:vAlign w:val="center"/>
            <w:hideMark/>
          </w:tcPr>
          <w:p w14:paraId="65B4FA9C" w14:textId="77777777" w:rsidR="008B4FB4" w:rsidRPr="008B4FB4" w:rsidRDefault="008B4FB4" w:rsidP="00C654A3">
            <w:pPr>
              <w:jc w:val="both"/>
            </w:pPr>
            <w:r w:rsidRPr="008B4FB4">
              <w:rPr>
                <w:lang w:val="en"/>
              </w:rPr>
              <w:t>734</w:t>
            </w:r>
          </w:p>
        </w:tc>
        <w:tc>
          <w:tcPr>
            <w:tcW w:w="2134" w:type="dxa"/>
            <w:tcBorders>
              <w:top w:val="nil"/>
            </w:tcBorders>
            <w:shd w:val="clear" w:color="auto" w:fill="auto"/>
            <w:noWrap/>
            <w:vAlign w:val="center"/>
            <w:hideMark/>
          </w:tcPr>
          <w:p w14:paraId="6AFF3100" w14:textId="77777777" w:rsidR="008B4FB4" w:rsidRPr="008B4FB4" w:rsidRDefault="008B4FB4" w:rsidP="00C654A3">
            <w:pPr>
              <w:jc w:val="both"/>
            </w:pPr>
            <w:r w:rsidRPr="008B4FB4">
              <w:rPr>
                <w:lang w:val="en"/>
              </w:rPr>
              <w:t>60.7</w:t>
            </w:r>
          </w:p>
        </w:tc>
      </w:tr>
      <w:tr w:rsidR="008B4FB4" w:rsidRPr="008B4FB4" w14:paraId="3A8A55EC" w14:textId="77777777" w:rsidTr="002B4CEF">
        <w:trPr>
          <w:trHeight w:val="20"/>
        </w:trPr>
        <w:tc>
          <w:tcPr>
            <w:tcW w:w="5247" w:type="dxa"/>
            <w:tcBorders>
              <w:bottom w:val="single" w:sz="4" w:space="0" w:color="auto"/>
            </w:tcBorders>
            <w:shd w:val="clear" w:color="auto" w:fill="auto"/>
            <w:noWrap/>
            <w:vAlign w:val="bottom"/>
            <w:hideMark/>
          </w:tcPr>
          <w:p w14:paraId="5102878E" w14:textId="77777777" w:rsidR="008B4FB4" w:rsidRPr="008B4FB4" w:rsidRDefault="008B4FB4" w:rsidP="00C654A3">
            <w:pPr>
              <w:jc w:val="both"/>
            </w:pPr>
            <w:r w:rsidRPr="008B4FB4">
              <w:rPr>
                <w:lang w:val="en"/>
              </w:rPr>
              <w:t xml:space="preserve">High (high school - college) </w:t>
            </w:r>
          </w:p>
        </w:tc>
        <w:tc>
          <w:tcPr>
            <w:tcW w:w="2371" w:type="dxa"/>
            <w:tcBorders>
              <w:bottom w:val="single" w:sz="4" w:space="0" w:color="auto"/>
            </w:tcBorders>
            <w:shd w:val="clear" w:color="auto" w:fill="auto"/>
            <w:noWrap/>
            <w:vAlign w:val="center"/>
            <w:hideMark/>
          </w:tcPr>
          <w:p w14:paraId="691744C6" w14:textId="77777777" w:rsidR="008B4FB4" w:rsidRPr="008B4FB4" w:rsidRDefault="008B4FB4" w:rsidP="00C654A3">
            <w:pPr>
              <w:jc w:val="both"/>
            </w:pPr>
            <w:r w:rsidRPr="008B4FB4">
              <w:rPr>
                <w:lang w:val="en"/>
              </w:rPr>
              <w:t>476</w:t>
            </w:r>
          </w:p>
        </w:tc>
        <w:tc>
          <w:tcPr>
            <w:tcW w:w="2134" w:type="dxa"/>
            <w:tcBorders>
              <w:bottom w:val="single" w:sz="4" w:space="0" w:color="auto"/>
            </w:tcBorders>
            <w:shd w:val="clear" w:color="auto" w:fill="auto"/>
            <w:noWrap/>
            <w:vAlign w:val="center"/>
            <w:hideMark/>
          </w:tcPr>
          <w:p w14:paraId="3CB6593D" w14:textId="77777777" w:rsidR="008B4FB4" w:rsidRPr="008B4FB4" w:rsidRDefault="008B4FB4" w:rsidP="00C654A3">
            <w:pPr>
              <w:jc w:val="both"/>
            </w:pPr>
            <w:r w:rsidRPr="008B4FB4">
              <w:rPr>
                <w:lang w:val="en"/>
              </w:rPr>
              <w:t>39.3</w:t>
            </w:r>
          </w:p>
        </w:tc>
      </w:tr>
      <w:tr w:rsidR="008B4FB4" w:rsidRPr="008B4FB4" w14:paraId="7527E116" w14:textId="77777777" w:rsidTr="002B4CEF">
        <w:trPr>
          <w:trHeight w:val="20"/>
        </w:trPr>
        <w:tc>
          <w:tcPr>
            <w:tcW w:w="5247" w:type="dxa"/>
            <w:tcBorders>
              <w:top w:val="single" w:sz="4" w:space="0" w:color="auto"/>
              <w:bottom w:val="nil"/>
            </w:tcBorders>
            <w:shd w:val="clear" w:color="auto" w:fill="auto"/>
            <w:noWrap/>
            <w:vAlign w:val="bottom"/>
            <w:hideMark/>
          </w:tcPr>
          <w:p w14:paraId="680F13A0" w14:textId="77777777" w:rsidR="008B4FB4" w:rsidRPr="008B4FB4" w:rsidRDefault="008B4FB4" w:rsidP="00C654A3">
            <w:pPr>
              <w:jc w:val="both"/>
              <w:rPr>
                <w:b/>
                <w:bCs/>
              </w:rPr>
            </w:pPr>
            <w:r w:rsidRPr="008B4FB4">
              <w:rPr>
                <w:b/>
                <w:bCs/>
                <w:lang w:val="en"/>
              </w:rPr>
              <w:t>Type of work</w:t>
            </w:r>
          </w:p>
        </w:tc>
        <w:tc>
          <w:tcPr>
            <w:tcW w:w="2371" w:type="dxa"/>
            <w:tcBorders>
              <w:top w:val="single" w:sz="4" w:space="0" w:color="auto"/>
              <w:bottom w:val="nil"/>
            </w:tcBorders>
            <w:shd w:val="clear" w:color="auto" w:fill="auto"/>
            <w:noWrap/>
            <w:vAlign w:val="center"/>
            <w:hideMark/>
          </w:tcPr>
          <w:p w14:paraId="2570D99D"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75591281" w14:textId="77777777" w:rsidR="008B4FB4" w:rsidRPr="008B4FB4" w:rsidRDefault="008B4FB4" w:rsidP="00C654A3">
            <w:pPr>
              <w:jc w:val="both"/>
              <w:rPr>
                <w:b/>
                <w:bCs/>
              </w:rPr>
            </w:pPr>
            <w:r w:rsidRPr="008B4FB4">
              <w:rPr>
                <w:b/>
                <w:bCs/>
              </w:rPr>
              <w:t> </w:t>
            </w:r>
          </w:p>
        </w:tc>
      </w:tr>
      <w:tr w:rsidR="008B4FB4" w:rsidRPr="008B4FB4" w14:paraId="7B1703D5" w14:textId="77777777" w:rsidTr="002B4CEF">
        <w:trPr>
          <w:trHeight w:val="20"/>
        </w:trPr>
        <w:tc>
          <w:tcPr>
            <w:tcW w:w="5247" w:type="dxa"/>
            <w:tcBorders>
              <w:top w:val="nil"/>
            </w:tcBorders>
            <w:shd w:val="clear" w:color="auto" w:fill="auto"/>
            <w:noWrap/>
            <w:vAlign w:val="bottom"/>
            <w:hideMark/>
          </w:tcPr>
          <w:p w14:paraId="15F2FD82" w14:textId="77777777" w:rsidR="008B4FB4" w:rsidRPr="008B4FB4" w:rsidRDefault="008B4FB4" w:rsidP="00C654A3">
            <w:pPr>
              <w:jc w:val="both"/>
            </w:pPr>
            <w:r w:rsidRPr="008B4FB4">
              <w:rPr>
                <w:lang w:val="en"/>
              </w:rPr>
              <w:t xml:space="preserve"> Private employee/entrepreneur</w:t>
            </w:r>
          </w:p>
        </w:tc>
        <w:tc>
          <w:tcPr>
            <w:tcW w:w="2371" w:type="dxa"/>
            <w:tcBorders>
              <w:top w:val="nil"/>
            </w:tcBorders>
            <w:shd w:val="clear" w:color="auto" w:fill="auto"/>
            <w:noWrap/>
            <w:vAlign w:val="center"/>
            <w:hideMark/>
          </w:tcPr>
          <w:p w14:paraId="25F42916" w14:textId="77777777" w:rsidR="008B4FB4" w:rsidRPr="008B4FB4" w:rsidRDefault="008B4FB4" w:rsidP="00C654A3">
            <w:pPr>
              <w:jc w:val="both"/>
            </w:pPr>
            <w:r w:rsidRPr="008B4FB4">
              <w:rPr>
                <w:lang w:val="en"/>
              </w:rPr>
              <w:t>1182</w:t>
            </w:r>
          </w:p>
        </w:tc>
        <w:tc>
          <w:tcPr>
            <w:tcW w:w="2134" w:type="dxa"/>
            <w:tcBorders>
              <w:top w:val="nil"/>
            </w:tcBorders>
            <w:shd w:val="clear" w:color="auto" w:fill="auto"/>
            <w:noWrap/>
            <w:vAlign w:val="center"/>
            <w:hideMark/>
          </w:tcPr>
          <w:p w14:paraId="22D90810" w14:textId="77777777" w:rsidR="008B4FB4" w:rsidRPr="008B4FB4" w:rsidRDefault="008B4FB4" w:rsidP="00C654A3">
            <w:pPr>
              <w:jc w:val="both"/>
            </w:pPr>
            <w:r w:rsidRPr="008B4FB4">
              <w:rPr>
                <w:lang w:val="en"/>
              </w:rPr>
              <w:t>97.7</w:t>
            </w:r>
          </w:p>
        </w:tc>
      </w:tr>
      <w:tr w:rsidR="008B4FB4" w:rsidRPr="008B4FB4" w14:paraId="7F3DBCA7" w14:textId="77777777" w:rsidTr="002B4CEF">
        <w:trPr>
          <w:trHeight w:val="20"/>
        </w:trPr>
        <w:tc>
          <w:tcPr>
            <w:tcW w:w="5247" w:type="dxa"/>
            <w:tcBorders>
              <w:bottom w:val="single" w:sz="4" w:space="0" w:color="auto"/>
            </w:tcBorders>
            <w:shd w:val="clear" w:color="auto" w:fill="auto"/>
            <w:noWrap/>
            <w:vAlign w:val="bottom"/>
            <w:hideMark/>
          </w:tcPr>
          <w:p w14:paraId="3CFB0128" w14:textId="77777777" w:rsidR="008B4FB4" w:rsidRPr="008B4FB4" w:rsidRDefault="008B4FB4" w:rsidP="00C654A3">
            <w:pPr>
              <w:jc w:val="both"/>
            </w:pPr>
            <w:r w:rsidRPr="008B4FB4">
              <w:rPr>
                <w:lang w:val="en"/>
              </w:rPr>
              <w:t xml:space="preserve"> Civil Servants</w:t>
            </w:r>
          </w:p>
        </w:tc>
        <w:tc>
          <w:tcPr>
            <w:tcW w:w="2371" w:type="dxa"/>
            <w:tcBorders>
              <w:bottom w:val="single" w:sz="4" w:space="0" w:color="auto"/>
            </w:tcBorders>
            <w:shd w:val="clear" w:color="auto" w:fill="auto"/>
            <w:noWrap/>
            <w:vAlign w:val="center"/>
            <w:hideMark/>
          </w:tcPr>
          <w:p w14:paraId="04684243" w14:textId="77777777" w:rsidR="008B4FB4" w:rsidRPr="008B4FB4" w:rsidRDefault="008B4FB4" w:rsidP="00C654A3">
            <w:pPr>
              <w:jc w:val="both"/>
            </w:pPr>
            <w:r w:rsidRPr="008B4FB4">
              <w:rPr>
                <w:lang w:val="en"/>
              </w:rPr>
              <w:t>28</w:t>
            </w:r>
          </w:p>
        </w:tc>
        <w:tc>
          <w:tcPr>
            <w:tcW w:w="2134" w:type="dxa"/>
            <w:tcBorders>
              <w:bottom w:val="single" w:sz="4" w:space="0" w:color="auto"/>
            </w:tcBorders>
            <w:shd w:val="clear" w:color="auto" w:fill="auto"/>
            <w:noWrap/>
            <w:vAlign w:val="center"/>
            <w:hideMark/>
          </w:tcPr>
          <w:p w14:paraId="2EC2B8F1" w14:textId="77777777" w:rsidR="008B4FB4" w:rsidRPr="008B4FB4" w:rsidRDefault="008B4FB4" w:rsidP="00C654A3">
            <w:pPr>
              <w:jc w:val="both"/>
            </w:pPr>
            <w:r w:rsidRPr="008B4FB4">
              <w:rPr>
                <w:lang w:val="en"/>
              </w:rPr>
              <w:t>2.3</w:t>
            </w:r>
          </w:p>
        </w:tc>
      </w:tr>
      <w:tr w:rsidR="008B4FB4" w:rsidRPr="008B4FB4" w14:paraId="65AC68F5" w14:textId="77777777" w:rsidTr="002B4CEF">
        <w:trPr>
          <w:trHeight w:val="20"/>
        </w:trPr>
        <w:tc>
          <w:tcPr>
            <w:tcW w:w="5247" w:type="dxa"/>
            <w:shd w:val="clear" w:color="auto" w:fill="auto"/>
            <w:noWrap/>
            <w:vAlign w:val="bottom"/>
            <w:hideMark/>
          </w:tcPr>
          <w:p w14:paraId="7E7B6154" w14:textId="77777777" w:rsidR="008B4FB4" w:rsidRPr="008B4FB4" w:rsidRDefault="008B4FB4" w:rsidP="00C654A3">
            <w:pPr>
              <w:jc w:val="both"/>
              <w:rPr>
                <w:b/>
                <w:bCs/>
              </w:rPr>
            </w:pPr>
            <w:r w:rsidRPr="008B4FB4">
              <w:rPr>
                <w:b/>
                <w:bCs/>
                <w:lang w:val="en"/>
              </w:rPr>
              <w:t>Income (UMK = Rp 3.</w:t>
            </w:r>
            <w:r w:rsidRPr="008B4FB4">
              <w:rPr>
                <w:lang w:val="en"/>
              </w:rPr>
              <w:t xml:space="preserve"> </w:t>
            </w:r>
            <w:r w:rsidRPr="008B4FB4">
              <w:rPr>
                <w:b/>
                <w:bCs/>
                <w:lang w:val="en"/>
              </w:rPr>
              <w:t>557.</w:t>
            </w:r>
            <w:r w:rsidRPr="008B4FB4">
              <w:rPr>
                <w:lang w:val="en"/>
              </w:rPr>
              <w:t xml:space="preserve"> </w:t>
            </w:r>
            <w:r w:rsidRPr="008B4FB4">
              <w:rPr>
                <w:b/>
                <w:bCs/>
                <w:lang w:val="en"/>
              </w:rPr>
              <w:t>146)</w:t>
            </w:r>
          </w:p>
        </w:tc>
        <w:tc>
          <w:tcPr>
            <w:tcW w:w="2371" w:type="dxa"/>
            <w:shd w:val="clear" w:color="auto" w:fill="auto"/>
            <w:noWrap/>
            <w:vAlign w:val="center"/>
            <w:hideMark/>
          </w:tcPr>
          <w:p w14:paraId="5E51CDB9" w14:textId="77777777" w:rsidR="008B4FB4" w:rsidRPr="008B4FB4" w:rsidRDefault="008B4FB4" w:rsidP="00C654A3">
            <w:pPr>
              <w:jc w:val="both"/>
              <w:rPr>
                <w:b/>
                <w:bCs/>
              </w:rPr>
            </w:pPr>
            <w:r w:rsidRPr="008B4FB4">
              <w:rPr>
                <w:b/>
                <w:bCs/>
              </w:rPr>
              <w:t> </w:t>
            </w:r>
          </w:p>
        </w:tc>
        <w:tc>
          <w:tcPr>
            <w:tcW w:w="2134" w:type="dxa"/>
            <w:shd w:val="clear" w:color="auto" w:fill="auto"/>
            <w:noWrap/>
            <w:vAlign w:val="center"/>
            <w:hideMark/>
          </w:tcPr>
          <w:p w14:paraId="034E15F1" w14:textId="77777777" w:rsidR="008B4FB4" w:rsidRPr="008B4FB4" w:rsidRDefault="008B4FB4" w:rsidP="00C654A3">
            <w:pPr>
              <w:jc w:val="both"/>
              <w:rPr>
                <w:b/>
                <w:bCs/>
              </w:rPr>
            </w:pPr>
            <w:r w:rsidRPr="008B4FB4">
              <w:rPr>
                <w:b/>
                <w:bCs/>
              </w:rPr>
              <w:t> </w:t>
            </w:r>
          </w:p>
        </w:tc>
      </w:tr>
      <w:tr w:rsidR="008B4FB4" w:rsidRPr="008B4FB4" w14:paraId="0CC96834" w14:textId="77777777" w:rsidTr="002B4CEF">
        <w:trPr>
          <w:trHeight w:val="20"/>
        </w:trPr>
        <w:tc>
          <w:tcPr>
            <w:tcW w:w="5247" w:type="dxa"/>
            <w:shd w:val="clear" w:color="auto" w:fill="auto"/>
            <w:noWrap/>
            <w:vAlign w:val="bottom"/>
            <w:hideMark/>
          </w:tcPr>
          <w:p w14:paraId="224377DE" w14:textId="77777777" w:rsidR="008B4FB4" w:rsidRPr="008B4FB4" w:rsidRDefault="008B4FB4" w:rsidP="00C654A3">
            <w:pPr>
              <w:jc w:val="both"/>
            </w:pPr>
            <w:r w:rsidRPr="008B4FB4">
              <w:rPr>
                <w:lang w:val="en"/>
              </w:rPr>
              <w:t>&lt; city minimum wage</w:t>
            </w:r>
          </w:p>
        </w:tc>
        <w:tc>
          <w:tcPr>
            <w:tcW w:w="2371" w:type="dxa"/>
            <w:shd w:val="clear" w:color="auto" w:fill="auto"/>
            <w:noWrap/>
            <w:vAlign w:val="center"/>
            <w:hideMark/>
          </w:tcPr>
          <w:p w14:paraId="115A499B" w14:textId="77777777" w:rsidR="008B4FB4" w:rsidRPr="008B4FB4" w:rsidRDefault="008B4FB4" w:rsidP="00C654A3">
            <w:pPr>
              <w:jc w:val="both"/>
            </w:pPr>
            <w:r w:rsidRPr="008B4FB4">
              <w:rPr>
                <w:lang w:val="en"/>
              </w:rPr>
              <w:t>1154</w:t>
            </w:r>
          </w:p>
        </w:tc>
        <w:tc>
          <w:tcPr>
            <w:tcW w:w="2134" w:type="dxa"/>
            <w:shd w:val="clear" w:color="auto" w:fill="auto"/>
            <w:noWrap/>
            <w:vAlign w:val="center"/>
            <w:hideMark/>
          </w:tcPr>
          <w:p w14:paraId="4FC67D80" w14:textId="77777777" w:rsidR="008B4FB4" w:rsidRPr="008B4FB4" w:rsidRDefault="008B4FB4" w:rsidP="00C654A3">
            <w:pPr>
              <w:jc w:val="both"/>
            </w:pPr>
            <w:r w:rsidRPr="008B4FB4">
              <w:rPr>
                <w:lang w:val="en"/>
              </w:rPr>
              <w:t>95.4</w:t>
            </w:r>
          </w:p>
        </w:tc>
      </w:tr>
      <w:tr w:rsidR="008B4FB4" w:rsidRPr="008B4FB4" w14:paraId="731D34B4" w14:textId="77777777" w:rsidTr="002B4CEF">
        <w:trPr>
          <w:trHeight w:val="20"/>
        </w:trPr>
        <w:tc>
          <w:tcPr>
            <w:tcW w:w="5247" w:type="dxa"/>
            <w:tcBorders>
              <w:bottom w:val="single" w:sz="4" w:space="0" w:color="auto"/>
            </w:tcBorders>
            <w:shd w:val="clear" w:color="auto" w:fill="auto"/>
            <w:noWrap/>
            <w:vAlign w:val="bottom"/>
            <w:hideMark/>
          </w:tcPr>
          <w:p w14:paraId="25AF380F" w14:textId="77777777" w:rsidR="008B4FB4" w:rsidRPr="008B4FB4" w:rsidRDefault="008B4FB4" w:rsidP="00C654A3">
            <w:pPr>
              <w:jc w:val="both"/>
            </w:pPr>
            <w:r w:rsidRPr="008B4FB4">
              <w:rPr>
                <w:szCs w:val="24"/>
                <w:lang w:val="en"/>
              </w:rPr>
              <w:t xml:space="preserve"> ≥ city minimum wage</w:t>
            </w:r>
          </w:p>
        </w:tc>
        <w:tc>
          <w:tcPr>
            <w:tcW w:w="2371" w:type="dxa"/>
            <w:tcBorders>
              <w:bottom w:val="single" w:sz="4" w:space="0" w:color="auto"/>
            </w:tcBorders>
            <w:shd w:val="clear" w:color="auto" w:fill="auto"/>
            <w:noWrap/>
            <w:vAlign w:val="center"/>
            <w:hideMark/>
          </w:tcPr>
          <w:p w14:paraId="4E064E85" w14:textId="77777777" w:rsidR="008B4FB4" w:rsidRPr="008B4FB4" w:rsidRDefault="008B4FB4" w:rsidP="00C654A3">
            <w:pPr>
              <w:jc w:val="both"/>
            </w:pPr>
            <w:r w:rsidRPr="008B4FB4">
              <w:rPr>
                <w:lang w:val="en"/>
              </w:rPr>
              <w:t>56</w:t>
            </w:r>
          </w:p>
        </w:tc>
        <w:tc>
          <w:tcPr>
            <w:tcW w:w="2134" w:type="dxa"/>
            <w:tcBorders>
              <w:bottom w:val="single" w:sz="4" w:space="0" w:color="auto"/>
            </w:tcBorders>
            <w:shd w:val="clear" w:color="auto" w:fill="auto"/>
            <w:noWrap/>
            <w:vAlign w:val="center"/>
            <w:hideMark/>
          </w:tcPr>
          <w:p w14:paraId="62FF318F" w14:textId="77777777" w:rsidR="008B4FB4" w:rsidRPr="008B4FB4" w:rsidRDefault="008B4FB4" w:rsidP="00C654A3">
            <w:pPr>
              <w:jc w:val="both"/>
            </w:pPr>
            <w:r w:rsidRPr="008B4FB4">
              <w:rPr>
                <w:lang w:val="en"/>
              </w:rPr>
              <w:t>4.6</w:t>
            </w:r>
          </w:p>
        </w:tc>
      </w:tr>
      <w:tr w:rsidR="008B4FB4" w:rsidRPr="008B4FB4" w14:paraId="4455F0CE" w14:textId="77777777" w:rsidTr="002B4CEF">
        <w:trPr>
          <w:trHeight w:val="20"/>
        </w:trPr>
        <w:tc>
          <w:tcPr>
            <w:tcW w:w="5247" w:type="dxa"/>
            <w:tcBorders>
              <w:top w:val="single" w:sz="4" w:space="0" w:color="auto"/>
              <w:bottom w:val="nil"/>
            </w:tcBorders>
            <w:shd w:val="clear" w:color="auto" w:fill="auto"/>
            <w:noWrap/>
            <w:vAlign w:val="bottom"/>
            <w:hideMark/>
          </w:tcPr>
          <w:p w14:paraId="427BE3F6" w14:textId="77777777" w:rsidR="008B4FB4" w:rsidRPr="008B4FB4" w:rsidRDefault="008B4FB4" w:rsidP="00C654A3">
            <w:pPr>
              <w:jc w:val="both"/>
              <w:rPr>
                <w:b/>
                <w:bCs/>
              </w:rPr>
            </w:pPr>
            <w:r w:rsidRPr="008B4FB4">
              <w:rPr>
                <w:b/>
                <w:bCs/>
                <w:lang w:val="en"/>
              </w:rPr>
              <w:t xml:space="preserve"> Ownership of Health Insurance</w:t>
            </w:r>
          </w:p>
        </w:tc>
        <w:tc>
          <w:tcPr>
            <w:tcW w:w="2371" w:type="dxa"/>
            <w:tcBorders>
              <w:top w:val="single" w:sz="4" w:space="0" w:color="auto"/>
              <w:bottom w:val="nil"/>
            </w:tcBorders>
            <w:shd w:val="clear" w:color="auto" w:fill="auto"/>
            <w:noWrap/>
            <w:vAlign w:val="center"/>
            <w:hideMark/>
          </w:tcPr>
          <w:p w14:paraId="25E536E6"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6577E9EC" w14:textId="77777777" w:rsidR="008B4FB4" w:rsidRPr="008B4FB4" w:rsidRDefault="008B4FB4" w:rsidP="00C654A3">
            <w:pPr>
              <w:jc w:val="both"/>
              <w:rPr>
                <w:b/>
                <w:bCs/>
              </w:rPr>
            </w:pPr>
            <w:r w:rsidRPr="008B4FB4">
              <w:rPr>
                <w:b/>
                <w:bCs/>
              </w:rPr>
              <w:t> </w:t>
            </w:r>
          </w:p>
        </w:tc>
      </w:tr>
      <w:tr w:rsidR="008B4FB4" w:rsidRPr="008B4FB4" w14:paraId="17AFAD57" w14:textId="77777777" w:rsidTr="002B4CEF">
        <w:trPr>
          <w:trHeight w:val="20"/>
        </w:trPr>
        <w:tc>
          <w:tcPr>
            <w:tcW w:w="5247" w:type="dxa"/>
            <w:tcBorders>
              <w:top w:val="nil"/>
            </w:tcBorders>
            <w:shd w:val="clear" w:color="auto" w:fill="auto"/>
            <w:noWrap/>
            <w:vAlign w:val="bottom"/>
            <w:hideMark/>
          </w:tcPr>
          <w:p w14:paraId="3003E228" w14:textId="77777777" w:rsidR="008B4FB4" w:rsidRPr="008B4FB4" w:rsidRDefault="008B4FB4" w:rsidP="00C654A3">
            <w:pPr>
              <w:jc w:val="both"/>
            </w:pPr>
            <w:r w:rsidRPr="008B4FB4">
              <w:rPr>
                <w:lang w:val="en"/>
              </w:rPr>
              <w:t>It doesn't have</w:t>
            </w:r>
          </w:p>
        </w:tc>
        <w:tc>
          <w:tcPr>
            <w:tcW w:w="2371" w:type="dxa"/>
            <w:tcBorders>
              <w:top w:val="nil"/>
            </w:tcBorders>
            <w:shd w:val="clear" w:color="auto" w:fill="auto"/>
            <w:noWrap/>
            <w:vAlign w:val="center"/>
            <w:hideMark/>
          </w:tcPr>
          <w:p w14:paraId="2007F1C6" w14:textId="77777777" w:rsidR="008B4FB4" w:rsidRPr="008B4FB4" w:rsidRDefault="008B4FB4" w:rsidP="00C654A3">
            <w:pPr>
              <w:jc w:val="both"/>
            </w:pPr>
            <w:r w:rsidRPr="008B4FB4">
              <w:rPr>
                <w:lang w:val="en"/>
              </w:rPr>
              <w:t>424</w:t>
            </w:r>
          </w:p>
        </w:tc>
        <w:tc>
          <w:tcPr>
            <w:tcW w:w="2134" w:type="dxa"/>
            <w:tcBorders>
              <w:top w:val="nil"/>
            </w:tcBorders>
            <w:shd w:val="clear" w:color="auto" w:fill="auto"/>
            <w:noWrap/>
            <w:vAlign w:val="center"/>
            <w:hideMark/>
          </w:tcPr>
          <w:p w14:paraId="6BD2F937" w14:textId="77777777" w:rsidR="008B4FB4" w:rsidRPr="008B4FB4" w:rsidRDefault="008B4FB4" w:rsidP="00C654A3">
            <w:pPr>
              <w:jc w:val="both"/>
            </w:pPr>
            <w:r w:rsidRPr="008B4FB4">
              <w:rPr>
                <w:lang w:val="en"/>
              </w:rPr>
              <w:t>35.0</w:t>
            </w:r>
          </w:p>
        </w:tc>
      </w:tr>
      <w:tr w:rsidR="008B4FB4" w:rsidRPr="008B4FB4" w14:paraId="0B88327E" w14:textId="77777777" w:rsidTr="002B4CEF">
        <w:trPr>
          <w:trHeight w:val="20"/>
        </w:trPr>
        <w:tc>
          <w:tcPr>
            <w:tcW w:w="5247" w:type="dxa"/>
            <w:tcBorders>
              <w:bottom w:val="single" w:sz="4" w:space="0" w:color="auto"/>
            </w:tcBorders>
            <w:shd w:val="clear" w:color="auto" w:fill="auto"/>
            <w:noWrap/>
            <w:vAlign w:val="bottom"/>
            <w:hideMark/>
          </w:tcPr>
          <w:p w14:paraId="4999ADE8" w14:textId="77777777" w:rsidR="008B4FB4" w:rsidRPr="008B4FB4" w:rsidRDefault="008B4FB4" w:rsidP="00C654A3">
            <w:pPr>
              <w:jc w:val="both"/>
            </w:pPr>
            <w:r w:rsidRPr="008B4FB4">
              <w:rPr>
                <w:lang w:val="en"/>
              </w:rPr>
              <w:t>Have</w:t>
            </w:r>
          </w:p>
        </w:tc>
        <w:tc>
          <w:tcPr>
            <w:tcW w:w="2371" w:type="dxa"/>
            <w:tcBorders>
              <w:bottom w:val="single" w:sz="4" w:space="0" w:color="auto"/>
            </w:tcBorders>
            <w:shd w:val="clear" w:color="auto" w:fill="auto"/>
            <w:noWrap/>
            <w:vAlign w:val="center"/>
            <w:hideMark/>
          </w:tcPr>
          <w:p w14:paraId="27B18C2D" w14:textId="77777777" w:rsidR="008B4FB4" w:rsidRPr="008B4FB4" w:rsidRDefault="008B4FB4" w:rsidP="00C654A3">
            <w:pPr>
              <w:jc w:val="both"/>
            </w:pPr>
            <w:r w:rsidRPr="008B4FB4">
              <w:rPr>
                <w:lang w:val="en"/>
              </w:rPr>
              <w:t>786</w:t>
            </w:r>
          </w:p>
        </w:tc>
        <w:tc>
          <w:tcPr>
            <w:tcW w:w="2134" w:type="dxa"/>
            <w:tcBorders>
              <w:bottom w:val="single" w:sz="4" w:space="0" w:color="auto"/>
            </w:tcBorders>
            <w:shd w:val="clear" w:color="auto" w:fill="auto"/>
            <w:noWrap/>
            <w:vAlign w:val="center"/>
            <w:hideMark/>
          </w:tcPr>
          <w:p w14:paraId="615B6D97" w14:textId="77777777" w:rsidR="008B4FB4" w:rsidRPr="008B4FB4" w:rsidRDefault="008B4FB4" w:rsidP="00C654A3">
            <w:pPr>
              <w:jc w:val="both"/>
            </w:pPr>
            <w:r w:rsidRPr="008B4FB4">
              <w:rPr>
                <w:lang w:val="en"/>
              </w:rPr>
              <w:t>65.0</w:t>
            </w:r>
          </w:p>
        </w:tc>
      </w:tr>
      <w:tr w:rsidR="008B4FB4" w:rsidRPr="008B4FB4" w14:paraId="6DD2DCAD" w14:textId="77777777" w:rsidTr="002B4CEF">
        <w:trPr>
          <w:trHeight w:val="20"/>
        </w:trPr>
        <w:tc>
          <w:tcPr>
            <w:tcW w:w="5247" w:type="dxa"/>
            <w:tcBorders>
              <w:top w:val="single" w:sz="4" w:space="0" w:color="auto"/>
              <w:bottom w:val="nil"/>
            </w:tcBorders>
            <w:shd w:val="clear" w:color="auto" w:fill="auto"/>
            <w:noWrap/>
            <w:vAlign w:val="bottom"/>
            <w:hideMark/>
          </w:tcPr>
          <w:p w14:paraId="0305D030" w14:textId="77777777" w:rsidR="008B4FB4" w:rsidRPr="008B4FB4" w:rsidRDefault="008B4FB4" w:rsidP="00C654A3">
            <w:pPr>
              <w:jc w:val="both"/>
              <w:rPr>
                <w:b/>
                <w:bCs/>
              </w:rPr>
            </w:pPr>
            <w:r w:rsidRPr="008B4FB4">
              <w:rPr>
                <w:b/>
                <w:bCs/>
                <w:lang w:val="en"/>
              </w:rPr>
              <w:t>Smoking</w:t>
            </w:r>
            <w:r w:rsidRPr="008B4FB4">
              <w:rPr>
                <w:lang w:val="en"/>
              </w:rPr>
              <w:t xml:space="preserve"> Status</w:t>
            </w:r>
          </w:p>
        </w:tc>
        <w:tc>
          <w:tcPr>
            <w:tcW w:w="2371" w:type="dxa"/>
            <w:tcBorders>
              <w:top w:val="single" w:sz="4" w:space="0" w:color="auto"/>
              <w:bottom w:val="nil"/>
            </w:tcBorders>
            <w:shd w:val="clear" w:color="auto" w:fill="auto"/>
            <w:noWrap/>
            <w:vAlign w:val="center"/>
            <w:hideMark/>
          </w:tcPr>
          <w:p w14:paraId="11106EB3"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3E73716B" w14:textId="77777777" w:rsidR="008B4FB4" w:rsidRPr="008B4FB4" w:rsidRDefault="008B4FB4" w:rsidP="00C654A3">
            <w:pPr>
              <w:jc w:val="both"/>
              <w:rPr>
                <w:b/>
                <w:bCs/>
              </w:rPr>
            </w:pPr>
            <w:r w:rsidRPr="008B4FB4">
              <w:rPr>
                <w:b/>
                <w:bCs/>
              </w:rPr>
              <w:t> </w:t>
            </w:r>
          </w:p>
        </w:tc>
      </w:tr>
      <w:tr w:rsidR="008B4FB4" w:rsidRPr="008B4FB4" w14:paraId="76268C8E" w14:textId="77777777" w:rsidTr="002B4CEF">
        <w:trPr>
          <w:trHeight w:val="20"/>
        </w:trPr>
        <w:tc>
          <w:tcPr>
            <w:tcW w:w="5247" w:type="dxa"/>
            <w:tcBorders>
              <w:top w:val="nil"/>
            </w:tcBorders>
            <w:shd w:val="clear" w:color="auto" w:fill="auto"/>
            <w:noWrap/>
            <w:vAlign w:val="bottom"/>
            <w:hideMark/>
          </w:tcPr>
          <w:p w14:paraId="4D68CBA3" w14:textId="77777777" w:rsidR="008B4FB4" w:rsidRPr="008B4FB4" w:rsidRDefault="008B4FB4" w:rsidP="00C654A3">
            <w:pPr>
              <w:jc w:val="both"/>
            </w:pPr>
            <w:r w:rsidRPr="008B4FB4">
              <w:rPr>
                <w:lang w:val="en"/>
              </w:rPr>
              <w:t>Smoke</w:t>
            </w:r>
          </w:p>
        </w:tc>
        <w:tc>
          <w:tcPr>
            <w:tcW w:w="2371" w:type="dxa"/>
            <w:tcBorders>
              <w:top w:val="nil"/>
            </w:tcBorders>
            <w:shd w:val="clear" w:color="auto" w:fill="auto"/>
            <w:noWrap/>
            <w:vAlign w:val="center"/>
            <w:hideMark/>
          </w:tcPr>
          <w:p w14:paraId="4859108B" w14:textId="77777777" w:rsidR="008B4FB4" w:rsidRPr="008B4FB4" w:rsidRDefault="008B4FB4" w:rsidP="00C654A3">
            <w:pPr>
              <w:jc w:val="both"/>
            </w:pPr>
            <w:r w:rsidRPr="008B4FB4">
              <w:rPr>
                <w:lang w:val="en"/>
              </w:rPr>
              <w:t>665</w:t>
            </w:r>
          </w:p>
        </w:tc>
        <w:tc>
          <w:tcPr>
            <w:tcW w:w="2134" w:type="dxa"/>
            <w:tcBorders>
              <w:top w:val="nil"/>
            </w:tcBorders>
            <w:shd w:val="clear" w:color="auto" w:fill="auto"/>
            <w:noWrap/>
            <w:vAlign w:val="center"/>
            <w:hideMark/>
          </w:tcPr>
          <w:p w14:paraId="1BDC86A8" w14:textId="77777777" w:rsidR="008B4FB4" w:rsidRPr="008B4FB4" w:rsidRDefault="008B4FB4" w:rsidP="00C654A3">
            <w:pPr>
              <w:jc w:val="both"/>
            </w:pPr>
            <w:r w:rsidRPr="008B4FB4">
              <w:rPr>
                <w:lang w:val="en"/>
              </w:rPr>
              <w:t>55.0</w:t>
            </w:r>
          </w:p>
        </w:tc>
      </w:tr>
      <w:tr w:rsidR="008B4FB4" w:rsidRPr="008B4FB4" w14:paraId="2E0F153D" w14:textId="77777777" w:rsidTr="002B4CEF">
        <w:trPr>
          <w:trHeight w:val="20"/>
        </w:trPr>
        <w:tc>
          <w:tcPr>
            <w:tcW w:w="5247" w:type="dxa"/>
            <w:tcBorders>
              <w:bottom w:val="single" w:sz="4" w:space="0" w:color="auto"/>
            </w:tcBorders>
            <w:shd w:val="clear" w:color="auto" w:fill="auto"/>
            <w:noWrap/>
            <w:vAlign w:val="bottom"/>
            <w:hideMark/>
          </w:tcPr>
          <w:p w14:paraId="3FEB2643" w14:textId="77777777" w:rsidR="008B4FB4" w:rsidRPr="008B4FB4" w:rsidRDefault="008B4FB4" w:rsidP="00C654A3">
            <w:pPr>
              <w:jc w:val="both"/>
            </w:pPr>
            <w:r w:rsidRPr="008B4FB4">
              <w:rPr>
                <w:lang w:val="en"/>
              </w:rPr>
              <w:t>No smoking</w:t>
            </w:r>
          </w:p>
        </w:tc>
        <w:tc>
          <w:tcPr>
            <w:tcW w:w="2371" w:type="dxa"/>
            <w:tcBorders>
              <w:bottom w:val="single" w:sz="4" w:space="0" w:color="auto"/>
            </w:tcBorders>
            <w:shd w:val="clear" w:color="auto" w:fill="auto"/>
            <w:noWrap/>
            <w:vAlign w:val="center"/>
            <w:hideMark/>
          </w:tcPr>
          <w:p w14:paraId="3B27A9CA" w14:textId="77777777" w:rsidR="008B4FB4" w:rsidRPr="008B4FB4" w:rsidRDefault="008B4FB4" w:rsidP="00C654A3">
            <w:pPr>
              <w:jc w:val="both"/>
            </w:pPr>
            <w:r w:rsidRPr="008B4FB4">
              <w:rPr>
                <w:lang w:val="en"/>
              </w:rPr>
              <w:t>545</w:t>
            </w:r>
          </w:p>
        </w:tc>
        <w:tc>
          <w:tcPr>
            <w:tcW w:w="2134" w:type="dxa"/>
            <w:tcBorders>
              <w:bottom w:val="single" w:sz="4" w:space="0" w:color="auto"/>
            </w:tcBorders>
            <w:shd w:val="clear" w:color="auto" w:fill="auto"/>
            <w:noWrap/>
            <w:vAlign w:val="center"/>
            <w:hideMark/>
          </w:tcPr>
          <w:p w14:paraId="7BA96EDD" w14:textId="77777777" w:rsidR="008B4FB4" w:rsidRPr="008B4FB4" w:rsidRDefault="008B4FB4" w:rsidP="00C654A3">
            <w:pPr>
              <w:jc w:val="both"/>
            </w:pPr>
            <w:r w:rsidRPr="008B4FB4">
              <w:rPr>
                <w:lang w:val="en"/>
              </w:rPr>
              <w:t>45.0</w:t>
            </w:r>
          </w:p>
        </w:tc>
      </w:tr>
      <w:tr w:rsidR="008B4FB4" w:rsidRPr="008B4FB4" w14:paraId="17970DA5" w14:textId="77777777" w:rsidTr="002B4CEF">
        <w:trPr>
          <w:trHeight w:val="20"/>
        </w:trPr>
        <w:tc>
          <w:tcPr>
            <w:tcW w:w="5247" w:type="dxa"/>
            <w:tcBorders>
              <w:top w:val="single" w:sz="4" w:space="0" w:color="auto"/>
              <w:bottom w:val="nil"/>
            </w:tcBorders>
            <w:shd w:val="clear" w:color="auto" w:fill="auto"/>
            <w:noWrap/>
            <w:vAlign w:val="bottom"/>
            <w:hideMark/>
          </w:tcPr>
          <w:p w14:paraId="13AE8FDE" w14:textId="77777777" w:rsidR="008B4FB4" w:rsidRPr="008B4FB4" w:rsidRDefault="008B4FB4" w:rsidP="00C654A3">
            <w:pPr>
              <w:jc w:val="both"/>
              <w:rPr>
                <w:b/>
                <w:bCs/>
              </w:rPr>
            </w:pPr>
            <w:r w:rsidRPr="008B4FB4">
              <w:rPr>
                <w:b/>
                <w:bCs/>
                <w:lang w:val="en"/>
              </w:rPr>
              <w:t>Age to Start Smoking</w:t>
            </w:r>
          </w:p>
        </w:tc>
        <w:tc>
          <w:tcPr>
            <w:tcW w:w="2371" w:type="dxa"/>
            <w:tcBorders>
              <w:top w:val="single" w:sz="4" w:space="0" w:color="auto"/>
              <w:bottom w:val="nil"/>
            </w:tcBorders>
            <w:shd w:val="clear" w:color="auto" w:fill="auto"/>
            <w:noWrap/>
            <w:vAlign w:val="center"/>
            <w:hideMark/>
          </w:tcPr>
          <w:p w14:paraId="2AD1EECC"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52C2D5F6" w14:textId="77777777" w:rsidR="008B4FB4" w:rsidRPr="008B4FB4" w:rsidRDefault="008B4FB4" w:rsidP="00C654A3">
            <w:pPr>
              <w:jc w:val="both"/>
              <w:rPr>
                <w:b/>
                <w:bCs/>
              </w:rPr>
            </w:pPr>
            <w:r w:rsidRPr="008B4FB4">
              <w:rPr>
                <w:b/>
                <w:bCs/>
              </w:rPr>
              <w:t> </w:t>
            </w:r>
          </w:p>
        </w:tc>
      </w:tr>
      <w:tr w:rsidR="008B4FB4" w:rsidRPr="008B4FB4" w14:paraId="1FF5C5F1" w14:textId="77777777" w:rsidTr="002B4CEF">
        <w:trPr>
          <w:trHeight w:val="20"/>
        </w:trPr>
        <w:tc>
          <w:tcPr>
            <w:tcW w:w="5247" w:type="dxa"/>
            <w:tcBorders>
              <w:top w:val="nil"/>
            </w:tcBorders>
            <w:shd w:val="clear" w:color="auto" w:fill="auto"/>
            <w:noWrap/>
            <w:vAlign w:val="bottom"/>
            <w:hideMark/>
          </w:tcPr>
          <w:p w14:paraId="18F32D2A" w14:textId="77777777" w:rsidR="008B4FB4" w:rsidRPr="008B4FB4" w:rsidRDefault="008B4FB4" w:rsidP="00C654A3">
            <w:pPr>
              <w:jc w:val="both"/>
            </w:pPr>
            <w:r w:rsidRPr="008B4FB4">
              <w:rPr>
                <w:szCs w:val="24"/>
                <w:lang w:val="en"/>
              </w:rPr>
              <w:t>≤ 15 years</w:t>
            </w:r>
          </w:p>
        </w:tc>
        <w:tc>
          <w:tcPr>
            <w:tcW w:w="2371" w:type="dxa"/>
            <w:tcBorders>
              <w:top w:val="nil"/>
            </w:tcBorders>
            <w:shd w:val="clear" w:color="auto" w:fill="auto"/>
            <w:noWrap/>
            <w:vAlign w:val="center"/>
            <w:hideMark/>
          </w:tcPr>
          <w:p w14:paraId="44185CE7" w14:textId="77777777" w:rsidR="008B4FB4" w:rsidRPr="008B4FB4" w:rsidRDefault="008B4FB4" w:rsidP="00C654A3">
            <w:pPr>
              <w:jc w:val="both"/>
            </w:pPr>
            <w:r w:rsidRPr="008B4FB4">
              <w:rPr>
                <w:lang w:val="en"/>
              </w:rPr>
              <w:t>267</w:t>
            </w:r>
          </w:p>
        </w:tc>
        <w:tc>
          <w:tcPr>
            <w:tcW w:w="2134" w:type="dxa"/>
            <w:tcBorders>
              <w:top w:val="nil"/>
            </w:tcBorders>
            <w:shd w:val="clear" w:color="auto" w:fill="auto"/>
            <w:noWrap/>
            <w:vAlign w:val="center"/>
            <w:hideMark/>
          </w:tcPr>
          <w:p w14:paraId="75B0F00B" w14:textId="77777777" w:rsidR="008B4FB4" w:rsidRPr="008B4FB4" w:rsidRDefault="008B4FB4" w:rsidP="00C654A3">
            <w:pPr>
              <w:jc w:val="both"/>
            </w:pPr>
            <w:r w:rsidRPr="008B4FB4">
              <w:rPr>
                <w:lang w:val="en"/>
              </w:rPr>
              <w:t>22.1</w:t>
            </w:r>
          </w:p>
        </w:tc>
      </w:tr>
      <w:tr w:rsidR="008B4FB4" w:rsidRPr="008B4FB4" w14:paraId="3158C4AB" w14:textId="77777777" w:rsidTr="002B4CEF">
        <w:trPr>
          <w:trHeight w:val="20"/>
        </w:trPr>
        <w:tc>
          <w:tcPr>
            <w:tcW w:w="5247" w:type="dxa"/>
            <w:tcBorders>
              <w:bottom w:val="single" w:sz="4" w:space="0" w:color="auto"/>
            </w:tcBorders>
            <w:shd w:val="clear" w:color="auto" w:fill="auto"/>
            <w:noWrap/>
            <w:vAlign w:val="bottom"/>
            <w:hideMark/>
          </w:tcPr>
          <w:p w14:paraId="32B7706A" w14:textId="77777777" w:rsidR="008B4FB4" w:rsidRPr="008B4FB4" w:rsidRDefault="008B4FB4" w:rsidP="00C654A3">
            <w:pPr>
              <w:jc w:val="both"/>
            </w:pPr>
            <w:r w:rsidRPr="008B4FB4">
              <w:rPr>
                <w:lang w:val="en"/>
              </w:rPr>
              <w:t>&gt; 15 years</w:t>
            </w:r>
          </w:p>
        </w:tc>
        <w:tc>
          <w:tcPr>
            <w:tcW w:w="2371" w:type="dxa"/>
            <w:tcBorders>
              <w:bottom w:val="single" w:sz="4" w:space="0" w:color="auto"/>
            </w:tcBorders>
            <w:shd w:val="clear" w:color="auto" w:fill="auto"/>
            <w:noWrap/>
            <w:vAlign w:val="center"/>
            <w:hideMark/>
          </w:tcPr>
          <w:p w14:paraId="42605F62" w14:textId="77777777" w:rsidR="008B4FB4" w:rsidRPr="008B4FB4" w:rsidRDefault="008B4FB4" w:rsidP="00C654A3">
            <w:pPr>
              <w:jc w:val="both"/>
            </w:pPr>
            <w:r w:rsidRPr="008B4FB4">
              <w:rPr>
                <w:lang w:val="en"/>
              </w:rPr>
              <w:t>943</w:t>
            </w:r>
          </w:p>
        </w:tc>
        <w:tc>
          <w:tcPr>
            <w:tcW w:w="2134" w:type="dxa"/>
            <w:tcBorders>
              <w:bottom w:val="single" w:sz="4" w:space="0" w:color="auto"/>
            </w:tcBorders>
            <w:shd w:val="clear" w:color="auto" w:fill="auto"/>
            <w:noWrap/>
            <w:vAlign w:val="center"/>
            <w:hideMark/>
          </w:tcPr>
          <w:p w14:paraId="06381A62" w14:textId="77777777" w:rsidR="008B4FB4" w:rsidRPr="008B4FB4" w:rsidRDefault="008B4FB4" w:rsidP="00C654A3">
            <w:pPr>
              <w:jc w:val="both"/>
            </w:pPr>
            <w:r w:rsidRPr="008B4FB4">
              <w:rPr>
                <w:lang w:val="en"/>
              </w:rPr>
              <w:t>77.9</w:t>
            </w:r>
          </w:p>
        </w:tc>
      </w:tr>
      <w:tr w:rsidR="008B4FB4" w:rsidRPr="008B4FB4" w14:paraId="087D1238" w14:textId="77777777" w:rsidTr="002B4CEF">
        <w:trPr>
          <w:trHeight w:val="20"/>
        </w:trPr>
        <w:tc>
          <w:tcPr>
            <w:tcW w:w="5247" w:type="dxa"/>
            <w:tcBorders>
              <w:top w:val="single" w:sz="4" w:space="0" w:color="auto"/>
              <w:bottom w:val="nil"/>
            </w:tcBorders>
            <w:shd w:val="clear" w:color="auto" w:fill="auto"/>
            <w:noWrap/>
            <w:vAlign w:val="bottom"/>
            <w:hideMark/>
          </w:tcPr>
          <w:p w14:paraId="357DAE43" w14:textId="77777777" w:rsidR="008B4FB4" w:rsidRPr="008B4FB4" w:rsidRDefault="008B4FB4" w:rsidP="00C654A3">
            <w:pPr>
              <w:jc w:val="both"/>
              <w:rPr>
                <w:b/>
                <w:bCs/>
              </w:rPr>
            </w:pPr>
            <w:r w:rsidRPr="008B4FB4">
              <w:rPr>
                <w:b/>
                <w:bCs/>
                <w:lang w:val="en"/>
              </w:rPr>
              <w:t xml:space="preserve"> Alcohol</w:t>
            </w:r>
            <w:r w:rsidRPr="008B4FB4">
              <w:rPr>
                <w:lang w:val="en"/>
              </w:rPr>
              <w:t xml:space="preserve"> Consumption</w:t>
            </w:r>
          </w:p>
        </w:tc>
        <w:tc>
          <w:tcPr>
            <w:tcW w:w="2371" w:type="dxa"/>
            <w:tcBorders>
              <w:top w:val="single" w:sz="4" w:space="0" w:color="auto"/>
              <w:bottom w:val="nil"/>
            </w:tcBorders>
            <w:shd w:val="clear" w:color="auto" w:fill="auto"/>
            <w:noWrap/>
            <w:vAlign w:val="center"/>
            <w:hideMark/>
          </w:tcPr>
          <w:p w14:paraId="31930786"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70946895" w14:textId="77777777" w:rsidR="008B4FB4" w:rsidRPr="008B4FB4" w:rsidRDefault="008B4FB4" w:rsidP="00C654A3">
            <w:pPr>
              <w:jc w:val="both"/>
              <w:rPr>
                <w:b/>
                <w:bCs/>
              </w:rPr>
            </w:pPr>
            <w:r w:rsidRPr="008B4FB4">
              <w:rPr>
                <w:b/>
                <w:bCs/>
              </w:rPr>
              <w:t> </w:t>
            </w:r>
          </w:p>
        </w:tc>
      </w:tr>
      <w:tr w:rsidR="008B4FB4" w:rsidRPr="008B4FB4" w14:paraId="132D1049" w14:textId="77777777" w:rsidTr="002B4CEF">
        <w:trPr>
          <w:trHeight w:val="20"/>
        </w:trPr>
        <w:tc>
          <w:tcPr>
            <w:tcW w:w="5247" w:type="dxa"/>
            <w:tcBorders>
              <w:top w:val="nil"/>
            </w:tcBorders>
            <w:shd w:val="clear" w:color="auto" w:fill="auto"/>
            <w:noWrap/>
            <w:vAlign w:val="bottom"/>
            <w:hideMark/>
          </w:tcPr>
          <w:p w14:paraId="4130AC03" w14:textId="77777777" w:rsidR="008B4FB4" w:rsidRPr="008B4FB4" w:rsidRDefault="008B4FB4" w:rsidP="00C654A3">
            <w:pPr>
              <w:jc w:val="both"/>
            </w:pPr>
            <w:r w:rsidRPr="008B4FB4">
              <w:rPr>
                <w:lang w:val="en"/>
              </w:rPr>
              <w:t>Yes</w:t>
            </w:r>
          </w:p>
        </w:tc>
        <w:tc>
          <w:tcPr>
            <w:tcW w:w="2371" w:type="dxa"/>
            <w:tcBorders>
              <w:top w:val="nil"/>
            </w:tcBorders>
            <w:shd w:val="clear" w:color="auto" w:fill="auto"/>
            <w:noWrap/>
            <w:vAlign w:val="center"/>
            <w:hideMark/>
          </w:tcPr>
          <w:p w14:paraId="0343B560" w14:textId="77777777" w:rsidR="008B4FB4" w:rsidRPr="008B4FB4" w:rsidRDefault="008B4FB4" w:rsidP="00C654A3">
            <w:pPr>
              <w:jc w:val="both"/>
            </w:pPr>
            <w:r w:rsidRPr="008B4FB4">
              <w:rPr>
                <w:lang w:val="en"/>
              </w:rPr>
              <w:t>255</w:t>
            </w:r>
          </w:p>
        </w:tc>
        <w:tc>
          <w:tcPr>
            <w:tcW w:w="2134" w:type="dxa"/>
            <w:tcBorders>
              <w:top w:val="nil"/>
            </w:tcBorders>
            <w:shd w:val="clear" w:color="auto" w:fill="auto"/>
            <w:noWrap/>
            <w:vAlign w:val="center"/>
            <w:hideMark/>
          </w:tcPr>
          <w:p w14:paraId="5791E5E3" w14:textId="77777777" w:rsidR="008B4FB4" w:rsidRPr="008B4FB4" w:rsidRDefault="008B4FB4" w:rsidP="00C654A3">
            <w:pPr>
              <w:jc w:val="both"/>
            </w:pPr>
            <w:r w:rsidRPr="008B4FB4">
              <w:rPr>
                <w:lang w:val="en"/>
              </w:rPr>
              <w:t>21.1</w:t>
            </w:r>
          </w:p>
        </w:tc>
      </w:tr>
      <w:tr w:rsidR="008B4FB4" w:rsidRPr="008B4FB4" w14:paraId="14B54D6D" w14:textId="77777777" w:rsidTr="002B4CEF">
        <w:trPr>
          <w:trHeight w:val="20"/>
        </w:trPr>
        <w:tc>
          <w:tcPr>
            <w:tcW w:w="5247" w:type="dxa"/>
            <w:tcBorders>
              <w:bottom w:val="single" w:sz="4" w:space="0" w:color="auto"/>
            </w:tcBorders>
            <w:shd w:val="clear" w:color="auto" w:fill="auto"/>
            <w:noWrap/>
            <w:vAlign w:val="bottom"/>
            <w:hideMark/>
          </w:tcPr>
          <w:p w14:paraId="42D66A54" w14:textId="77777777" w:rsidR="008B4FB4" w:rsidRPr="008B4FB4" w:rsidRDefault="008B4FB4" w:rsidP="00C654A3">
            <w:pPr>
              <w:jc w:val="both"/>
            </w:pPr>
            <w:r w:rsidRPr="008B4FB4">
              <w:rPr>
                <w:lang w:val="en"/>
              </w:rPr>
              <w:t>Not</w:t>
            </w:r>
          </w:p>
        </w:tc>
        <w:tc>
          <w:tcPr>
            <w:tcW w:w="2371" w:type="dxa"/>
            <w:tcBorders>
              <w:bottom w:val="single" w:sz="4" w:space="0" w:color="auto"/>
            </w:tcBorders>
            <w:shd w:val="clear" w:color="auto" w:fill="auto"/>
            <w:noWrap/>
            <w:vAlign w:val="center"/>
            <w:hideMark/>
          </w:tcPr>
          <w:p w14:paraId="36B9FFFE" w14:textId="77777777" w:rsidR="008B4FB4" w:rsidRPr="008B4FB4" w:rsidRDefault="008B4FB4" w:rsidP="00C654A3">
            <w:pPr>
              <w:jc w:val="both"/>
            </w:pPr>
            <w:r w:rsidRPr="008B4FB4">
              <w:rPr>
                <w:lang w:val="en"/>
              </w:rPr>
              <w:t>955</w:t>
            </w:r>
          </w:p>
        </w:tc>
        <w:tc>
          <w:tcPr>
            <w:tcW w:w="2134" w:type="dxa"/>
            <w:tcBorders>
              <w:bottom w:val="single" w:sz="4" w:space="0" w:color="auto"/>
            </w:tcBorders>
            <w:shd w:val="clear" w:color="auto" w:fill="auto"/>
            <w:noWrap/>
            <w:vAlign w:val="center"/>
            <w:hideMark/>
          </w:tcPr>
          <w:p w14:paraId="189E8732" w14:textId="77777777" w:rsidR="008B4FB4" w:rsidRPr="008B4FB4" w:rsidRDefault="008B4FB4" w:rsidP="00C654A3">
            <w:pPr>
              <w:jc w:val="both"/>
            </w:pPr>
            <w:r w:rsidRPr="008B4FB4">
              <w:rPr>
                <w:lang w:val="en"/>
              </w:rPr>
              <w:t>78.9</w:t>
            </w:r>
          </w:p>
        </w:tc>
      </w:tr>
      <w:tr w:rsidR="008B4FB4" w:rsidRPr="008B4FB4" w14:paraId="06ED3F3F" w14:textId="77777777" w:rsidTr="002B4CEF">
        <w:trPr>
          <w:trHeight w:val="20"/>
        </w:trPr>
        <w:tc>
          <w:tcPr>
            <w:tcW w:w="5247" w:type="dxa"/>
            <w:tcBorders>
              <w:top w:val="single" w:sz="4" w:space="0" w:color="auto"/>
              <w:bottom w:val="nil"/>
            </w:tcBorders>
            <w:shd w:val="clear" w:color="auto" w:fill="auto"/>
            <w:noWrap/>
            <w:vAlign w:val="bottom"/>
            <w:hideMark/>
          </w:tcPr>
          <w:p w14:paraId="0A681449" w14:textId="77777777" w:rsidR="008B4FB4" w:rsidRPr="008B4FB4" w:rsidRDefault="008B4FB4" w:rsidP="00C654A3">
            <w:pPr>
              <w:jc w:val="both"/>
              <w:rPr>
                <w:b/>
                <w:bCs/>
              </w:rPr>
            </w:pPr>
            <w:r w:rsidRPr="008B4FB4">
              <w:rPr>
                <w:b/>
                <w:bCs/>
                <w:lang w:val="en"/>
              </w:rPr>
              <w:t xml:space="preserve"> Physical</w:t>
            </w:r>
            <w:r w:rsidRPr="008B4FB4">
              <w:rPr>
                <w:lang w:val="en"/>
              </w:rPr>
              <w:t xml:space="preserve"> Activity</w:t>
            </w:r>
          </w:p>
        </w:tc>
        <w:tc>
          <w:tcPr>
            <w:tcW w:w="2371" w:type="dxa"/>
            <w:tcBorders>
              <w:top w:val="single" w:sz="4" w:space="0" w:color="auto"/>
              <w:bottom w:val="nil"/>
            </w:tcBorders>
            <w:shd w:val="clear" w:color="auto" w:fill="auto"/>
            <w:noWrap/>
            <w:vAlign w:val="center"/>
            <w:hideMark/>
          </w:tcPr>
          <w:p w14:paraId="55DEE526"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6309B839" w14:textId="77777777" w:rsidR="008B4FB4" w:rsidRPr="008B4FB4" w:rsidRDefault="008B4FB4" w:rsidP="00C654A3">
            <w:pPr>
              <w:jc w:val="both"/>
              <w:rPr>
                <w:b/>
                <w:bCs/>
              </w:rPr>
            </w:pPr>
            <w:r w:rsidRPr="008B4FB4">
              <w:rPr>
                <w:b/>
                <w:bCs/>
              </w:rPr>
              <w:t> </w:t>
            </w:r>
          </w:p>
        </w:tc>
      </w:tr>
      <w:tr w:rsidR="008B4FB4" w:rsidRPr="008B4FB4" w14:paraId="217D5A48" w14:textId="77777777" w:rsidTr="002B4CEF">
        <w:trPr>
          <w:trHeight w:val="20"/>
        </w:trPr>
        <w:tc>
          <w:tcPr>
            <w:tcW w:w="5247" w:type="dxa"/>
            <w:tcBorders>
              <w:top w:val="nil"/>
            </w:tcBorders>
            <w:shd w:val="clear" w:color="auto" w:fill="auto"/>
            <w:noWrap/>
            <w:vAlign w:val="bottom"/>
            <w:hideMark/>
          </w:tcPr>
          <w:p w14:paraId="56A013E0" w14:textId="77777777" w:rsidR="008B4FB4" w:rsidRPr="008B4FB4" w:rsidRDefault="008B4FB4" w:rsidP="00C654A3">
            <w:pPr>
              <w:jc w:val="both"/>
            </w:pPr>
            <w:r w:rsidRPr="008B4FB4">
              <w:rPr>
                <w:lang w:val="en"/>
              </w:rPr>
              <w:t>Heavy</w:t>
            </w:r>
          </w:p>
        </w:tc>
        <w:tc>
          <w:tcPr>
            <w:tcW w:w="2371" w:type="dxa"/>
            <w:tcBorders>
              <w:top w:val="nil"/>
            </w:tcBorders>
            <w:shd w:val="clear" w:color="auto" w:fill="auto"/>
            <w:noWrap/>
            <w:vAlign w:val="center"/>
            <w:hideMark/>
          </w:tcPr>
          <w:p w14:paraId="562756DC" w14:textId="77777777" w:rsidR="008B4FB4" w:rsidRPr="008B4FB4" w:rsidRDefault="008B4FB4" w:rsidP="00C654A3">
            <w:pPr>
              <w:jc w:val="both"/>
            </w:pPr>
            <w:r w:rsidRPr="008B4FB4">
              <w:rPr>
                <w:lang w:val="en"/>
              </w:rPr>
              <w:t>64</w:t>
            </w:r>
          </w:p>
        </w:tc>
        <w:tc>
          <w:tcPr>
            <w:tcW w:w="2134" w:type="dxa"/>
            <w:tcBorders>
              <w:top w:val="nil"/>
            </w:tcBorders>
            <w:shd w:val="clear" w:color="auto" w:fill="auto"/>
            <w:noWrap/>
            <w:vAlign w:val="center"/>
            <w:hideMark/>
          </w:tcPr>
          <w:p w14:paraId="3E3C11A2" w14:textId="77777777" w:rsidR="008B4FB4" w:rsidRPr="008B4FB4" w:rsidRDefault="008B4FB4" w:rsidP="00C654A3">
            <w:pPr>
              <w:jc w:val="both"/>
            </w:pPr>
            <w:r w:rsidRPr="008B4FB4">
              <w:rPr>
                <w:lang w:val="en"/>
              </w:rPr>
              <w:t>5.3</w:t>
            </w:r>
          </w:p>
        </w:tc>
      </w:tr>
      <w:tr w:rsidR="008B4FB4" w:rsidRPr="008B4FB4" w14:paraId="62104931" w14:textId="77777777" w:rsidTr="002B4CEF">
        <w:trPr>
          <w:trHeight w:val="20"/>
        </w:trPr>
        <w:tc>
          <w:tcPr>
            <w:tcW w:w="5247" w:type="dxa"/>
            <w:shd w:val="clear" w:color="auto" w:fill="auto"/>
            <w:noWrap/>
            <w:vAlign w:val="bottom"/>
            <w:hideMark/>
          </w:tcPr>
          <w:p w14:paraId="60FD3B3F" w14:textId="77777777" w:rsidR="008B4FB4" w:rsidRPr="008B4FB4" w:rsidRDefault="008B4FB4" w:rsidP="00C654A3">
            <w:pPr>
              <w:jc w:val="both"/>
            </w:pPr>
            <w:r w:rsidRPr="008B4FB4">
              <w:rPr>
                <w:lang w:val="en"/>
              </w:rPr>
              <w:t>Light</w:t>
            </w:r>
          </w:p>
        </w:tc>
        <w:tc>
          <w:tcPr>
            <w:tcW w:w="2371" w:type="dxa"/>
            <w:shd w:val="clear" w:color="auto" w:fill="auto"/>
            <w:noWrap/>
            <w:vAlign w:val="center"/>
            <w:hideMark/>
          </w:tcPr>
          <w:p w14:paraId="6DD6B77A" w14:textId="77777777" w:rsidR="008B4FB4" w:rsidRPr="008B4FB4" w:rsidRDefault="008B4FB4" w:rsidP="00C654A3">
            <w:pPr>
              <w:jc w:val="both"/>
            </w:pPr>
            <w:r w:rsidRPr="008B4FB4">
              <w:rPr>
                <w:lang w:val="en"/>
              </w:rPr>
              <w:t>1146</w:t>
            </w:r>
          </w:p>
        </w:tc>
        <w:tc>
          <w:tcPr>
            <w:tcW w:w="2134" w:type="dxa"/>
            <w:shd w:val="clear" w:color="auto" w:fill="auto"/>
            <w:noWrap/>
            <w:vAlign w:val="center"/>
            <w:hideMark/>
          </w:tcPr>
          <w:p w14:paraId="6149AA1F" w14:textId="77777777" w:rsidR="008B4FB4" w:rsidRPr="008B4FB4" w:rsidRDefault="008B4FB4" w:rsidP="00C654A3">
            <w:pPr>
              <w:jc w:val="both"/>
            </w:pPr>
            <w:r w:rsidRPr="008B4FB4">
              <w:rPr>
                <w:lang w:val="en"/>
              </w:rPr>
              <w:t>94.7</w:t>
            </w:r>
          </w:p>
        </w:tc>
      </w:tr>
      <w:tr w:rsidR="008B4FB4" w:rsidRPr="008B4FB4" w14:paraId="25E5C6C7" w14:textId="77777777" w:rsidTr="002B4CEF">
        <w:trPr>
          <w:trHeight w:val="20"/>
        </w:trPr>
        <w:tc>
          <w:tcPr>
            <w:tcW w:w="5247" w:type="dxa"/>
            <w:tcBorders>
              <w:top w:val="single" w:sz="4" w:space="0" w:color="auto"/>
              <w:bottom w:val="nil"/>
            </w:tcBorders>
            <w:shd w:val="clear" w:color="auto" w:fill="auto"/>
            <w:noWrap/>
            <w:vAlign w:val="bottom"/>
            <w:hideMark/>
          </w:tcPr>
          <w:p w14:paraId="25D4C627" w14:textId="77777777" w:rsidR="008B4FB4" w:rsidRPr="008B4FB4" w:rsidRDefault="008B4FB4" w:rsidP="00C654A3">
            <w:pPr>
              <w:jc w:val="both"/>
              <w:rPr>
                <w:b/>
                <w:bCs/>
              </w:rPr>
            </w:pPr>
            <w:r w:rsidRPr="008B4FB4">
              <w:rPr>
                <w:b/>
                <w:bCs/>
                <w:lang w:val="en"/>
              </w:rPr>
              <w:t>Diabetes Mellitus</w:t>
            </w:r>
          </w:p>
        </w:tc>
        <w:tc>
          <w:tcPr>
            <w:tcW w:w="2371" w:type="dxa"/>
            <w:tcBorders>
              <w:top w:val="single" w:sz="4" w:space="0" w:color="auto"/>
              <w:bottom w:val="nil"/>
            </w:tcBorders>
            <w:shd w:val="clear" w:color="auto" w:fill="auto"/>
            <w:noWrap/>
            <w:vAlign w:val="center"/>
            <w:hideMark/>
          </w:tcPr>
          <w:p w14:paraId="6EC2887A"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37FAA702" w14:textId="77777777" w:rsidR="008B4FB4" w:rsidRPr="008B4FB4" w:rsidRDefault="008B4FB4" w:rsidP="00C654A3">
            <w:pPr>
              <w:jc w:val="both"/>
              <w:rPr>
                <w:b/>
                <w:bCs/>
              </w:rPr>
            </w:pPr>
            <w:r w:rsidRPr="008B4FB4">
              <w:rPr>
                <w:b/>
                <w:bCs/>
              </w:rPr>
              <w:t> </w:t>
            </w:r>
          </w:p>
        </w:tc>
      </w:tr>
      <w:tr w:rsidR="008B4FB4" w:rsidRPr="008B4FB4" w14:paraId="606F77E3" w14:textId="77777777" w:rsidTr="002B4CEF">
        <w:trPr>
          <w:trHeight w:val="20"/>
        </w:trPr>
        <w:tc>
          <w:tcPr>
            <w:tcW w:w="5247" w:type="dxa"/>
            <w:tcBorders>
              <w:top w:val="nil"/>
            </w:tcBorders>
            <w:shd w:val="clear" w:color="auto" w:fill="auto"/>
            <w:noWrap/>
            <w:vAlign w:val="bottom"/>
            <w:hideMark/>
          </w:tcPr>
          <w:p w14:paraId="7B078BF8" w14:textId="77777777" w:rsidR="008B4FB4" w:rsidRPr="008B4FB4" w:rsidRDefault="008B4FB4" w:rsidP="00C654A3">
            <w:pPr>
              <w:jc w:val="both"/>
            </w:pPr>
            <w:r w:rsidRPr="008B4FB4">
              <w:rPr>
                <w:lang w:val="en"/>
              </w:rPr>
              <w:t>Positive</w:t>
            </w:r>
          </w:p>
        </w:tc>
        <w:tc>
          <w:tcPr>
            <w:tcW w:w="2371" w:type="dxa"/>
            <w:tcBorders>
              <w:top w:val="nil"/>
            </w:tcBorders>
            <w:shd w:val="clear" w:color="auto" w:fill="auto"/>
            <w:noWrap/>
            <w:vAlign w:val="center"/>
            <w:hideMark/>
          </w:tcPr>
          <w:p w14:paraId="6B919477" w14:textId="77777777" w:rsidR="008B4FB4" w:rsidRPr="008B4FB4" w:rsidRDefault="008B4FB4" w:rsidP="00C654A3">
            <w:pPr>
              <w:jc w:val="both"/>
            </w:pPr>
            <w:r w:rsidRPr="008B4FB4">
              <w:rPr>
                <w:lang w:val="en"/>
              </w:rPr>
              <w:t>181</w:t>
            </w:r>
          </w:p>
        </w:tc>
        <w:tc>
          <w:tcPr>
            <w:tcW w:w="2134" w:type="dxa"/>
            <w:tcBorders>
              <w:top w:val="nil"/>
            </w:tcBorders>
            <w:shd w:val="clear" w:color="auto" w:fill="auto"/>
            <w:noWrap/>
            <w:vAlign w:val="center"/>
            <w:hideMark/>
          </w:tcPr>
          <w:p w14:paraId="4AF97E4F" w14:textId="77777777" w:rsidR="008B4FB4" w:rsidRPr="008B4FB4" w:rsidRDefault="008B4FB4" w:rsidP="00C654A3">
            <w:pPr>
              <w:jc w:val="both"/>
            </w:pPr>
            <w:r w:rsidRPr="008B4FB4">
              <w:rPr>
                <w:lang w:val="en"/>
              </w:rPr>
              <w:t>15.0</w:t>
            </w:r>
          </w:p>
        </w:tc>
      </w:tr>
      <w:tr w:rsidR="008B4FB4" w:rsidRPr="008B4FB4" w14:paraId="3194C001" w14:textId="77777777" w:rsidTr="002B4CEF">
        <w:trPr>
          <w:trHeight w:val="20"/>
        </w:trPr>
        <w:tc>
          <w:tcPr>
            <w:tcW w:w="5247" w:type="dxa"/>
            <w:shd w:val="clear" w:color="auto" w:fill="auto"/>
            <w:noWrap/>
            <w:vAlign w:val="bottom"/>
            <w:hideMark/>
          </w:tcPr>
          <w:p w14:paraId="2F571B7A" w14:textId="77777777" w:rsidR="008B4FB4" w:rsidRPr="008B4FB4" w:rsidRDefault="008B4FB4" w:rsidP="00C654A3">
            <w:pPr>
              <w:jc w:val="both"/>
            </w:pPr>
            <w:r w:rsidRPr="008B4FB4">
              <w:rPr>
                <w:lang w:val="en"/>
              </w:rPr>
              <w:t>Negative</w:t>
            </w:r>
          </w:p>
        </w:tc>
        <w:tc>
          <w:tcPr>
            <w:tcW w:w="2371" w:type="dxa"/>
            <w:shd w:val="clear" w:color="auto" w:fill="auto"/>
            <w:noWrap/>
            <w:vAlign w:val="center"/>
            <w:hideMark/>
          </w:tcPr>
          <w:p w14:paraId="3BC5F342" w14:textId="77777777" w:rsidR="008B4FB4" w:rsidRPr="008B4FB4" w:rsidRDefault="008B4FB4" w:rsidP="00C654A3">
            <w:pPr>
              <w:jc w:val="both"/>
            </w:pPr>
            <w:r w:rsidRPr="008B4FB4">
              <w:rPr>
                <w:lang w:val="en"/>
              </w:rPr>
              <w:t>1029</w:t>
            </w:r>
          </w:p>
        </w:tc>
        <w:tc>
          <w:tcPr>
            <w:tcW w:w="2134" w:type="dxa"/>
            <w:shd w:val="clear" w:color="auto" w:fill="auto"/>
            <w:noWrap/>
            <w:vAlign w:val="center"/>
            <w:hideMark/>
          </w:tcPr>
          <w:p w14:paraId="3411FFF2" w14:textId="77777777" w:rsidR="008B4FB4" w:rsidRPr="008B4FB4" w:rsidRDefault="008B4FB4" w:rsidP="00C654A3">
            <w:pPr>
              <w:jc w:val="both"/>
            </w:pPr>
            <w:r w:rsidRPr="008B4FB4">
              <w:rPr>
                <w:lang w:val="en"/>
              </w:rPr>
              <w:t>85.0</w:t>
            </w:r>
          </w:p>
        </w:tc>
      </w:tr>
      <w:tr w:rsidR="008B4FB4" w:rsidRPr="008B4FB4" w14:paraId="42AAE993" w14:textId="77777777" w:rsidTr="002B4CEF">
        <w:trPr>
          <w:trHeight w:val="20"/>
        </w:trPr>
        <w:tc>
          <w:tcPr>
            <w:tcW w:w="5247" w:type="dxa"/>
            <w:tcBorders>
              <w:top w:val="single" w:sz="4" w:space="0" w:color="auto"/>
              <w:bottom w:val="nil"/>
            </w:tcBorders>
            <w:shd w:val="clear" w:color="auto" w:fill="auto"/>
            <w:noWrap/>
            <w:vAlign w:val="bottom"/>
            <w:hideMark/>
          </w:tcPr>
          <w:p w14:paraId="3296BF14" w14:textId="77777777" w:rsidR="008B4FB4" w:rsidRPr="008B4FB4" w:rsidRDefault="008B4FB4" w:rsidP="00C654A3">
            <w:pPr>
              <w:jc w:val="both"/>
              <w:rPr>
                <w:b/>
                <w:bCs/>
              </w:rPr>
            </w:pPr>
            <w:r w:rsidRPr="008B4FB4">
              <w:rPr>
                <w:b/>
                <w:bCs/>
                <w:lang w:val="en"/>
              </w:rPr>
              <w:t xml:space="preserve">Emotional Mental </w:t>
            </w:r>
            <w:r w:rsidRPr="008B4FB4">
              <w:rPr>
                <w:lang w:val="en"/>
              </w:rPr>
              <w:t>Disorders</w:t>
            </w:r>
          </w:p>
        </w:tc>
        <w:tc>
          <w:tcPr>
            <w:tcW w:w="2371" w:type="dxa"/>
            <w:tcBorders>
              <w:top w:val="single" w:sz="4" w:space="0" w:color="auto"/>
              <w:bottom w:val="nil"/>
            </w:tcBorders>
            <w:shd w:val="clear" w:color="auto" w:fill="auto"/>
            <w:noWrap/>
            <w:vAlign w:val="center"/>
            <w:hideMark/>
          </w:tcPr>
          <w:p w14:paraId="5C2D3E80"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4EC3A557" w14:textId="77777777" w:rsidR="008B4FB4" w:rsidRPr="008B4FB4" w:rsidRDefault="008B4FB4" w:rsidP="00C654A3">
            <w:pPr>
              <w:jc w:val="both"/>
              <w:rPr>
                <w:b/>
                <w:bCs/>
              </w:rPr>
            </w:pPr>
            <w:r w:rsidRPr="008B4FB4">
              <w:rPr>
                <w:b/>
                <w:bCs/>
              </w:rPr>
              <w:t> </w:t>
            </w:r>
          </w:p>
        </w:tc>
      </w:tr>
      <w:tr w:rsidR="008B4FB4" w:rsidRPr="008B4FB4" w14:paraId="0DB2DBD4" w14:textId="77777777" w:rsidTr="002B4CEF">
        <w:trPr>
          <w:trHeight w:val="20"/>
        </w:trPr>
        <w:tc>
          <w:tcPr>
            <w:tcW w:w="5247" w:type="dxa"/>
            <w:tcBorders>
              <w:top w:val="nil"/>
            </w:tcBorders>
            <w:shd w:val="clear" w:color="auto" w:fill="auto"/>
            <w:noWrap/>
            <w:vAlign w:val="bottom"/>
            <w:hideMark/>
          </w:tcPr>
          <w:p w14:paraId="31CF869E" w14:textId="77777777" w:rsidR="008B4FB4" w:rsidRPr="008B4FB4" w:rsidRDefault="008B4FB4" w:rsidP="00C654A3">
            <w:pPr>
              <w:jc w:val="both"/>
            </w:pPr>
            <w:r w:rsidRPr="008B4FB4">
              <w:rPr>
                <w:lang w:val="en"/>
              </w:rPr>
              <w:t>Annoyed</w:t>
            </w:r>
          </w:p>
        </w:tc>
        <w:tc>
          <w:tcPr>
            <w:tcW w:w="2371" w:type="dxa"/>
            <w:tcBorders>
              <w:top w:val="nil"/>
            </w:tcBorders>
            <w:shd w:val="clear" w:color="auto" w:fill="auto"/>
            <w:noWrap/>
            <w:vAlign w:val="center"/>
            <w:hideMark/>
          </w:tcPr>
          <w:p w14:paraId="016C298E" w14:textId="77777777" w:rsidR="008B4FB4" w:rsidRPr="008B4FB4" w:rsidRDefault="008B4FB4" w:rsidP="00C654A3">
            <w:pPr>
              <w:jc w:val="both"/>
            </w:pPr>
            <w:r w:rsidRPr="008B4FB4">
              <w:rPr>
                <w:lang w:val="en"/>
              </w:rPr>
              <w:t>160</w:t>
            </w:r>
          </w:p>
        </w:tc>
        <w:tc>
          <w:tcPr>
            <w:tcW w:w="2134" w:type="dxa"/>
            <w:tcBorders>
              <w:top w:val="nil"/>
            </w:tcBorders>
            <w:shd w:val="clear" w:color="auto" w:fill="auto"/>
            <w:noWrap/>
            <w:vAlign w:val="center"/>
            <w:hideMark/>
          </w:tcPr>
          <w:p w14:paraId="2D82CB02" w14:textId="77777777" w:rsidR="008B4FB4" w:rsidRPr="008B4FB4" w:rsidRDefault="008B4FB4" w:rsidP="00C654A3">
            <w:pPr>
              <w:jc w:val="both"/>
            </w:pPr>
            <w:r w:rsidRPr="008B4FB4">
              <w:rPr>
                <w:lang w:val="en"/>
              </w:rPr>
              <w:t>13.2</w:t>
            </w:r>
          </w:p>
        </w:tc>
      </w:tr>
      <w:tr w:rsidR="008B4FB4" w:rsidRPr="008B4FB4" w14:paraId="38F3CA32" w14:textId="77777777" w:rsidTr="002B4CEF">
        <w:trPr>
          <w:trHeight w:val="20"/>
        </w:trPr>
        <w:tc>
          <w:tcPr>
            <w:tcW w:w="5247" w:type="dxa"/>
            <w:tcBorders>
              <w:bottom w:val="single" w:sz="4" w:space="0" w:color="auto"/>
            </w:tcBorders>
            <w:shd w:val="clear" w:color="auto" w:fill="auto"/>
            <w:noWrap/>
            <w:vAlign w:val="bottom"/>
            <w:hideMark/>
          </w:tcPr>
          <w:p w14:paraId="21A819AA"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48ED4F15" w14:textId="77777777" w:rsidR="008B4FB4" w:rsidRPr="008B4FB4" w:rsidRDefault="008B4FB4" w:rsidP="00C654A3">
            <w:pPr>
              <w:jc w:val="both"/>
            </w:pPr>
            <w:r w:rsidRPr="008B4FB4">
              <w:rPr>
                <w:lang w:val="en"/>
              </w:rPr>
              <w:t>1050</w:t>
            </w:r>
          </w:p>
        </w:tc>
        <w:tc>
          <w:tcPr>
            <w:tcW w:w="2134" w:type="dxa"/>
            <w:tcBorders>
              <w:bottom w:val="single" w:sz="4" w:space="0" w:color="auto"/>
            </w:tcBorders>
            <w:shd w:val="clear" w:color="auto" w:fill="auto"/>
            <w:noWrap/>
            <w:vAlign w:val="center"/>
            <w:hideMark/>
          </w:tcPr>
          <w:p w14:paraId="52FFC34A" w14:textId="77777777" w:rsidR="008B4FB4" w:rsidRPr="008B4FB4" w:rsidRDefault="008B4FB4" w:rsidP="00C654A3">
            <w:pPr>
              <w:jc w:val="both"/>
            </w:pPr>
            <w:r w:rsidRPr="008B4FB4">
              <w:rPr>
                <w:lang w:val="en"/>
              </w:rPr>
              <w:t>86.8</w:t>
            </w:r>
          </w:p>
        </w:tc>
      </w:tr>
      <w:tr w:rsidR="008B4FB4" w:rsidRPr="008B4FB4" w14:paraId="3B174EA7" w14:textId="77777777" w:rsidTr="002B4CEF">
        <w:trPr>
          <w:trHeight w:val="20"/>
        </w:trPr>
        <w:tc>
          <w:tcPr>
            <w:tcW w:w="5247" w:type="dxa"/>
            <w:tcBorders>
              <w:top w:val="single" w:sz="4" w:space="0" w:color="auto"/>
              <w:bottom w:val="nil"/>
            </w:tcBorders>
            <w:shd w:val="clear" w:color="auto" w:fill="auto"/>
            <w:noWrap/>
            <w:vAlign w:val="bottom"/>
            <w:hideMark/>
          </w:tcPr>
          <w:p w14:paraId="7BA0B19C" w14:textId="77777777" w:rsidR="008B4FB4" w:rsidRPr="008B4FB4" w:rsidRDefault="008B4FB4" w:rsidP="00C654A3">
            <w:pPr>
              <w:jc w:val="both"/>
              <w:rPr>
                <w:b/>
                <w:bCs/>
              </w:rPr>
            </w:pPr>
            <w:r w:rsidRPr="008B4FB4">
              <w:rPr>
                <w:b/>
                <w:bCs/>
                <w:lang w:val="en"/>
              </w:rPr>
              <w:t>Fasting</w:t>
            </w:r>
            <w:r w:rsidRPr="008B4FB4">
              <w:rPr>
                <w:lang w:val="en"/>
              </w:rPr>
              <w:t xml:space="preserve"> Blood Sugar Levels</w:t>
            </w:r>
          </w:p>
        </w:tc>
        <w:tc>
          <w:tcPr>
            <w:tcW w:w="2371" w:type="dxa"/>
            <w:tcBorders>
              <w:top w:val="single" w:sz="4" w:space="0" w:color="auto"/>
              <w:bottom w:val="nil"/>
            </w:tcBorders>
            <w:shd w:val="clear" w:color="auto" w:fill="auto"/>
            <w:noWrap/>
            <w:vAlign w:val="center"/>
            <w:hideMark/>
          </w:tcPr>
          <w:p w14:paraId="5ECA9885"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1D4A010F" w14:textId="77777777" w:rsidR="008B4FB4" w:rsidRPr="008B4FB4" w:rsidRDefault="008B4FB4" w:rsidP="00C654A3">
            <w:pPr>
              <w:jc w:val="both"/>
              <w:rPr>
                <w:b/>
                <w:bCs/>
              </w:rPr>
            </w:pPr>
            <w:r w:rsidRPr="008B4FB4">
              <w:rPr>
                <w:b/>
                <w:bCs/>
              </w:rPr>
              <w:t> </w:t>
            </w:r>
          </w:p>
        </w:tc>
      </w:tr>
      <w:tr w:rsidR="008B4FB4" w:rsidRPr="008B4FB4" w14:paraId="7AF69CE9" w14:textId="77777777" w:rsidTr="002B4CEF">
        <w:trPr>
          <w:trHeight w:val="20"/>
        </w:trPr>
        <w:tc>
          <w:tcPr>
            <w:tcW w:w="5247" w:type="dxa"/>
            <w:tcBorders>
              <w:top w:val="nil"/>
            </w:tcBorders>
            <w:shd w:val="clear" w:color="auto" w:fill="auto"/>
            <w:noWrap/>
            <w:vAlign w:val="bottom"/>
            <w:hideMark/>
          </w:tcPr>
          <w:p w14:paraId="08312AF9"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614A3ED0" w14:textId="77777777" w:rsidR="008B4FB4" w:rsidRPr="008B4FB4" w:rsidRDefault="008B4FB4" w:rsidP="00C654A3">
            <w:pPr>
              <w:jc w:val="both"/>
            </w:pPr>
            <w:r w:rsidRPr="008B4FB4">
              <w:rPr>
                <w:lang w:val="en"/>
              </w:rPr>
              <w:t>271</w:t>
            </w:r>
          </w:p>
        </w:tc>
        <w:tc>
          <w:tcPr>
            <w:tcW w:w="2134" w:type="dxa"/>
            <w:tcBorders>
              <w:top w:val="nil"/>
            </w:tcBorders>
            <w:shd w:val="clear" w:color="auto" w:fill="auto"/>
            <w:noWrap/>
            <w:vAlign w:val="center"/>
            <w:hideMark/>
          </w:tcPr>
          <w:p w14:paraId="78589FC7" w14:textId="77777777" w:rsidR="008B4FB4" w:rsidRPr="008B4FB4" w:rsidRDefault="008B4FB4" w:rsidP="00C654A3">
            <w:pPr>
              <w:jc w:val="both"/>
            </w:pPr>
            <w:r w:rsidRPr="008B4FB4">
              <w:rPr>
                <w:lang w:val="en"/>
              </w:rPr>
              <w:t>22.4</w:t>
            </w:r>
          </w:p>
        </w:tc>
      </w:tr>
      <w:tr w:rsidR="008B4FB4" w:rsidRPr="008B4FB4" w14:paraId="163CC836" w14:textId="77777777" w:rsidTr="002B4CEF">
        <w:trPr>
          <w:trHeight w:val="20"/>
        </w:trPr>
        <w:tc>
          <w:tcPr>
            <w:tcW w:w="5247" w:type="dxa"/>
            <w:tcBorders>
              <w:bottom w:val="single" w:sz="4" w:space="0" w:color="auto"/>
            </w:tcBorders>
            <w:shd w:val="clear" w:color="auto" w:fill="auto"/>
            <w:noWrap/>
            <w:vAlign w:val="bottom"/>
            <w:hideMark/>
          </w:tcPr>
          <w:p w14:paraId="61EE8E27"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17D06395" w14:textId="77777777" w:rsidR="008B4FB4" w:rsidRPr="008B4FB4" w:rsidRDefault="008B4FB4" w:rsidP="00C654A3">
            <w:pPr>
              <w:jc w:val="both"/>
            </w:pPr>
            <w:r w:rsidRPr="008B4FB4">
              <w:rPr>
                <w:lang w:val="en"/>
              </w:rPr>
              <w:t>939</w:t>
            </w:r>
          </w:p>
        </w:tc>
        <w:tc>
          <w:tcPr>
            <w:tcW w:w="2134" w:type="dxa"/>
            <w:tcBorders>
              <w:bottom w:val="single" w:sz="4" w:space="0" w:color="auto"/>
            </w:tcBorders>
            <w:shd w:val="clear" w:color="auto" w:fill="auto"/>
            <w:noWrap/>
            <w:vAlign w:val="center"/>
            <w:hideMark/>
          </w:tcPr>
          <w:p w14:paraId="308916CF" w14:textId="77777777" w:rsidR="008B4FB4" w:rsidRPr="008B4FB4" w:rsidRDefault="008B4FB4" w:rsidP="00C654A3">
            <w:pPr>
              <w:jc w:val="both"/>
            </w:pPr>
            <w:r w:rsidRPr="008B4FB4">
              <w:rPr>
                <w:lang w:val="en"/>
              </w:rPr>
              <w:t>77.6</w:t>
            </w:r>
          </w:p>
        </w:tc>
      </w:tr>
      <w:tr w:rsidR="008B4FB4" w:rsidRPr="008B4FB4" w14:paraId="2889E948" w14:textId="77777777" w:rsidTr="002B4CEF">
        <w:trPr>
          <w:trHeight w:val="20"/>
        </w:trPr>
        <w:tc>
          <w:tcPr>
            <w:tcW w:w="5247" w:type="dxa"/>
            <w:tcBorders>
              <w:top w:val="single" w:sz="4" w:space="0" w:color="auto"/>
              <w:bottom w:val="nil"/>
            </w:tcBorders>
            <w:shd w:val="clear" w:color="auto" w:fill="auto"/>
            <w:noWrap/>
            <w:vAlign w:val="bottom"/>
            <w:hideMark/>
          </w:tcPr>
          <w:p w14:paraId="34D97E42" w14:textId="77777777" w:rsidR="008B4FB4" w:rsidRPr="008B4FB4" w:rsidRDefault="008B4FB4" w:rsidP="00C654A3">
            <w:pPr>
              <w:jc w:val="both"/>
              <w:rPr>
                <w:b/>
                <w:bCs/>
              </w:rPr>
            </w:pPr>
            <w:r w:rsidRPr="008B4FB4">
              <w:rPr>
                <w:b/>
                <w:bCs/>
                <w:lang w:val="en"/>
              </w:rPr>
              <w:t>Fasting</w:t>
            </w:r>
            <w:r w:rsidRPr="008B4FB4">
              <w:rPr>
                <w:lang w:val="en"/>
              </w:rPr>
              <w:t xml:space="preserve"> Blood Sugar Levels </w:t>
            </w:r>
            <w:r w:rsidRPr="008B4FB4">
              <w:rPr>
                <w:b/>
                <w:bCs/>
                <w:lang w:val="en"/>
              </w:rPr>
              <w:t xml:space="preserve">Post-Loading </w:t>
            </w:r>
          </w:p>
        </w:tc>
        <w:tc>
          <w:tcPr>
            <w:tcW w:w="2371" w:type="dxa"/>
            <w:tcBorders>
              <w:top w:val="single" w:sz="4" w:space="0" w:color="auto"/>
              <w:bottom w:val="nil"/>
            </w:tcBorders>
            <w:shd w:val="clear" w:color="auto" w:fill="auto"/>
            <w:noWrap/>
            <w:vAlign w:val="center"/>
            <w:hideMark/>
          </w:tcPr>
          <w:p w14:paraId="16CD7E20"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646C446D" w14:textId="77777777" w:rsidR="008B4FB4" w:rsidRPr="008B4FB4" w:rsidRDefault="008B4FB4" w:rsidP="00C654A3">
            <w:pPr>
              <w:jc w:val="both"/>
              <w:rPr>
                <w:b/>
                <w:bCs/>
              </w:rPr>
            </w:pPr>
            <w:r w:rsidRPr="008B4FB4">
              <w:rPr>
                <w:b/>
                <w:bCs/>
              </w:rPr>
              <w:t> </w:t>
            </w:r>
          </w:p>
        </w:tc>
      </w:tr>
      <w:tr w:rsidR="008B4FB4" w:rsidRPr="008B4FB4" w14:paraId="5E6AAC11" w14:textId="77777777" w:rsidTr="002B4CEF">
        <w:trPr>
          <w:trHeight w:val="20"/>
        </w:trPr>
        <w:tc>
          <w:tcPr>
            <w:tcW w:w="5247" w:type="dxa"/>
            <w:tcBorders>
              <w:top w:val="nil"/>
            </w:tcBorders>
            <w:shd w:val="clear" w:color="auto" w:fill="auto"/>
            <w:noWrap/>
            <w:vAlign w:val="bottom"/>
            <w:hideMark/>
          </w:tcPr>
          <w:p w14:paraId="4DC74745"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71061348" w14:textId="77777777" w:rsidR="008B4FB4" w:rsidRPr="008B4FB4" w:rsidRDefault="008B4FB4" w:rsidP="00C654A3">
            <w:pPr>
              <w:jc w:val="both"/>
            </w:pPr>
            <w:r w:rsidRPr="008B4FB4">
              <w:rPr>
                <w:lang w:val="en"/>
              </w:rPr>
              <w:t>460</w:t>
            </w:r>
          </w:p>
        </w:tc>
        <w:tc>
          <w:tcPr>
            <w:tcW w:w="2134" w:type="dxa"/>
            <w:tcBorders>
              <w:top w:val="nil"/>
            </w:tcBorders>
            <w:shd w:val="clear" w:color="auto" w:fill="auto"/>
            <w:noWrap/>
            <w:vAlign w:val="center"/>
            <w:hideMark/>
          </w:tcPr>
          <w:p w14:paraId="111E9C9B" w14:textId="77777777" w:rsidR="008B4FB4" w:rsidRPr="008B4FB4" w:rsidRDefault="008B4FB4" w:rsidP="00C654A3">
            <w:pPr>
              <w:jc w:val="both"/>
            </w:pPr>
            <w:r w:rsidRPr="008B4FB4">
              <w:rPr>
                <w:lang w:val="en"/>
              </w:rPr>
              <w:t>38.0</w:t>
            </w:r>
          </w:p>
        </w:tc>
      </w:tr>
      <w:tr w:rsidR="008B4FB4" w:rsidRPr="008B4FB4" w14:paraId="602900D4" w14:textId="77777777" w:rsidTr="002B4CEF">
        <w:trPr>
          <w:trHeight w:val="20"/>
        </w:trPr>
        <w:tc>
          <w:tcPr>
            <w:tcW w:w="5247" w:type="dxa"/>
            <w:tcBorders>
              <w:bottom w:val="single" w:sz="4" w:space="0" w:color="auto"/>
            </w:tcBorders>
            <w:shd w:val="clear" w:color="auto" w:fill="auto"/>
            <w:noWrap/>
            <w:vAlign w:val="bottom"/>
            <w:hideMark/>
          </w:tcPr>
          <w:p w14:paraId="3D57E623"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70249E02" w14:textId="77777777" w:rsidR="008B4FB4" w:rsidRPr="008B4FB4" w:rsidRDefault="008B4FB4" w:rsidP="00C654A3">
            <w:pPr>
              <w:jc w:val="both"/>
            </w:pPr>
            <w:r w:rsidRPr="008B4FB4">
              <w:rPr>
                <w:lang w:val="en"/>
              </w:rPr>
              <w:t>750</w:t>
            </w:r>
          </w:p>
        </w:tc>
        <w:tc>
          <w:tcPr>
            <w:tcW w:w="2134" w:type="dxa"/>
            <w:tcBorders>
              <w:bottom w:val="single" w:sz="4" w:space="0" w:color="auto"/>
            </w:tcBorders>
            <w:shd w:val="clear" w:color="auto" w:fill="auto"/>
            <w:noWrap/>
            <w:vAlign w:val="center"/>
            <w:hideMark/>
          </w:tcPr>
          <w:p w14:paraId="47CEB600" w14:textId="77777777" w:rsidR="008B4FB4" w:rsidRPr="008B4FB4" w:rsidRDefault="008B4FB4" w:rsidP="00C654A3">
            <w:pPr>
              <w:jc w:val="both"/>
            </w:pPr>
            <w:r w:rsidRPr="008B4FB4">
              <w:rPr>
                <w:lang w:val="en"/>
              </w:rPr>
              <w:t>62.0</w:t>
            </w:r>
          </w:p>
        </w:tc>
      </w:tr>
      <w:tr w:rsidR="008B4FB4" w:rsidRPr="008B4FB4" w14:paraId="47431A81" w14:textId="77777777" w:rsidTr="002B4CEF">
        <w:trPr>
          <w:trHeight w:val="20"/>
        </w:trPr>
        <w:tc>
          <w:tcPr>
            <w:tcW w:w="5247" w:type="dxa"/>
            <w:tcBorders>
              <w:top w:val="single" w:sz="4" w:space="0" w:color="auto"/>
              <w:bottom w:val="nil"/>
            </w:tcBorders>
            <w:shd w:val="clear" w:color="auto" w:fill="auto"/>
            <w:noWrap/>
            <w:vAlign w:val="bottom"/>
            <w:hideMark/>
          </w:tcPr>
          <w:p w14:paraId="2011B543" w14:textId="77777777" w:rsidR="008B4FB4" w:rsidRPr="008B4FB4" w:rsidRDefault="008B4FB4" w:rsidP="00C654A3">
            <w:pPr>
              <w:jc w:val="both"/>
              <w:rPr>
                <w:b/>
                <w:bCs/>
              </w:rPr>
            </w:pPr>
            <w:r w:rsidRPr="008B4FB4">
              <w:rPr>
                <w:b/>
                <w:bCs/>
                <w:lang w:val="en"/>
              </w:rPr>
              <w:t>Total Cholesterol Levels</w:t>
            </w:r>
          </w:p>
        </w:tc>
        <w:tc>
          <w:tcPr>
            <w:tcW w:w="2371" w:type="dxa"/>
            <w:tcBorders>
              <w:top w:val="single" w:sz="4" w:space="0" w:color="auto"/>
              <w:bottom w:val="nil"/>
            </w:tcBorders>
            <w:shd w:val="clear" w:color="auto" w:fill="auto"/>
            <w:noWrap/>
            <w:vAlign w:val="center"/>
            <w:hideMark/>
          </w:tcPr>
          <w:p w14:paraId="6263828F"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1E94A322" w14:textId="77777777" w:rsidR="008B4FB4" w:rsidRPr="008B4FB4" w:rsidRDefault="008B4FB4" w:rsidP="00C654A3">
            <w:pPr>
              <w:jc w:val="both"/>
              <w:rPr>
                <w:b/>
                <w:bCs/>
              </w:rPr>
            </w:pPr>
            <w:r w:rsidRPr="008B4FB4">
              <w:rPr>
                <w:b/>
                <w:bCs/>
              </w:rPr>
              <w:t> </w:t>
            </w:r>
          </w:p>
        </w:tc>
      </w:tr>
      <w:tr w:rsidR="008B4FB4" w:rsidRPr="008B4FB4" w14:paraId="1739A241" w14:textId="77777777" w:rsidTr="002B4CEF">
        <w:trPr>
          <w:trHeight w:val="20"/>
        </w:trPr>
        <w:tc>
          <w:tcPr>
            <w:tcW w:w="5247" w:type="dxa"/>
            <w:tcBorders>
              <w:top w:val="nil"/>
            </w:tcBorders>
            <w:shd w:val="clear" w:color="auto" w:fill="auto"/>
            <w:noWrap/>
            <w:vAlign w:val="bottom"/>
            <w:hideMark/>
          </w:tcPr>
          <w:p w14:paraId="745CA7D1"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219EFEC7" w14:textId="77777777" w:rsidR="008B4FB4" w:rsidRPr="008B4FB4" w:rsidRDefault="008B4FB4" w:rsidP="00C654A3">
            <w:pPr>
              <w:jc w:val="both"/>
            </w:pPr>
            <w:r w:rsidRPr="008B4FB4">
              <w:rPr>
                <w:lang w:val="en"/>
              </w:rPr>
              <w:t>565</w:t>
            </w:r>
          </w:p>
        </w:tc>
        <w:tc>
          <w:tcPr>
            <w:tcW w:w="2134" w:type="dxa"/>
            <w:tcBorders>
              <w:top w:val="nil"/>
            </w:tcBorders>
            <w:shd w:val="clear" w:color="auto" w:fill="auto"/>
            <w:noWrap/>
            <w:vAlign w:val="center"/>
            <w:hideMark/>
          </w:tcPr>
          <w:p w14:paraId="6BA0E9E3" w14:textId="77777777" w:rsidR="008B4FB4" w:rsidRPr="008B4FB4" w:rsidRDefault="008B4FB4" w:rsidP="00C654A3">
            <w:pPr>
              <w:jc w:val="both"/>
            </w:pPr>
            <w:r w:rsidRPr="008B4FB4">
              <w:rPr>
                <w:lang w:val="en"/>
              </w:rPr>
              <w:t>46.7</w:t>
            </w:r>
          </w:p>
        </w:tc>
      </w:tr>
      <w:tr w:rsidR="008B4FB4" w:rsidRPr="008B4FB4" w14:paraId="4C5856D9" w14:textId="77777777" w:rsidTr="002B4CEF">
        <w:trPr>
          <w:trHeight w:val="20"/>
        </w:trPr>
        <w:tc>
          <w:tcPr>
            <w:tcW w:w="5247" w:type="dxa"/>
            <w:tcBorders>
              <w:bottom w:val="single" w:sz="4" w:space="0" w:color="auto"/>
            </w:tcBorders>
            <w:shd w:val="clear" w:color="auto" w:fill="auto"/>
            <w:noWrap/>
            <w:vAlign w:val="bottom"/>
            <w:hideMark/>
          </w:tcPr>
          <w:p w14:paraId="19124399"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6CB80FF5" w14:textId="77777777" w:rsidR="008B4FB4" w:rsidRPr="008B4FB4" w:rsidRDefault="008B4FB4" w:rsidP="00C654A3">
            <w:pPr>
              <w:jc w:val="both"/>
            </w:pPr>
            <w:r w:rsidRPr="008B4FB4">
              <w:rPr>
                <w:lang w:val="en"/>
              </w:rPr>
              <w:t>645</w:t>
            </w:r>
          </w:p>
        </w:tc>
        <w:tc>
          <w:tcPr>
            <w:tcW w:w="2134" w:type="dxa"/>
            <w:tcBorders>
              <w:bottom w:val="single" w:sz="4" w:space="0" w:color="auto"/>
            </w:tcBorders>
            <w:shd w:val="clear" w:color="auto" w:fill="auto"/>
            <w:noWrap/>
            <w:vAlign w:val="center"/>
            <w:hideMark/>
          </w:tcPr>
          <w:p w14:paraId="6C491FDD" w14:textId="77777777" w:rsidR="008B4FB4" w:rsidRPr="008B4FB4" w:rsidRDefault="008B4FB4" w:rsidP="00C654A3">
            <w:pPr>
              <w:jc w:val="both"/>
            </w:pPr>
            <w:r w:rsidRPr="008B4FB4">
              <w:rPr>
                <w:lang w:val="en"/>
              </w:rPr>
              <w:t>53.3</w:t>
            </w:r>
          </w:p>
        </w:tc>
      </w:tr>
      <w:tr w:rsidR="008B4FB4" w:rsidRPr="008B4FB4" w14:paraId="7FEA0A8D" w14:textId="77777777" w:rsidTr="002B4CEF">
        <w:trPr>
          <w:trHeight w:val="20"/>
        </w:trPr>
        <w:tc>
          <w:tcPr>
            <w:tcW w:w="5247" w:type="dxa"/>
            <w:tcBorders>
              <w:top w:val="single" w:sz="4" w:space="0" w:color="auto"/>
              <w:bottom w:val="nil"/>
            </w:tcBorders>
            <w:shd w:val="clear" w:color="auto" w:fill="auto"/>
            <w:noWrap/>
            <w:vAlign w:val="bottom"/>
            <w:hideMark/>
          </w:tcPr>
          <w:p w14:paraId="74089C85" w14:textId="77777777" w:rsidR="008B4FB4" w:rsidRPr="008B4FB4" w:rsidRDefault="008B4FB4" w:rsidP="00C654A3">
            <w:pPr>
              <w:jc w:val="both"/>
              <w:rPr>
                <w:b/>
                <w:bCs/>
              </w:rPr>
            </w:pPr>
            <w:r w:rsidRPr="008B4FB4">
              <w:rPr>
                <w:b/>
                <w:bCs/>
                <w:lang w:val="en"/>
              </w:rPr>
              <w:t>Triglyceride</w:t>
            </w:r>
            <w:r w:rsidRPr="008B4FB4">
              <w:rPr>
                <w:lang w:val="en"/>
              </w:rPr>
              <w:t xml:space="preserve"> Levels</w:t>
            </w:r>
          </w:p>
        </w:tc>
        <w:tc>
          <w:tcPr>
            <w:tcW w:w="2371" w:type="dxa"/>
            <w:tcBorders>
              <w:top w:val="single" w:sz="4" w:space="0" w:color="auto"/>
              <w:bottom w:val="nil"/>
            </w:tcBorders>
            <w:shd w:val="clear" w:color="auto" w:fill="auto"/>
            <w:noWrap/>
            <w:vAlign w:val="center"/>
            <w:hideMark/>
          </w:tcPr>
          <w:p w14:paraId="0969846B"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3009B824" w14:textId="77777777" w:rsidR="008B4FB4" w:rsidRPr="008B4FB4" w:rsidRDefault="008B4FB4" w:rsidP="00C654A3">
            <w:pPr>
              <w:jc w:val="both"/>
              <w:rPr>
                <w:b/>
                <w:bCs/>
              </w:rPr>
            </w:pPr>
            <w:r w:rsidRPr="008B4FB4">
              <w:rPr>
                <w:b/>
                <w:bCs/>
              </w:rPr>
              <w:t> </w:t>
            </w:r>
          </w:p>
        </w:tc>
      </w:tr>
      <w:tr w:rsidR="008B4FB4" w:rsidRPr="008B4FB4" w14:paraId="41252B8F" w14:textId="77777777" w:rsidTr="002B4CEF">
        <w:trPr>
          <w:trHeight w:val="20"/>
        </w:trPr>
        <w:tc>
          <w:tcPr>
            <w:tcW w:w="5247" w:type="dxa"/>
            <w:tcBorders>
              <w:top w:val="nil"/>
            </w:tcBorders>
            <w:shd w:val="clear" w:color="auto" w:fill="auto"/>
            <w:noWrap/>
            <w:vAlign w:val="bottom"/>
            <w:hideMark/>
          </w:tcPr>
          <w:p w14:paraId="50A3BC62"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347ECA81" w14:textId="77777777" w:rsidR="008B4FB4" w:rsidRPr="008B4FB4" w:rsidRDefault="008B4FB4" w:rsidP="00C654A3">
            <w:pPr>
              <w:jc w:val="both"/>
            </w:pPr>
            <w:r w:rsidRPr="008B4FB4">
              <w:rPr>
                <w:lang w:val="en"/>
              </w:rPr>
              <w:t>295</w:t>
            </w:r>
          </w:p>
        </w:tc>
        <w:tc>
          <w:tcPr>
            <w:tcW w:w="2134" w:type="dxa"/>
            <w:tcBorders>
              <w:top w:val="nil"/>
            </w:tcBorders>
            <w:shd w:val="clear" w:color="auto" w:fill="auto"/>
            <w:noWrap/>
            <w:vAlign w:val="center"/>
            <w:hideMark/>
          </w:tcPr>
          <w:p w14:paraId="7F2B749A" w14:textId="77777777" w:rsidR="008B4FB4" w:rsidRPr="008B4FB4" w:rsidRDefault="008B4FB4" w:rsidP="00C654A3">
            <w:pPr>
              <w:jc w:val="both"/>
            </w:pPr>
            <w:r w:rsidRPr="008B4FB4">
              <w:rPr>
                <w:lang w:val="en"/>
              </w:rPr>
              <w:t>24.4</w:t>
            </w:r>
          </w:p>
        </w:tc>
      </w:tr>
      <w:tr w:rsidR="008B4FB4" w:rsidRPr="008B4FB4" w14:paraId="1ACD69EF" w14:textId="77777777" w:rsidTr="002B4CEF">
        <w:trPr>
          <w:trHeight w:val="20"/>
        </w:trPr>
        <w:tc>
          <w:tcPr>
            <w:tcW w:w="5247" w:type="dxa"/>
            <w:tcBorders>
              <w:bottom w:val="single" w:sz="4" w:space="0" w:color="auto"/>
            </w:tcBorders>
            <w:shd w:val="clear" w:color="auto" w:fill="auto"/>
            <w:noWrap/>
            <w:vAlign w:val="bottom"/>
            <w:hideMark/>
          </w:tcPr>
          <w:p w14:paraId="4A04F147"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3AA912F3" w14:textId="77777777" w:rsidR="008B4FB4" w:rsidRPr="008B4FB4" w:rsidRDefault="008B4FB4" w:rsidP="00C654A3">
            <w:pPr>
              <w:jc w:val="both"/>
            </w:pPr>
            <w:r w:rsidRPr="008B4FB4">
              <w:rPr>
                <w:lang w:val="en"/>
              </w:rPr>
              <w:t>915</w:t>
            </w:r>
          </w:p>
        </w:tc>
        <w:tc>
          <w:tcPr>
            <w:tcW w:w="2134" w:type="dxa"/>
            <w:tcBorders>
              <w:bottom w:val="single" w:sz="4" w:space="0" w:color="auto"/>
            </w:tcBorders>
            <w:shd w:val="clear" w:color="auto" w:fill="auto"/>
            <w:noWrap/>
            <w:vAlign w:val="center"/>
            <w:hideMark/>
          </w:tcPr>
          <w:p w14:paraId="0348CC2C" w14:textId="77777777" w:rsidR="008B4FB4" w:rsidRPr="008B4FB4" w:rsidRDefault="008B4FB4" w:rsidP="00C654A3">
            <w:pPr>
              <w:jc w:val="both"/>
            </w:pPr>
            <w:r w:rsidRPr="008B4FB4">
              <w:rPr>
                <w:lang w:val="en"/>
              </w:rPr>
              <w:t>75.6</w:t>
            </w:r>
          </w:p>
        </w:tc>
      </w:tr>
      <w:tr w:rsidR="008B4FB4" w:rsidRPr="008B4FB4" w14:paraId="7992FFA4" w14:textId="77777777" w:rsidTr="002B4CEF">
        <w:trPr>
          <w:trHeight w:val="20"/>
        </w:trPr>
        <w:tc>
          <w:tcPr>
            <w:tcW w:w="5247" w:type="dxa"/>
            <w:tcBorders>
              <w:top w:val="single" w:sz="4" w:space="0" w:color="auto"/>
              <w:bottom w:val="nil"/>
            </w:tcBorders>
            <w:shd w:val="clear" w:color="auto" w:fill="auto"/>
            <w:noWrap/>
            <w:vAlign w:val="bottom"/>
            <w:hideMark/>
          </w:tcPr>
          <w:p w14:paraId="5565C746" w14:textId="77777777" w:rsidR="008B4FB4" w:rsidRPr="008B4FB4" w:rsidRDefault="008B4FB4" w:rsidP="00C654A3">
            <w:pPr>
              <w:jc w:val="both"/>
              <w:rPr>
                <w:b/>
                <w:bCs/>
              </w:rPr>
            </w:pPr>
            <w:r w:rsidRPr="008B4FB4">
              <w:rPr>
                <w:b/>
                <w:bCs/>
                <w:lang w:val="en"/>
              </w:rPr>
              <w:t>LDL levels</w:t>
            </w:r>
          </w:p>
        </w:tc>
        <w:tc>
          <w:tcPr>
            <w:tcW w:w="2371" w:type="dxa"/>
            <w:tcBorders>
              <w:top w:val="single" w:sz="4" w:space="0" w:color="auto"/>
              <w:bottom w:val="nil"/>
            </w:tcBorders>
            <w:shd w:val="clear" w:color="auto" w:fill="auto"/>
            <w:noWrap/>
            <w:vAlign w:val="center"/>
            <w:hideMark/>
          </w:tcPr>
          <w:p w14:paraId="3C9AA3EB"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138F3FE5" w14:textId="77777777" w:rsidR="008B4FB4" w:rsidRPr="008B4FB4" w:rsidRDefault="008B4FB4" w:rsidP="00C654A3">
            <w:pPr>
              <w:jc w:val="both"/>
              <w:rPr>
                <w:b/>
                <w:bCs/>
              </w:rPr>
            </w:pPr>
            <w:r w:rsidRPr="008B4FB4">
              <w:rPr>
                <w:b/>
                <w:bCs/>
              </w:rPr>
              <w:t> </w:t>
            </w:r>
          </w:p>
        </w:tc>
      </w:tr>
      <w:tr w:rsidR="008B4FB4" w:rsidRPr="008B4FB4" w14:paraId="74F34829" w14:textId="77777777" w:rsidTr="002B4CEF">
        <w:trPr>
          <w:trHeight w:val="20"/>
        </w:trPr>
        <w:tc>
          <w:tcPr>
            <w:tcW w:w="5247" w:type="dxa"/>
            <w:tcBorders>
              <w:top w:val="nil"/>
            </w:tcBorders>
            <w:shd w:val="clear" w:color="auto" w:fill="auto"/>
            <w:noWrap/>
            <w:vAlign w:val="bottom"/>
            <w:hideMark/>
          </w:tcPr>
          <w:p w14:paraId="17663369"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46CF0E4C" w14:textId="77777777" w:rsidR="008B4FB4" w:rsidRPr="008B4FB4" w:rsidRDefault="008B4FB4" w:rsidP="00C654A3">
            <w:pPr>
              <w:jc w:val="both"/>
            </w:pPr>
            <w:r w:rsidRPr="008B4FB4">
              <w:rPr>
                <w:lang w:val="en"/>
              </w:rPr>
              <w:t>935</w:t>
            </w:r>
          </w:p>
        </w:tc>
        <w:tc>
          <w:tcPr>
            <w:tcW w:w="2134" w:type="dxa"/>
            <w:tcBorders>
              <w:top w:val="nil"/>
            </w:tcBorders>
            <w:shd w:val="clear" w:color="auto" w:fill="auto"/>
            <w:noWrap/>
            <w:vAlign w:val="center"/>
            <w:hideMark/>
          </w:tcPr>
          <w:p w14:paraId="10645A92" w14:textId="77777777" w:rsidR="008B4FB4" w:rsidRPr="008B4FB4" w:rsidRDefault="008B4FB4" w:rsidP="00C654A3">
            <w:pPr>
              <w:jc w:val="both"/>
            </w:pPr>
            <w:r w:rsidRPr="008B4FB4">
              <w:rPr>
                <w:lang w:val="en"/>
              </w:rPr>
              <w:t>77.3</w:t>
            </w:r>
          </w:p>
        </w:tc>
      </w:tr>
      <w:tr w:rsidR="008B4FB4" w:rsidRPr="008B4FB4" w14:paraId="00A27EBC" w14:textId="77777777" w:rsidTr="002B4CEF">
        <w:trPr>
          <w:trHeight w:val="20"/>
        </w:trPr>
        <w:tc>
          <w:tcPr>
            <w:tcW w:w="5247" w:type="dxa"/>
            <w:tcBorders>
              <w:bottom w:val="single" w:sz="4" w:space="0" w:color="auto"/>
            </w:tcBorders>
            <w:shd w:val="clear" w:color="auto" w:fill="auto"/>
            <w:noWrap/>
            <w:vAlign w:val="bottom"/>
            <w:hideMark/>
          </w:tcPr>
          <w:p w14:paraId="342444C8"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6E6F781B" w14:textId="77777777" w:rsidR="008B4FB4" w:rsidRPr="008B4FB4" w:rsidRDefault="008B4FB4" w:rsidP="00C654A3">
            <w:pPr>
              <w:jc w:val="both"/>
            </w:pPr>
            <w:r w:rsidRPr="008B4FB4">
              <w:rPr>
                <w:lang w:val="en"/>
              </w:rPr>
              <w:t>275</w:t>
            </w:r>
          </w:p>
        </w:tc>
        <w:tc>
          <w:tcPr>
            <w:tcW w:w="2134" w:type="dxa"/>
            <w:tcBorders>
              <w:bottom w:val="single" w:sz="4" w:space="0" w:color="auto"/>
            </w:tcBorders>
            <w:shd w:val="clear" w:color="auto" w:fill="auto"/>
            <w:noWrap/>
            <w:vAlign w:val="center"/>
            <w:hideMark/>
          </w:tcPr>
          <w:p w14:paraId="455FA0A4" w14:textId="77777777" w:rsidR="008B4FB4" w:rsidRPr="008B4FB4" w:rsidRDefault="008B4FB4" w:rsidP="00C654A3">
            <w:pPr>
              <w:jc w:val="both"/>
            </w:pPr>
            <w:r w:rsidRPr="008B4FB4">
              <w:rPr>
                <w:lang w:val="en"/>
              </w:rPr>
              <w:t>22.7</w:t>
            </w:r>
          </w:p>
        </w:tc>
      </w:tr>
      <w:tr w:rsidR="008B4FB4" w:rsidRPr="008B4FB4" w14:paraId="656877AF" w14:textId="77777777" w:rsidTr="002B4CEF">
        <w:trPr>
          <w:trHeight w:val="20"/>
        </w:trPr>
        <w:tc>
          <w:tcPr>
            <w:tcW w:w="5247" w:type="dxa"/>
            <w:tcBorders>
              <w:top w:val="single" w:sz="4" w:space="0" w:color="auto"/>
              <w:bottom w:val="nil"/>
            </w:tcBorders>
            <w:shd w:val="clear" w:color="auto" w:fill="auto"/>
            <w:noWrap/>
            <w:vAlign w:val="bottom"/>
            <w:hideMark/>
          </w:tcPr>
          <w:p w14:paraId="74E4ACE3" w14:textId="77777777" w:rsidR="008B4FB4" w:rsidRPr="008B4FB4" w:rsidRDefault="008B4FB4" w:rsidP="00C654A3">
            <w:pPr>
              <w:jc w:val="both"/>
              <w:rPr>
                <w:b/>
                <w:bCs/>
              </w:rPr>
            </w:pPr>
            <w:r w:rsidRPr="008B4FB4">
              <w:rPr>
                <w:b/>
                <w:bCs/>
                <w:lang w:val="en"/>
              </w:rPr>
              <w:t>HDL levels</w:t>
            </w:r>
          </w:p>
        </w:tc>
        <w:tc>
          <w:tcPr>
            <w:tcW w:w="2371" w:type="dxa"/>
            <w:tcBorders>
              <w:top w:val="single" w:sz="4" w:space="0" w:color="auto"/>
              <w:bottom w:val="nil"/>
            </w:tcBorders>
            <w:shd w:val="clear" w:color="auto" w:fill="auto"/>
            <w:noWrap/>
            <w:vAlign w:val="center"/>
            <w:hideMark/>
          </w:tcPr>
          <w:p w14:paraId="03C98252"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64993A8F" w14:textId="77777777" w:rsidR="008B4FB4" w:rsidRPr="008B4FB4" w:rsidRDefault="008B4FB4" w:rsidP="00C654A3">
            <w:pPr>
              <w:jc w:val="both"/>
              <w:rPr>
                <w:b/>
                <w:bCs/>
              </w:rPr>
            </w:pPr>
            <w:r w:rsidRPr="008B4FB4">
              <w:rPr>
                <w:b/>
                <w:bCs/>
              </w:rPr>
              <w:t> </w:t>
            </w:r>
          </w:p>
        </w:tc>
      </w:tr>
      <w:tr w:rsidR="008B4FB4" w:rsidRPr="008B4FB4" w14:paraId="49958ED7" w14:textId="77777777" w:rsidTr="002B4CEF">
        <w:trPr>
          <w:trHeight w:val="20"/>
        </w:trPr>
        <w:tc>
          <w:tcPr>
            <w:tcW w:w="5247" w:type="dxa"/>
            <w:tcBorders>
              <w:top w:val="nil"/>
            </w:tcBorders>
            <w:shd w:val="clear" w:color="auto" w:fill="auto"/>
            <w:noWrap/>
            <w:vAlign w:val="bottom"/>
            <w:hideMark/>
          </w:tcPr>
          <w:p w14:paraId="73C45873"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4E8238D9" w14:textId="77777777" w:rsidR="008B4FB4" w:rsidRPr="008B4FB4" w:rsidRDefault="008B4FB4" w:rsidP="00C654A3">
            <w:pPr>
              <w:jc w:val="both"/>
            </w:pPr>
            <w:r w:rsidRPr="008B4FB4">
              <w:rPr>
                <w:lang w:val="en"/>
              </w:rPr>
              <w:t>424</w:t>
            </w:r>
          </w:p>
        </w:tc>
        <w:tc>
          <w:tcPr>
            <w:tcW w:w="2134" w:type="dxa"/>
            <w:tcBorders>
              <w:top w:val="nil"/>
            </w:tcBorders>
            <w:shd w:val="clear" w:color="auto" w:fill="auto"/>
            <w:noWrap/>
            <w:vAlign w:val="center"/>
            <w:hideMark/>
          </w:tcPr>
          <w:p w14:paraId="74CBCD72" w14:textId="77777777" w:rsidR="008B4FB4" w:rsidRPr="008B4FB4" w:rsidRDefault="008B4FB4" w:rsidP="00C654A3">
            <w:pPr>
              <w:jc w:val="both"/>
            </w:pPr>
            <w:r w:rsidRPr="008B4FB4">
              <w:rPr>
                <w:lang w:val="en"/>
              </w:rPr>
              <w:t>35.0</w:t>
            </w:r>
          </w:p>
        </w:tc>
      </w:tr>
      <w:tr w:rsidR="008B4FB4" w:rsidRPr="008B4FB4" w14:paraId="6D0A7633" w14:textId="77777777" w:rsidTr="002B4CEF">
        <w:trPr>
          <w:trHeight w:val="20"/>
        </w:trPr>
        <w:tc>
          <w:tcPr>
            <w:tcW w:w="5247" w:type="dxa"/>
            <w:tcBorders>
              <w:bottom w:val="single" w:sz="4" w:space="0" w:color="auto"/>
            </w:tcBorders>
            <w:shd w:val="clear" w:color="auto" w:fill="auto"/>
            <w:noWrap/>
            <w:vAlign w:val="bottom"/>
            <w:hideMark/>
          </w:tcPr>
          <w:p w14:paraId="0995B4D6"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4F472A57" w14:textId="77777777" w:rsidR="008B4FB4" w:rsidRPr="008B4FB4" w:rsidRDefault="008B4FB4" w:rsidP="00C654A3">
            <w:pPr>
              <w:jc w:val="both"/>
            </w:pPr>
            <w:r w:rsidRPr="008B4FB4">
              <w:rPr>
                <w:lang w:val="en"/>
              </w:rPr>
              <w:t>786</w:t>
            </w:r>
          </w:p>
        </w:tc>
        <w:tc>
          <w:tcPr>
            <w:tcW w:w="2134" w:type="dxa"/>
            <w:tcBorders>
              <w:bottom w:val="single" w:sz="4" w:space="0" w:color="auto"/>
            </w:tcBorders>
            <w:shd w:val="clear" w:color="auto" w:fill="auto"/>
            <w:noWrap/>
            <w:vAlign w:val="center"/>
            <w:hideMark/>
          </w:tcPr>
          <w:p w14:paraId="78303913" w14:textId="77777777" w:rsidR="008B4FB4" w:rsidRPr="008B4FB4" w:rsidRDefault="008B4FB4" w:rsidP="00C654A3">
            <w:pPr>
              <w:jc w:val="both"/>
            </w:pPr>
            <w:r w:rsidRPr="008B4FB4">
              <w:rPr>
                <w:lang w:val="en"/>
              </w:rPr>
              <w:t>65.0</w:t>
            </w:r>
          </w:p>
        </w:tc>
      </w:tr>
      <w:tr w:rsidR="008B4FB4" w:rsidRPr="008B4FB4" w14:paraId="69D93AEB" w14:textId="77777777" w:rsidTr="002B4CEF">
        <w:trPr>
          <w:trHeight w:val="20"/>
        </w:trPr>
        <w:tc>
          <w:tcPr>
            <w:tcW w:w="5247" w:type="dxa"/>
            <w:tcBorders>
              <w:top w:val="single" w:sz="4" w:space="0" w:color="auto"/>
              <w:bottom w:val="nil"/>
            </w:tcBorders>
            <w:shd w:val="clear" w:color="auto" w:fill="auto"/>
            <w:noWrap/>
            <w:vAlign w:val="bottom"/>
            <w:hideMark/>
          </w:tcPr>
          <w:p w14:paraId="45657CBC" w14:textId="77777777" w:rsidR="008B4FB4" w:rsidRPr="008B4FB4" w:rsidRDefault="008B4FB4" w:rsidP="00C654A3">
            <w:pPr>
              <w:jc w:val="both"/>
              <w:rPr>
                <w:b/>
                <w:bCs/>
              </w:rPr>
            </w:pPr>
            <w:r w:rsidRPr="008B4FB4">
              <w:rPr>
                <w:b/>
                <w:bCs/>
                <w:lang w:val="en"/>
              </w:rPr>
              <w:t xml:space="preserve">Systolic Blood </w:t>
            </w:r>
            <w:r w:rsidRPr="008B4FB4">
              <w:rPr>
                <w:lang w:val="en"/>
              </w:rPr>
              <w:t>Pressure</w:t>
            </w:r>
          </w:p>
        </w:tc>
        <w:tc>
          <w:tcPr>
            <w:tcW w:w="2371" w:type="dxa"/>
            <w:tcBorders>
              <w:top w:val="single" w:sz="4" w:space="0" w:color="auto"/>
              <w:bottom w:val="nil"/>
            </w:tcBorders>
            <w:shd w:val="clear" w:color="auto" w:fill="auto"/>
            <w:noWrap/>
            <w:vAlign w:val="center"/>
            <w:hideMark/>
          </w:tcPr>
          <w:p w14:paraId="616F1C06"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7E930950" w14:textId="77777777" w:rsidR="008B4FB4" w:rsidRPr="008B4FB4" w:rsidRDefault="008B4FB4" w:rsidP="00C654A3">
            <w:pPr>
              <w:jc w:val="both"/>
              <w:rPr>
                <w:b/>
                <w:bCs/>
              </w:rPr>
            </w:pPr>
            <w:r w:rsidRPr="008B4FB4">
              <w:rPr>
                <w:b/>
                <w:bCs/>
              </w:rPr>
              <w:t> </w:t>
            </w:r>
          </w:p>
        </w:tc>
      </w:tr>
      <w:tr w:rsidR="008B4FB4" w:rsidRPr="008B4FB4" w14:paraId="3896A241" w14:textId="77777777" w:rsidTr="002B4CEF">
        <w:trPr>
          <w:trHeight w:val="20"/>
        </w:trPr>
        <w:tc>
          <w:tcPr>
            <w:tcW w:w="5247" w:type="dxa"/>
            <w:tcBorders>
              <w:top w:val="nil"/>
            </w:tcBorders>
            <w:shd w:val="clear" w:color="auto" w:fill="auto"/>
            <w:noWrap/>
            <w:vAlign w:val="bottom"/>
            <w:hideMark/>
          </w:tcPr>
          <w:p w14:paraId="4DB64920"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65201ED9" w14:textId="77777777" w:rsidR="008B4FB4" w:rsidRPr="008B4FB4" w:rsidRDefault="008B4FB4" w:rsidP="00C654A3">
            <w:pPr>
              <w:jc w:val="both"/>
            </w:pPr>
            <w:r w:rsidRPr="008B4FB4">
              <w:rPr>
                <w:lang w:val="en"/>
              </w:rPr>
              <w:t>715</w:t>
            </w:r>
          </w:p>
        </w:tc>
        <w:tc>
          <w:tcPr>
            <w:tcW w:w="2134" w:type="dxa"/>
            <w:tcBorders>
              <w:top w:val="nil"/>
            </w:tcBorders>
            <w:shd w:val="clear" w:color="auto" w:fill="auto"/>
            <w:noWrap/>
            <w:vAlign w:val="center"/>
            <w:hideMark/>
          </w:tcPr>
          <w:p w14:paraId="1C4C5CF3" w14:textId="77777777" w:rsidR="008B4FB4" w:rsidRPr="008B4FB4" w:rsidRDefault="008B4FB4" w:rsidP="00C654A3">
            <w:pPr>
              <w:jc w:val="both"/>
            </w:pPr>
            <w:r w:rsidRPr="008B4FB4">
              <w:rPr>
                <w:lang w:val="en"/>
              </w:rPr>
              <w:t>59.1</w:t>
            </w:r>
          </w:p>
        </w:tc>
      </w:tr>
      <w:tr w:rsidR="008B4FB4" w:rsidRPr="008B4FB4" w14:paraId="0CBA85EE" w14:textId="77777777" w:rsidTr="002B4CEF">
        <w:trPr>
          <w:trHeight w:val="20"/>
        </w:trPr>
        <w:tc>
          <w:tcPr>
            <w:tcW w:w="5247" w:type="dxa"/>
            <w:tcBorders>
              <w:bottom w:val="single" w:sz="4" w:space="0" w:color="auto"/>
            </w:tcBorders>
            <w:shd w:val="clear" w:color="auto" w:fill="auto"/>
            <w:noWrap/>
            <w:vAlign w:val="bottom"/>
            <w:hideMark/>
          </w:tcPr>
          <w:p w14:paraId="05DB7880"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4FAA74A8" w14:textId="77777777" w:rsidR="008B4FB4" w:rsidRPr="008B4FB4" w:rsidRDefault="008B4FB4" w:rsidP="00C654A3">
            <w:pPr>
              <w:jc w:val="both"/>
            </w:pPr>
            <w:r w:rsidRPr="008B4FB4">
              <w:rPr>
                <w:lang w:val="en"/>
              </w:rPr>
              <w:t>495</w:t>
            </w:r>
          </w:p>
        </w:tc>
        <w:tc>
          <w:tcPr>
            <w:tcW w:w="2134" w:type="dxa"/>
            <w:tcBorders>
              <w:bottom w:val="single" w:sz="4" w:space="0" w:color="auto"/>
            </w:tcBorders>
            <w:shd w:val="clear" w:color="auto" w:fill="auto"/>
            <w:noWrap/>
            <w:vAlign w:val="center"/>
            <w:hideMark/>
          </w:tcPr>
          <w:p w14:paraId="594A26AC" w14:textId="77777777" w:rsidR="008B4FB4" w:rsidRPr="008B4FB4" w:rsidRDefault="008B4FB4" w:rsidP="00C654A3">
            <w:pPr>
              <w:jc w:val="both"/>
            </w:pPr>
            <w:r w:rsidRPr="008B4FB4">
              <w:rPr>
                <w:lang w:val="en"/>
              </w:rPr>
              <w:t>40.9</w:t>
            </w:r>
          </w:p>
        </w:tc>
      </w:tr>
      <w:tr w:rsidR="008B4FB4" w:rsidRPr="008B4FB4" w14:paraId="6AB4C6B1" w14:textId="77777777" w:rsidTr="002B4CEF">
        <w:trPr>
          <w:trHeight w:val="20"/>
        </w:trPr>
        <w:tc>
          <w:tcPr>
            <w:tcW w:w="5247" w:type="dxa"/>
            <w:tcBorders>
              <w:top w:val="single" w:sz="4" w:space="0" w:color="auto"/>
              <w:bottom w:val="nil"/>
            </w:tcBorders>
            <w:shd w:val="clear" w:color="auto" w:fill="auto"/>
            <w:noWrap/>
            <w:vAlign w:val="bottom"/>
            <w:hideMark/>
          </w:tcPr>
          <w:p w14:paraId="6AB0AF16" w14:textId="77777777" w:rsidR="008B4FB4" w:rsidRPr="008B4FB4" w:rsidRDefault="008B4FB4" w:rsidP="00C654A3">
            <w:pPr>
              <w:jc w:val="both"/>
              <w:rPr>
                <w:b/>
                <w:bCs/>
              </w:rPr>
            </w:pPr>
            <w:r w:rsidRPr="008B4FB4">
              <w:rPr>
                <w:b/>
                <w:bCs/>
                <w:lang w:val="en"/>
              </w:rPr>
              <w:t xml:space="preserve">Diastolic Blood </w:t>
            </w:r>
            <w:r w:rsidRPr="008B4FB4">
              <w:rPr>
                <w:lang w:val="en"/>
              </w:rPr>
              <w:t>Pressure</w:t>
            </w:r>
          </w:p>
        </w:tc>
        <w:tc>
          <w:tcPr>
            <w:tcW w:w="2371" w:type="dxa"/>
            <w:tcBorders>
              <w:top w:val="single" w:sz="4" w:space="0" w:color="auto"/>
              <w:bottom w:val="nil"/>
            </w:tcBorders>
            <w:shd w:val="clear" w:color="auto" w:fill="auto"/>
            <w:noWrap/>
            <w:vAlign w:val="center"/>
            <w:hideMark/>
          </w:tcPr>
          <w:p w14:paraId="1739BE9A"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1D51EB18" w14:textId="77777777" w:rsidR="008B4FB4" w:rsidRPr="008B4FB4" w:rsidRDefault="008B4FB4" w:rsidP="00C654A3">
            <w:pPr>
              <w:jc w:val="both"/>
              <w:rPr>
                <w:b/>
                <w:bCs/>
              </w:rPr>
            </w:pPr>
            <w:r w:rsidRPr="008B4FB4">
              <w:rPr>
                <w:b/>
                <w:bCs/>
              </w:rPr>
              <w:t> </w:t>
            </w:r>
          </w:p>
        </w:tc>
      </w:tr>
      <w:tr w:rsidR="008B4FB4" w:rsidRPr="008B4FB4" w14:paraId="1E89F0F1" w14:textId="77777777" w:rsidTr="002B4CEF">
        <w:trPr>
          <w:trHeight w:val="20"/>
        </w:trPr>
        <w:tc>
          <w:tcPr>
            <w:tcW w:w="5247" w:type="dxa"/>
            <w:tcBorders>
              <w:top w:val="nil"/>
            </w:tcBorders>
            <w:shd w:val="clear" w:color="auto" w:fill="auto"/>
            <w:noWrap/>
            <w:vAlign w:val="bottom"/>
            <w:hideMark/>
          </w:tcPr>
          <w:p w14:paraId="34375F60" w14:textId="77777777" w:rsidR="008B4FB4" w:rsidRPr="008B4FB4" w:rsidRDefault="008B4FB4" w:rsidP="00C654A3">
            <w:pPr>
              <w:jc w:val="both"/>
            </w:pPr>
            <w:r w:rsidRPr="008B4FB4">
              <w:rPr>
                <w:lang w:val="en"/>
              </w:rPr>
              <w:t>Risky</w:t>
            </w:r>
          </w:p>
        </w:tc>
        <w:tc>
          <w:tcPr>
            <w:tcW w:w="2371" w:type="dxa"/>
            <w:tcBorders>
              <w:top w:val="nil"/>
            </w:tcBorders>
            <w:shd w:val="clear" w:color="auto" w:fill="auto"/>
            <w:noWrap/>
            <w:vAlign w:val="center"/>
            <w:hideMark/>
          </w:tcPr>
          <w:p w14:paraId="4B52AF01" w14:textId="77777777" w:rsidR="008B4FB4" w:rsidRPr="008B4FB4" w:rsidRDefault="008B4FB4" w:rsidP="00C654A3">
            <w:pPr>
              <w:jc w:val="both"/>
            </w:pPr>
            <w:r w:rsidRPr="008B4FB4">
              <w:rPr>
                <w:lang w:val="en"/>
              </w:rPr>
              <w:t>687</w:t>
            </w:r>
          </w:p>
        </w:tc>
        <w:tc>
          <w:tcPr>
            <w:tcW w:w="2134" w:type="dxa"/>
            <w:tcBorders>
              <w:top w:val="nil"/>
            </w:tcBorders>
            <w:shd w:val="clear" w:color="auto" w:fill="auto"/>
            <w:noWrap/>
            <w:vAlign w:val="center"/>
            <w:hideMark/>
          </w:tcPr>
          <w:p w14:paraId="3E109DFE" w14:textId="77777777" w:rsidR="008B4FB4" w:rsidRPr="008B4FB4" w:rsidRDefault="008B4FB4" w:rsidP="00C654A3">
            <w:pPr>
              <w:jc w:val="both"/>
            </w:pPr>
            <w:r w:rsidRPr="008B4FB4">
              <w:rPr>
                <w:lang w:val="en"/>
              </w:rPr>
              <w:t>56.8</w:t>
            </w:r>
          </w:p>
        </w:tc>
      </w:tr>
      <w:tr w:rsidR="008B4FB4" w:rsidRPr="008B4FB4" w14:paraId="79AC0EAB" w14:textId="77777777" w:rsidTr="002B4CEF">
        <w:trPr>
          <w:trHeight w:val="20"/>
        </w:trPr>
        <w:tc>
          <w:tcPr>
            <w:tcW w:w="5247" w:type="dxa"/>
            <w:tcBorders>
              <w:bottom w:val="single" w:sz="4" w:space="0" w:color="auto"/>
            </w:tcBorders>
            <w:shd w:val="clear" w:color="auto" w:fill="auto"/>
            <w:noWrap/>
            <w:vAlign w:val="bottom"/>
            <w:hideMark/>
          </w:tcPr>
          <w:p w14:paraId="2CED14F5"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1E49D8D1" w14:textId="77777777" w:rsidR="008B4FB4" w:rsidRPr="008B4FB4" w:rsidRDefault="008B4FB4" w:rsidP="00C654A3">
            <w:pPr>
              <w:jc w:val="both"/>
            </w:pPr>
            <w:r w:rsidRPr="008B4FB4">
              <w:rPr>
                <w:lang w:val="en"/>
              </w:rPr>
              <w:t>523</w:t>
            </w:r>
          </w:p>
        </w:tc>
        <w:tc>
          <w:tcPr>
            <w:tcW w:w="2134" w:type="dxa"/>
            <w:tcBorders>
              <w:bottom w:val="single" w:sz="4" w:space="0" w:color="auto"/>
            </w:tcBorders>
            <w:shd w:val="clear" w:color="auto" w:fill="auto"/>
            <w:noWrap/>
            <w:vAlign w:val="center"/>
            <w:hideMark/>
          </w:tcPr>
          <w:p w14:paraId="120F8D4A" w14:textId="77777777" w:rsidR="008B4FB4" w:rsidRPr="008B4FB4" w:rsidRDefault="008B4FB4" w:rsidP="00C654A3">
            <w:pPr>
              <w:jc w:val="both"/>
            </w:pPr>
            <w:r w:rsidRPr="008B4FB4">
              <w:rPr>
                <w:lang w:val="en"/>
              </w:rPr>
              <w:t>43.2</w:t>
            </w:r>
          </w:p>
        </w:tc>
      </w:tr>
      <w:tr w:rsidR="008B4FB4" w:rsidRPr="008B4FB4" w14:paraId="3BC2836B" w14:textId="77777777" w:rsidTr="002B4CEF">
        <w:trPr>
          <w:trHeight w:val="20"/>
        </w:trPr>
        <w:tc>
          <w:tcPr>
            <w:tcW w:w="5247" w:type="dxa"/>
            <w:tcBorders>
              <w:top w:val="single" w:sz="4" w:space="0" w:color="auto"/>
              <w:bottom w:val="nil"/>
            </w:tcBorders>
            <w:shd w:val="clear" w:color="auto" w:fill="auto"/>
            <w:noWrap/>
            <w:vAlign w:val="bottom"/>
            <w:hideMark/>
          </w:tcPr>
          <w:p w14:paraId="58BBBE90" w14:textId="77777777" w:rsidR="008B4FB4" w:rsidRPr="008B4FB4" w:rsidRDefault="008B4FB4" w:rsidP="00C654A3">
            <w:pPr>
              <w:jc w:val="both"/>
              <w:rPr>
                <w:b/>
                <w:bCs/>
              </w:rPr>
            </w:pPr>
            <w:r w:rsidRPr="008B4FB4">
              <w:rPr>
                <w:b/>
                <w:bCs/>
              </w:rPr>
              <w:t>BMI</w:t>
            </w:r>
          </w:p>
        </w:tc>
        <w:tc>
          <w:tcPr>
            <w:tcW w:w="2371" w:type="dxa"/>
            <w:tcBorders>
              <w:top w:val="single" w:sz="4" w:space="0" w:color="auto"/>
              <w:bottom w:val="nil"/>
            </w:tcBorders>
            <w:shd w:val="clear" w:color="auto" w:fill="auto"/>
            <w:noWrap/>
            <w:vAlign w:val="center"/>
            <w:hideMark/>
          </w:tcPr>
          <w:p w14:paraId="358A91AD" w14:textId="77777777" w:rsidR="008B4FB4" w:rsidRPr="008B4FB4" w:rsidRDefault="008B4FB4" w:rsidP="00C654A3">
            <w:pPr>
              <w:jc w:val="both"/>
              <w:rPr>
                <w:b/>
                <w:bCs/>
              </w:rPr>
            </w:pPr>
            <w:r w:rsidRPr="008B4FB4">
              <w:rPr>
                <w:b/>
                <w:bCs/>
              </w:rPr>
              <w:t> </w:t>
            </w:r>
          </w:p>
        </w:tc>
        <w:tc>
          <w:tcPr>
            <w:tcW w:w="2134" w:type="dxa"/>
            <w:tcBorders>
              <w:top w:val="single" w:sz="4" w:space="0" w:color="auto"/>
              <w:bottom w:val="nil"/>
            </w:tcBorders>
            <w:shd w:val="clear" w:color="auto" w:fill="auto"/>
            <w:noWrap/>
            <w:vAlign w:val="center"/>
            <w:hideMark/>
          </w:tcPr>
          <w:p w14:paraId="20035AE3" w14:textId="77777777" w:rsidR="008B4FB4" w:rsidRPr="008B4FB4" w:rsidRDefault="008B4FB4" w:rsidP="00C654A3">
            <w:pPr>
              <w:jc w:val="both"/>
              <w:rPr>
                <w:b/>
                <w:bCs/>
              </w:rPr>
            </w:pPr>
            <w:r w:rsidRPr="008B4FB4">
              <w:rPr>
                <w:b/>
                <w:bCs/>
              </w:rPr>
              <w:t> </w:t>
            </w:r>
          </w:p>
        </w:tc>
      </w:tr>
      <w:tr w:rsidR="008B4FB4" w:rsidRPr="008B4FB4" w14:paraId="3EEACCE9" w14:textId="77777777" w:rsidTr="002B4CEF">
        <w:trPr>
          <w:trHeight w:val="20"/>
        </w:trPr>
        <w:tc>
          <w:tcPr>
            <w:tcW w:w="5247" w:type="dxa"/>
            <w:tcBorders>
              <w:top w:val="nil"/>
            </w:tcBorders>
            <w:shd w:val="clear" w:color="auto" w:fill="auto"/>
            <w:noWrap/>
            <w:vAlign w:val="bottom"/>
            <w:hideMark/>
          </w:tcPr>
          <w:p w14:paraId="30386841" w14:textId="77777777" w:rsidR="008B4FB4" w:rsidRPr="008B4FB4" w:rsidRDefault="008B4FB4" w:rsidP="00C654A3">
            <w:pPr>
              <w:jc w:val="both"/>
            </w:pPr>
            <w:r w:rsidRPr="008B4FB4">
              <w:rPr>
                <w:lang w:val="en"/>
              </w:rPr>
              <w:t>Obesity</w:t>
            </w:r>
          </w:p>
        </w:tc>
        <w:tc>
          <w:tcPr>
            <w:tcW w:w="2371" w:type="dxa"/>
            <w:tcBorders>
              <w:top w:val="nil"/>
            </w:tcBorders>
            <w:shd w:val="clear" w:color="auto" w:fill="auto"/>
            <w:noWrap/>
            <w:vAlign w:val="center"/>
            <w:hideMark/>
          </w:tcPr>
          <w:p w14:paraId="7F044AEB" w14:textId="77777777" w:rsidR="008B4FB4" w:rsidRPr="008B4FB4" w:rsidRDefault="008B4FB4" w:rsidP="00C654A3">
            <w:pPr>
              <w:jc w:val="both"/>
            </w:pPr>
            <w:r w:rsidRPr="008B4FB4">
              <w:rPr>
                <w:lang w:val="en"/>
              </w:rPr>
              <w:t>429</w:t>
            </w:r>
          </w:p>
        </w:tc>
        <w:tc>
          <w:tcPr>
            <w:tcW w:w="2134" w:type="dxa"/>
            <w:tcBorders>
              <w:top w:val="nil"/>
            </w:tcBorders>
            <w:shd w:val="clear" w:color="auto" w:fill="auto"/>
            <w:noWrap/>
            <w:vAlign w:val="center"/>
            <w:hideMark/>
          </w:tcPr>
          <w:p w14:paraId="62BB1A3F" w14:textId="77777777" w:rsidR="008B4FB4" w:rsidRPr="008B4FB4" w:rsidRDefault="008B4FB4" w:rsidP="00C654A3">
            <w:pPr>
              <w:jc w:val="both"/>
            </w:pPr>
            <w:r w:rsidRPr="008B4FB4">
              <w:rPr>
                <w:lang w:val="en"/>
              </w:rPr>
              <w:t>35.5</w:t>
            </w:r>
          </w:p>
        </w:tc>
      </w:tr>
      <w:tr w:rsidR="008B4FB4" w:rsidRPr="008B4FB4" w14:paraId="6BDCF040" w14:textId="77777777" w:rsidTr="002B4CEF">
        <w:trPr>
          <w:trHeight w:val="20"/>
        </w:trPr>
        <w:tc>
          <w:tcPr>
            <w:tcW w:w="5247" w:type="dxa"/>
            <w:tcBorders>
              <w:bottom w:val="single" w:sz="4" w:space="0" w:color="auto"/>
            </w:tcBorders>
            <w:shd w:val="clear" w:color="auto" w:fill="auto"/>
            <w:noWrap/>
            <w:vAlign w:val="bottom"/>
            <w:hideMark/>
          </w:tcPr>
          <w:p w14:paraId="50C3E14F" w14:textId="77777777" w:rsidR="008B4FB4" w:rsidRPr="008B4FB4" w:rsidRDefault="008B4FB4" w:rsidP="00C654A3">
            <w:pPr>
              <w:jc w:val="both"/>
            </w:pPr>
            <w:r w:rsidRPr="008B4FB4">
              <w:rPr>
                <w:lang w:val="en"/>
              </w:rPr>
              <w:t>Normal</w:t>
            </w:r>
          </w:p>
        </w:tc>
        <w:tc>
          <w:tcPr>
            <w:tcW w:w="2371" w:type="dxa"/>
            <w:tcBorders>
              <w:bottom w:val="single" w:sz="4" w:space="0" w:color="auto"/>
            </w:tcBorders>
            <w:shd w:val="clear" w:color="auto" w:fill="auto"/>
            <w:noWrap/>
            <w:vAlign w:val="center"/>
            <w:hideMark/>
          </w:tcPr>
          <w:p w14:paraId="05A7654D" w14:textId="77777777" w:rsidR="008B4FB4" w:rsidRPr="008B4FB4" w:rsidRDefault="008B4FB4" w:rsidP="00C654A3">
            <w:pPr>
              <w:jc w:val="both"/>
            </w:pPr>
            <w:r w:rsidRPr="008B4FB4">
              <w:rPr>
                <w:lang w:val="en"/>
              </w:rPr>
              <w:t>781</w:t>
            </w:r>
          </w:p>
        </w:tc>
        <w:tc>
          <w:tcPr>
            <w:tcW w:w="2134" w:type="dxa"/>
            <w:tcBorders>
              <w:bottom w:val="single" w:sz="4" w:space="0" w:color="auto"/>
            </w:tcBorders>
            <w:shd w:val="clear" w:color="auto" w:fill="auto"/>
            <w:noWrap/>
            <w:vAlign w:val="center"/>
            <w:hideMark/>
          </w:tcPr>
          <w:p w14:paraId="01E5E709" w14:textId="77777777" w:rsidR="008B4FB4" w:rsidRPr="008B4FB4" w:rsidRDefault="008B4FB4" w:rsidP="00C654A3">
            <w:pPr>
              <w:jc w:val="both"/>
            </w:pPr>
            <w:r w:rsidRPr="008B4FB4">
              <w:rPr>
                <w:lang w:val="en"/>
              </w:rPr>
              <w:t>64.5</w:t>
            </w:r>
          </w:p>
        </w:tc>
      </w:tr>
    </w:tbl>
    <w:p w14:paraId="15F9B8FF" w14:textId="77777777" w:rsidR="008B4FB4" w:rsidRPr="008B4FB4" w:rsidRDefault="008B4FB4" w:rsidP="0097039D">
      <w:pPr>
        <w:spacing w:line="276" w:lineRule="auto"/>
        <w:jc w:val="both"/>
      </w:pPr>
    </w:p>
    <w:p w14:paraId="283ACEDA" w14:textId="77777777" w:rsidR="008B4FB4" w:rsidRPr="008B4FB4" w:rsidRDefault="008B4FB4" w:rsidP="0097039D">
      <w:pPr>
        <w:spacing w:line="276" w:lineRule="auto"/>
        <w:jc w:val="both"/>
        <w:rPr>
          <w:szCs w:val="24"/>
        </w:rPr>
      </w:pPr>
      <w:r w:rsidRPr="008B4FB4">
        <w:rPr>
          <w:szCs w:val="24"/>
          <w:lang w:val="en"/>
        </w:rPr>
        <w:tab/>
        <w:t>Table 1 shows that the average age of respondents was 43.3 years. The majority of respondents were female (65.4%), have a low level of education (60.7%), and earn below the city minimum wage Bogor City (95.4%). The majority of respondents had normal metabolic syndrome test results, only on systolic blood pressure measurements (59.1%) and diastolic (56.8%) with risky outcomes.</w:t>
      </w:r>
    </w:p>
    <w:p w14:paraId="731E4E38" w14:textId="77777777" w:rsidR="008B4FB4" w:rsidRPr="008B4FB4" w:rsidRDefault="008B4FB4" w:rsidP="0097039D">
      <w:pPr>
        <w:spacing w:line="276" w:lineRule="auto"/>
        <w:jc w:val="both"/>
      </w:pPr>
    </w:p>
    <w:p w14:paraId="6CABB00E" w14:textId="77777777" w:rsidR="008B4FB4" w:rsidRPr="008B4FB4" w:rsidRDefault="008B4FB4" w:rsidP="0097039D">
      <w:pPr>
        <w:spacing w:line="276" w:lineRule="auto"/>
        <w:jc w:val="both"/>
        <w:rPr>
          <w:b/>
          <w:bCs/>
        </w:rPr>
      </w:pPr>
      <w:r w:rsidRPr="008B4FB4">
        <w:rPr>
          <w:b/>
          <w:bCs/>
          <w:lang w:val="en"/>
        </w:rPr>
        <w:t>Table 2. Associated Risk Factors of Stroke</w:t>
      </w:r>
    </w:p>
    <w:tbl>
      <w:tblPr>
        <w:tblW w:w="9887" w:type="dxa"/>
        <w:tblBorders>
          <w:top w:val="single" w:sz="4" w:space="0" w:color="auto"/>
          <w:bottom w:val="single" w:sz="4" w:space="0" w:color="auto"/>
        </w:tblBorders>
        <w:tblLayout w:type="fixed"/>
        <w:tblLook w:val="04A0" w:firstRow="1" w:lastRow="0" w:firstColumn="1" w:lastColumn="0" w:noHBand="0" w:noVBand="1"/>
      </w:tblPr>
      <w:tblGrid>
        <w:gridCol w:w="3106"/>
        <w:gridCol w:w="710"/>
        <w:gridCol w:w="766"/>
        <w:gridCol w:w="766"/>
        <w:gridCol w:w="766"/>
        <w:gridCol w:w="1045"/>
        <w:gridCol w:w="885"/>
        <w:gridCol w:w="1843"/>
      </w:tblGrid>
      <w:tr w:rsidR="008B4FB4" w:rsidRPr="008B4FB4" w14:paraId="2B8020B8" w14:textId="77777777" w:rsidTr="005B4626">
        <w:trPr>
          <w:trHeight w:val="20"/>
          <w:tblHeader/>
        </w:trPr>
        <w:tc>
          <w:tcPr>
            <w:tcW w:w="3106" w:type="dxa"/>
            <w:vMerge w:val="restart"/>
            <w:shd w:val="clear" w:color="auto" w:fill="auto"/>
            <w:vAlign w:val="center"/>
            <w:hideMark/>
          </w:tcPr>
          <w:p w14:paraId="118DF0B7" w14:textId="77777777" w:rsidR="008B4FB4" w:rsidRPr="008B4FB4" w:rsidRDefault="008B4FB4" w:rsidP="002B4CEF">
            <w:pPr>
              <w:rPr>
                <w:b/>
                <w:bCs/>
                <w:color w:val="000000"/>
              </w:rPr>
            </w:pPr>
            <w:r w:rsidRPr="008B4FB4">
              <w:rPr>
                <w:b/>
                <w:bCs/>
                <w:color w:val="000000"/>
                <w:lang w:val="en"/>
              </w:rPr>
              <w:t>Variable</w:t>
            </w:r>
          </w:p>
        </w:tc>
        <w:tc>
          <w:tcPr>
            <w:tcW w:w="1476" w:type="dxa"/>
            <w:gridSpan w:val="2"/>
            <w:shd w:val="clear" w:color="auto" w:fill="auto"/>
            <w:noWrap/>
            <w:vAlign w:val="bottom"/>
            <w:hideMark/>
          </w:tcPr>
          <w:p w14:paraId="0D58580D" w14:textId="77777777" w:rsidR="008B4FB4" w:rsidRPr="008B4FB4" w:rsidRDefault="008B4FB4" w:rsidP="00E02357">
            <w:pPr>
              <w:jc w:val="center"/>
              <w:rPr>
                <w:b/>
                <w:bCs/>
                <w:color w:val="000000"/>
              </w:rPr>
            </w:pPr>
            <w:r w:rsidRPr="008B4FB4">
              <w:rPr>
                <w:b/>
                <w:bCs/>
                <w:color w:val="000000"/>
                <w:lang w:val="en"/>
              </w:rPr>
              <w:t>Stroke</w:t>
            </w:r>
          </w:p>
        </w:tc>
        <w:tc>
          <w:tcPr>
            <w:tcW w:w="1532" w:type="dxa"/>
            <w:gridSpan w:val="2"/>
            <w:shd w:val="clear" w:color="auto" w:fill="auto"/>
            <w:noWrap/>
            <w:vAlign w:val="bottom"/>
            <w:hideMark/>
          </w:tcPr>
          <w:p w14:paraId="1136ADB6" w14:textId="77777777" w:rsidR="008B4FB4" w:rsidRPr="008B4FB4" w:rsidRDefault="008B4FB4" w:rsidP="00E02357">
            <w:pPr>
              <w:jc w:val="center"/>
              <w:rPr>
                <w:b/>
                <w:bCs/>
                <w:color w:val="000000"/>
              </w:rPr>
            </w:pPr>
            <w:r w:rsidRPr="008B4FB4">
              <w:rPr>
                <w:b/>
                <w:bCs/>
                <w:color w:val="000000"/>
                <w:lang w:val="en"/>
              </w:rPr>
              <w:t>Not</w:t>
            </w:r>
          </w:p>
        </w:tc>
        <w:tc>
          <w:tcPr>
            <w:tcW w:w="1045" w:type="dxa"/>
            <w:vMerge w:val="restart"/>
            <w:vAlign w:val="center"/>
          </w:tcPr>
          <w:p w14:paraId="79B2E16D" w14:textId="77777777" w:rsidR="008B4FB4" w:rsidRPr="008B4FB4" w:rsidRDefault="008B4FB4" w:rsidP="002B4CEF">
            <w:pPr>
              <w:jc w:val="center"/>
              <w:rPr>
                <w:b/>
                <w:bCs/>
                <w:color w:val="000000"/>
              </w:rPr>
            </w:pPr>
            <w:r w:rsidRPr="008B4FB4">
              <w:rPr>
                <w:b/>
                <w:bCs/>
                <w:color w:val="000000"/>
                <w:lang w:val="en"/>
              </w:rPr>
              <w:t>P-Value</w:t>
            </w:r>
          </w:p>
        </w:tc>
        <w:tc>
          <w:tcPr>
            <w:tcW w:w="885" w:type="dxa"/>
            <w:vMerge w:val="restart"/>
            <w:vAlign w:val="center"/>
          </w:tcPr>
          <w:p w14:paraId="5E7F0948" w14:textId="77777777" w:rsidR="008B4FB4" w:rsidRPr="008B4FB4" w:rsidRDefault="008B4FB4" w:rsidP="002B4CEF">
            <w:pPr>
              <w:jc w:val="center"/>
              <w:rPr>
                <w:b/>
                <w:bCs/>
                <w:color w:val="000000"/>
              </w:rPr>
            </w:pPr>
            <w:r w:rsidRPr="008B4FB4">
              <w:rPr>
                <w:b/>
                <w:bCs/>
                <w:color w:val="000000"/>
                <w:lang w:val="en"/>
              </w:rPr>
              <w:t>OR</w:t>
            </w:r>
          </w:p>
        </w:tc>
        <w:tc>
          <w:tcPr>
            <w:tcW w:w="1843" w:type="dxa"/>
            <w:vMerge w:val="restart"/>
            <w:vAlign w:val="center"/>
          </w:tcPr>
          <w:p w14:paraId="4A940492" w14:textId="77777777" w:rsidR="008B4FB4" w:rsidRPr="008B4FB4" w:rsidRDefault="008B4FB4" w:rsidP="002B4CEF">
            <w:pPr>
              <w:jc w:val="center"/>
              <w:rPr>
                <w:b/>
                <w:bCs/>
                <w:color w:val="000000"/>
              </w:rPr>
            </w:pPr>
            <w:r w:rsidRPr="008B4FB4">
              <w:rPr>
                <w:b/>
                <w:bCs/>
                <w:color w:val="000000"/>
                <w:lang w:val="en"/>
              </w:rPr>
              <w:t>CI 95%</w:t>
            </w:r>
          </w:p>
        </w:tc>
      </w:tr>
      <w:tr w:rsidR="008B4FB4" w:rsidRPr="008B4FB4" w14:paraId="53AFDAB0" w14:textId="77777777" w:rsidTr="005B4626">
        <w:trPr>
          <w:trHeight w:val="20"/>
          <w:tblHeader/>
        </w:trPr>
        <w:tc>
          <w:tcPr>
            <w:tcW w:w="3106" w:type="dxa"/>
            <w:vMerge/>
            <w:tcBorders>
              <w:bottom w:val="single" w:sz="4" w:space="0" w:color="auto"/>
            </w:tcBorders>
            <w:shd w:val="clear" w:color="auto" w:fill="auto"/>
            <w:vAlign w:val="bottom"/>
          </w:tcPr>
          <w:p w14:paraId="6D73F7DA" w14:textId="77777777" w:rsidR="008B4FB4" w:rsidRPr="008B4FB4" w:rsidRDefault="008B4FB4" w:rsidP="00E02357">
            <w:pPr>
              <w:rPr>
                <w:b/>
                <w:bCs/>
                <w:color w:val="000000"/>
              </w:rPr>
            </w:pPr>
          </w:p>
        </w:tc>
        <w:tc>
          <w:tcPr>
            <w:tcW w:w="710" w:type="dxa"/>
            <w:tcBorders>
              <w:bottom w:val="single" w:sz="4" w:space="0" w:color="auto"/>
            </w:tcBorders>
            <w:shd w:val="clear" w:color="auto" w:fill="auto"/>
            <w:noWrap/>
            <w:vAlign w:val="bottom"/>
          </w:tcPr>
          <w:p w14:paraId="14F84B34" w14:textId="77777777" w:rsidR="008B4FB4" w:rsidRPr="008B4FB4" w:rsidRDefault="008B4FB4" w:rsidP="00E02357">
            <w:pPr>
              <w:jc w:val="center"/>
              <w:rPr>
                <w:b/>
                <w:bCs/>
                <w:color w:val="000000"/>
              </w:rPr>
            </w:pPr>
            <w:r w:rsidRPr="008B4FB4">
              <w:rPr>
                <w:b/>
                <w:bCs/>
                <w:color w:val="000000"/>
                <w:lang w:val="en"/>
              </w:rPr>
              <w:t>n</w:t>
            </w:r>
          </w:p>
        </w:tc>
        <w:tc>
          <w:tcPr>
            <w:tcW w:w="766" w:type="dxa"/>
            <w:tcBorders>
              <w:bottom w:val="single" w:sz="4" w:space="0" w:color="auto"/>
            </w:tcBorders>
            <w:shd w:val="clear" w:color="auto" w:fill="auto"/>
            <w:noWrap/>
            <w:vAlign w:val="bottom"/>
          </w:tcPr>
          <w:p w14:paraId="1469B7AD" w14:textId="77777777" w:rsidR="008B4FB4" w:rsidRPr="008B4FB4" w:rsidRDefault="008B4FB4" w:rsidP="00E02357">
            <w:pPr>
              <w:jc w:val="center"/>
              <w:rPr>
                <w:b/>
                <w:bCs/>
                <w:color w:val="000000"/>
              </w:rPr>
            </w:pPr>
            <w:r w:rsidRPr="008B4FB4">
              <w:rPr>
                <w:b/>
                <w:bCs/>
                <w:color w:val="000000"/>
                <w:lang w:val="en"/>
              </w:rPr>
              <w:t>%</w:t>
            </w:r>
          </w:p>
        </w:tc>
        <w:tc>
          <w:tcPr>
            <w:tcW w:w="766" w:type="dxa"/>
            <w:tcBorders>
              <w:bottom w:val="single" w:sz="4" w:space="0" w:color="auto"/>
            </w:tcBorders>
            <w:shd w:val="clear" w:color="auto" w:fill="auto"/>
            <w:noWrap/>
            <w:vAlign w:val="bottom"/>
          </w:tcPr>
          <w:p w14:paraId="36B81AA6" w14:textId="77777777" w:rsidR="008B4FB4" w:rsidRPr="008B4FB4" w:rsidRDefault="008B4FB4" w:rsidP="00E02357">
            <w:pPr>
              <w:jc w:val="center"/>
              <w:rPr>
                <w:b/>
                <w:bCs/>
                <w:color w:val="000000"/>
              </w:rPr>
            </w:pPr>
            <w:r w:rsidRPr="008B4FB4">
              <w:rPr>
                <w:b/>
                <w:bCs/>
                <w:color w:val="000000"/>
                <w:lang w:val="en"/>
              </w:rPr>
              <w:t>n</w:t>
            </w:r>
          </w:p>
        </w:tc>
        <w:tc>
          <w:tcPr>
            <w:tcW w:w="766" w:type="dxa"/>
            <w:tcBorders>
              <w:bottom w:val="single" w:sz="4" w:space="0" w:color="auto"/>
            </w:tcBorders>
            <w:shd w:val="clear" w:color="auto" w:fill="auto"/>
            <w:noWrap/>
            <w:vAlign w:val="bottom"/>
          </w:tcPr>
          <w:p w14:paraId="4FE331FD" w14:textId="77777777" w:rsidR="008B4FB4" w:rsidRPr="008B4FB4" w:rsidRDefault="008B4FB4" w:rsidP="00E02357">
            <w:pPr>
              <w:jc w:val="center"/>
              <w:rPr>
                <w:b/>
                <w:bCs/>
                <w:color w:val="000000"/>
              </w:rPr>
            </w:pPr>
            <w:r w:rsidRPr="008B4FB4">
              <w:rPr>
                <w:b/>
                <w:bCs/>
                <w:color w:val="000000"/>
                <w:lang w:val="en"/>
              </w:rPr>
              <w:t>%</w:t>
            </w:r>
          </w:p>
        </w:tc>
        <w:tc>
          <w:tcPr>
            <w:tcW w:w="1045" w:type="dxa"/>
            <w:vMerge/>
            <w:tcBorders>
              <w:bottom w:val="single" w:sz="4" w:space="0" w:color="auto"/>
            </w:tcBorders>
          </w:tcPr>
          <w:p w14:paraId="5A018F06" w14:textId="77777777" w:rsidR="008B4FB4" w:rsidRPr="008B4FB4" w:rsidRDefault="008B4FB4" w:rsidP="00E02357">
            <w:pPr>
              <w:jc w:val="center"/>
              <w:rPr>
                <w:b/>
                <w:bCs/>
                <w:color w:val="000000"/>
              </w:rPr>
            </w:pPr>
          </w:p>
        </w:tc>
        <w:tc>
          <w:tcPr>
            <w:tcW w:w="885" w:type="dxa"/>
            <w:vMerge/>
            <w:tcBorders>
              <w:bottom w:val="single" w:sz="4" w:space="0" w:color="auto"/>
            </w:tcBorders>
          </w:tcPr>
          <w:p w14:paraId="08D8CA66" w14:textId="77777777" w:rsidR="008B4FB4" w:rsidRPr="008B4FB4" w:rsidRDefault="008B4FB4" w:rsidP="00E02357">
            <w:pPr>
              <w:jc w:val="center"/>
              <w:rPr>
                <w:b/>
                <w:bCs/>
                <w:color w:val="000000"/>
              </w:rPr>
            </w:pPr>
          </w:p>
        </w:tc>
        <w:tc>
          <w:tcPr>
            <w:tcW w:w="1843" w:type="dxa"/>
            <w:vMerge/>
            <w:tcBorders>
              <w:bottom w:val="single" w:sz="4" w:space="0" w:color="auto"/>
            </w:tcBorders>
          </w:tcPr>
          <w:p w14:paraId="7FD97023" w14:textId="77777777" w:rsidR="008B4FB4" w:rsidRPr="008B4FB4" w:rsidRDefault="008B4FB4" w:rsidP="00E02357">
            <w:pPr>
              <w:jc w:val="center"/>
              <w:rPr>
                <w:b/>
                <w:bCs/>
                <w:color w:val="000000"/>
              </w:rPr>
            </w:pPr>
          </w:p>
        </w:tc>
      </w:tr>
      <w:tr w:rsidR="008B4FB4" w:rsidRPr="008B4FB4" w14:paraId="572C05D7" w14:textId="77777777" w:rsidTr="005B4626">
        <w:trPr>
          <w:trHeight w:val="20"/>
        </w:trPr>
        <w:tc>
          <w:tcPr>
            <w:tcW w:w="3106" w:type="dxa"/>
            <w:tcBorders>
              <w:top w:val="single" w:sz="4" w:space="0" w:color="auto"/>
              <w:bottom w:val="nil"/>
            </w:tcBorders>
            <w:shd w:val="clear" w:color="auto" w:fill="auto"/>
            <w:vAlign w:val="bottom"/>
          </w:tcPr>
          <w:p w14:paraId="1C65620A" w14:textId="77777777" w:rsidR="008B4FB4" w:rsidRPr="008B4FB4" w:rsidRDefault="008B4FB4" w:rsidP="00E02357">
            <w:pPr>
              <w:rPr>
                <w:b/>
                <w:bCs/>
                <w:color w:val="000000"/>
              </w:rPr>
            </w:pPr>
            <w:r w:rsidRPr="008B4FB4">
              <w:rPr>
                <w:b/>
                <w:bCs/>
                <w:color w:val="000000"/>
                <w:lang w:val="en"/>
              </w:rPr>
              <w:t>Gender</w:t>
            </w:r>
          </w:p>
        </w:tc>
        <w:tc>
          <w:tcPr>
            <w:tcW w:w="710" w:type="dxa"/>
            <w:tcBorders>
              <w:top w:val="single" w:sz="4" w:space="0" w:color="auto"/>
              <w:bottom w:val="nil"/>
            </w:tcBorders>
            <w:shd w:val="clear" w:color="auto" w:fill="auto"/>
            <w:noWrap/>
            <w:vAlign w:val="bottom"/>
          </w:tcPr>
          <w:p w14:paraId="786ED3C6"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bottom"/>
          </w:tcPr>
          <w:p w14:paraId="4EBF5155"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bottom"/>
          </w:tcPr>
          <w:p w14:paraId="1CA01434"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bottom"/>
          </w:tcPr>
          <w:p w14:paraId="4433DF10" w14:textId="77777777" w:rsidR="008B4FB4" w:rsidRPr="008B4FB4" w:rsidRDefault="008B4FB4" w:rsidP="00E02357">
            <w:pPr>
              <w:jc w:val="center"/>
              <w:rPr>
                <w:b/>
                <w:bCs/>
                <w:color w:val="000000"/>
              </w:rPr>
            </w:pPr>
          </w:p>
        </w:tc>
        <w:tc>
          <w:tcPr>
            <w:tcW w:w="1045" w:type="dxa"/>
            <w:tcBorders>
              <w:top w:val="single" w:sz="4" w:space="0" w:color="auto"/>
              <w:bottom w:val="nil"/>
            </w:tcBorders>
          </w:tcPr>
          <w:p w14:paraId="1501504B" w14:textId="77777777" w:rsidR="008B4FB4" w:rsidRPr="008B4FB4" w:rsidRDefault="008B4FB4" w:rsidP="00E02357">
            <w:pPr>
              <w:jc w:val="center"/>
              <w:rPr>
                <w:b/>
                <w:bCs/>
                <w:color w:val="000000"/>
              </w:rPr>
            </w:pPr>
          </w:p>
        </w:tc>
        <w:tc>
          <w:tcPr>
            <w:tcW w:w="885" w:type="dxa"/>
            <w:tcBorders>
              <w:top w:val="single" w:sz="4" w:space="0" w:color="auto"/>
              <w:bottom w:val="nil"/>
            </w:tcBorders>
            <w:vAlign w:val="center"/>
          </w:tcPr>
          <w:p w14:paraId="6E71FACD"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25AF7519" w14:textId="77777777" w:rsidR="008B4FB4" w:rsidRPr="008B4FB4" w:rsidRDefault="008B4FB4" w:rsidP="0090246F">
            <w:pPr>
              <w:jc w:val="center"/>
              <w:rPr>
                <w:b/>
                <w:bCs/>
                <w:color w:val="000000"/>
              </w:rPr>
            </w:pPr>
          </w:p>
        </w:tc>
      </w:tr>
      <w:tr w:rsidR="008B4FB4" w:rsidRPr="008B4FB4" w14:paraId="08023513" w14:textId="77777777" w:rsidTr="005B4626">
        <w:trPr>
          <w:trHeight w:val="20"/>
        </w:trPr>
        <w:tc>
          <w:tcPr>
            <w:tcW w:w="3106" w:type="dxa"/>
            <w:tcBorders>
              <w:top w:val="nil"/>
            </w:tcBorders>
            <w:shd w:val="clear" w:color="auto" w:fill="auto"/>
            <w:noWrap/>
            <w:vAlign w:val="bottom"/>
            <w:hideMark/>
          </w:tcPr>
          <w:p w14:paraId="4EE8E711" w14:textId="77777777" w:rsidR="008B4FB4" w:rsidRPr="008B4FB4" w:rsidRDefault="008B4FB4" w:rsidP="00E02357">
            <w:pPr>
              <w:rPr>
                <w:color w:val="000000"/>
              </w:rPr>
            </w:pPr>
            <w:r w:rsidRPr="008B4FB4">
              <w:rPr>
                <w:color w:val="000000"/>
                <w:lang w:val="en"/>
              </w:rPr>
              <w:t>Man</w:t>
            </w:r>
          </w:p>
        </w:tc>
        <w:tc>
          <w:tcPr>
            <w:tcW w:w="710" w:type="dxa"/>
            <w:tcBorders>
              <w:top w:val="nil"/>
            </w:tcBorders>
            <w:shd w:val="clear" w:color="auto" w:fill="auto"/>
            <w:noWrap/>
            <w:vAlign w:val="center"/>
            <w:hideMark/>
          </w:tcPr>
          <w:p w14:paraId="57F54879" w14:textId="77777777" w:rsidR="008B4FB4" w:rsidRPr="008B4FB4" w:rsidRDefault="008B4FB4" w:rsidP="00E02357">
            <w:pPr>
              <w:jc w:val="center"/>
              <w:rPr>
                <w:color w:val="000000"/>
              </w:rPr>
            </w:pPr>
            <w:r w:rsidRPr="008B4FB4">
              <w:rPr>
                <w:color w:val="000000"/>
                <w:lang w:val="en"/>
              </w:rPr>
              <w:t>18</w:t>
            </w:r>
          </w:p>
        </w:tc>
        <w:tc>
          <w:tcPr>
            <w:tcW w:w="766" w:type="dxa"/>
            <w:tcBorders>
              <w:top w:val="nil"/>
            </w:tcBorders>
            <w:shd w:val="clear" w:color="auto" w:fill="auto"/>
            <w:noWrap/>
            <w:vAlign w:val="center"/>
            <w:hideMark/>
          </w:tcPr>
          <w:p w14:paraId="77EA26DD" w14:textId="77777777" w:rsidR="008B4FB4" w:rsidRPr="008B4FB4" w:rsidRDefault="008B4FB4" w:rsidP="00E02357">
            <w:pPr>
              <w:jc w:val="center"/>
              <w:rPr>
                <w:color w:val="000000"/>
              </w:rPr>
            </w:pPr>
            <w:r w:rsidRPr="008B4FB4">
              <w:rPr>
                <w:color w:val="000000"/>
                <w:lang w:val="en"/>
              </w:rPr>
              <w:t>4.30</w:t>
            </w:r>
          </w:p>
        </w:tc>
        <w:tc>
          <w:tcPr>
            <w:tcW w:w="766" w:type="dxa"/>
            <w:tcBorders>
              <w:top w:val="nil"/>
            </w:tcBorders>
            <w:shd w:val="clear" w:color="auto" w:fill="auto"/>
            <w:noWrap/>
            <w:vAlign w:val="center"/>
            <w:hideMark/>
          </w:tcPr>
          <w:p w14:paraId="6CE1F57A" w14:textId="77777777" w:rsidR="008B4FB4" w:rsidRPr="008B4FB4" w:rsidRDefault="008B4FB4" w:rsidP="00E02357">
            <w:pPr>
              <w:jc w:val="center"/>
              <w:rPr>
                <w:color w:val="000000"/>
              </w:rPr>
            </w:pPr>
            <w:r w:rsidRPr="008B4FB4">
              <w:rPr>
                <w:color w:val="000000"/>
                <w:lang w:val="en"/>
              </w:rPr>
              <w:t>401</w:t>
            </w:r>
          </w:p>
        </w:tc>
        <w:tc>
          <w:tcPr>
            <w:tcW w:w="766" w:type="dxa"/>
            <w:tcBorders>
              <w:top w:val="nil"/>
            </w:tcBorders>
            <w:shd w:val="clear" w:color="auto" w:fill="auto"/>
            <w:noWrap/>
            <w:vAlign w:val="center"/>
            <w:hideMark/>
          </w:tcPr>
          <w:p w14:paraId="339339A4" w14:textId="77777777" w:rsidR="008B4FB4" w:rsidRPr="008B4FB4" w:rsidRDefault="008B4FB4" w:rsidP="00E02357">
            <w:pPr>
              <w:jc w:val="center"/>
              <w:rPr>
                <w:color w:val="000000"/>
              </w:rPr>
            </w:pPr>
            <w:r w:rsidRPr="008B4FB4">
              <w:rPr>
                <w:color w:val="000000"/>
                <w:lang w:val="en"/>
              </w:rPr>
              <w:t>95.70</w:t>
            </w:r>
          </w:p>
        </w:tc>
        <w:tc>
          <w:tcPr>
            <w:tcW w:w="1045" w:type="dxa"/>
            <w:tcBorders>
              <w:top w:val="nil"/>
            </w:tcBorders>
          </w:tcPr>
          <w:p w14:paraId="321706D8" w14:textId="77777777" w:rsidR="008B4FB4" w:rsidRPr="008B4FB4" w:rsidRDefault="008B4FB4" w:rsidP="00E02357">
            <w:pPr>
              <w:jc w:val="center"/>
              <w:rPr>
                <w:color w:val="000000"/>
              </w:rPr>
            </w:pPr>
            <w:r w:rsidRPr="008B4FB4">
              <w:rPr>
                <w:color w:val="000000"/>
                <w:lang w:val="en"/>
              </w:rPr>
              <w:t>0.670</w:t>
            </w:r>
          </w:p>
        </w:tc>
        <w:tc>
          <w:tcPr>
            <w:tcW w:w="885" w:type="dxa"/>
            <w:tcBorders>
              <w:top w:val="nil"/>
            </w:tcBorders>
            <w:vAlign w:val="center"/>
          </w:tcPr>
          <w:p w14:paraId="386E6423" w14:textId="77777777" w:rsidR="008B4FB4" w:rsidRPr="008B4FB4" w:rsidRDefault="008B4FB4" w:rsidP="0090246F">
            <w:pPr>
              <w:jc w:val="center"/>
              <w:rPr>
                <w:color w:val="000000"/>
              </w:rPr>
            </w:pPr>
            <w:r w:rsidRPr="008B4FB4">
              <w:rPr>
                <w:color w:val="000000"/>
                <w:lang w:val="en"/>
              </w:rPr>
              <w:t>1.139</w:t>
            </w:r>
          </w:p>
        </w:tc>
        <w:tc>
          <w:tcPr>
            <w:tcW w:w="1843" w:type="dxa"/>
            <w:tcBorders>
              <w:top w:val="nil"/>
            </w:tcBorders>
            <w:vAlign w:val="center"/>
          </w:tcPr>
          <w:p w14:paraId="7E045A1E" w14:textId="77777777" w:rsidR="008B4FB4" w:rsidRPr="008B4FB4" w:rsidRDefault="008B4FB4" w:rsidP="0090246F">
            <w:pPr>
              <w:jc w:val="center"/>
              <w:rPr>
                <w:color w:val="000000"/>
              </w:rPr>
            </w:pPr>
            <w:r w:rsidRPr="008B4FB4">
              <w:rPr>
                <w:color w:val="000000"/>
                <w:lang w:val="en"/>
              </w:rPr>
              <w:t>0.627 – 2.068</w:t>
            </w:r>
          </w:p>
        </w:tc>
      </w:tr>
      <w:tr w:rsidR="008B4FB4" w:rsidRPr="008B4FB4" w14:paraId="0A79F384" w14:textId="77777777" w:rsidTr="005B4626">
        <w:trPr>
          <w:trHeight w:val="20"/>
        </w:trPr>
        <w:tc>
          <w:tcPr>
            <w:tcW w:w="3106" w:type="dxa"/>
            <w:tcBorders>
              <w:bottom w:val="single" w:sz="4" w:space="0" w:color="auto"/>
            </w:tcBorders>
            <w:shd w:val="clear" w:color="auto" w:fill="auto"/>
            <w:noWrap/>
            <w:vAlign w:val="bottom"/>
            <w:hideMark/>
          </w:tcPr>
          <w:p w14:paraId="57BADD43" w14:textId="77777777" w:rsidR="008B4FB4" w:rsidRPr="008B4FB4" w:rsidRDefault="008B4FB4" w:rsidP="00E02357">
            <w:pPr>
              <w:rPr>
                <w:color w:val="000000"/>
              </w:rPr>
            </w:pPr>
            <w:r w:rsidRPr="008B4FB4">
              <w:rPr>
                <w:color w:val="000000"/>
                <w:lang w:val="en"/>
              </w:rPr>
              <w:t>Woman</w:t>
            </w:r>
          </w:p>
        </w:tc>
        <w:tc>
          <w:tcPr>
            <w:tcW w:w="710" w:type="dxa"/>
            <w:tcBorders>
              <w:bottom w:val="single" w:sz="4" w:space="0" w:color="auto"/>
            </w:tcBorders>
            <w:shd w:val="clear" w:color="auto" w:fill="auto"/>
            <w:noWrap/>
            <w:vAlign w:val="center"/>
            <w:hideMark/>
          </w:tcPr>
          <w:p w14:paraId="36C7387E" w14:textId="77777777" w:rsidR="008B4FB4" w:rsidRPr="008B4FB4" w:rsidRDefault="008B4FB4" w:rsidP="00E02357">
            <w:pPr>
              <w:jc w:val="center"/>
              <w:rPr>
                <w:color w:val="000000"/>
              </w:rPr>
            </w:pPr>
            <w:r w:rsidRPr="008B4FB4">
              <w:rPr>
                <w:color w:val="000000"/>
                <w:lang w:val="en"/>
              </w:rPr>
              <w:t>30</w:t>
            </w:r>
          </w:p>
        </w:tc>
        <w:tc>
          <w:tcPr>
            <w:tcW w:w="766" w:type="dxa"/>
            <w:tcBorders>
              <w:bottom w:val="single" w:sz="4" w:space="0" w:color="auto"/>
            </w:tcBorders>
            <w:shd w:val="clear" w:color="auto" w:fill="auto"/>
            <w:noWrap/>
            <w:vAlign w:val="center"/>
            <w:hideMark/>
          </w:tcPr>
          <w:p w14:paraId="13CF1BDC" w14:textId="77777777" w:rsidR="008B4FB4" w:rsidRPr="008B4FB4" w:rsidRDefault="008B4FB4" w:rsidP="00E02357">
            <w:pPr>
              <w:jc w:val="center"/>
              <w:rPr>
                <w:color w:val="000000"/>
              </w:rPr>
            </w:pPr>
            <w:r w:rsidRPr="008B4FB4">
              <w:rPr>
                <w:color w:val="000000"/>
                <w:lang w:val="en"/>
              </w:rPr>
              <w:t>3.79</w:t>
            </w:r>
          </w:p>
        </w:tc>
        <w:tc>
          <w:tcPr>
            <w:tcW w:w="766" w:type="dxa"/>
            <w:tcBorders>
              <w:bottom w:val="single" w:sz="4" w:space="0" w:color="auto"/>
            </w:tcBorders>
            <w:shd w:val="clear" w:color="auto" w:fill="auto"/>
            <w:noWrap/>
            <w:vAlign w:val="center"/>
            <w:hideMark/>
          </w:tcPr>
          <w:p w14:paraId="0B6C717C" w14:textId="77777777" w:rsidR="008B4FB4" w:rsidRPr="008B4FB4" w:rsidRDefault="008B4FB4" w:rsidP="00E02357">
            <w:pPr>
              <w:jc w:val="center"/>
              <w:rPr>
                <w:color w:val="000000"/>
              </w:rPr>
            </w:pPr>
            <w:r w:rsidRPr="008B4FB4">
              <w:rPr>
                <w:color w:val="000000"/>
                <w:lang w:val="en"/>
              </w:rPr>
              <w:t>761</w:t>
            </w:r>
          </w:p>
        </w:tc>
        <w:tc>
          <w:tcPr>
            <w:tcW w:w="766" w:type="dxa"/>
            <w:tcBorders>
              <w:bottom w:val="single" w:sz="4" w:space="0" w:color="auto"/>
            </w:tcBorders>
            <w:shd w:val="clear" w:color="auto" w:fill="auto"/>
            <w:noWrap/>
            <w:vAlign w:val="center"/>
            <w:hideMark/>
          </w:tcPr>
          <w:p w14:paraId="5A4A5C1D" w14:textId="77777777" w:rsidR="008B4FB4" w:rsidRPr="008B4FB4" w:rsidRDefault="008B4FB4" w:rsidP="00E02357">
            <w:pPr>
              <w:jc w:val="center"/>
              <w:rPr>
                <w:color w:val="000000"/>
              </w:rPr>
            </w:pPr>
            <w:r w:rsidRPr="008B4FB4">
              <w:rPr>
                <w:color w:val="000000"/>
                <w:lang w:val="en"/>
              </w:rPr>
              <w:t>96.21</w:t>
            </w:r>
          </w:p>
        </w:tc>
        <w:tc>
          <w:tcPr>
            <w:tcW w:w="1045" w:type="dxa"/>
            <w:tcBorders>
              <w:bottom w:val="single" w:sz="4" w:space="0" w:color="auto"/>
            </w:tcBorders>
          </w:tcPr>
          <w:p w14:paraId="71BCBBF8" w14:textId="77777777" w:rsidR="008B4FB4" w:rsidRPr="008B4FB4" w:rsidRDefault="008B4FB4" w:rsidP="00E02357">
            <w:pPr>
              <w:jc w:val="center"/>
              <w:rPr>
                <w:color w:val="000000"/>
              </w:rPr>
            </w:pPr>
          </w:p>
        </w:tc>
        <w:tc>
          <w:tcPr>
            <w:tcW w:w="885" w:type="dxa"/>
            <w:tcBorders>
              <w:bottom w:val="single" w:sz="4" w:space="0" w:color="auto"/>
            </w:tcBorders>
            <w:vAlign w:val="center"/>
          </w:tcPr>
          <w:p w14:paraId="70840776" w14:textId="77777777" w:rsidR="008B4FB4" w:rsidRPr="008B4FB4" w:rsidRDefault="008B4FB4" w:rsidP="0090246F">
            <w:pPr>
              <w:jc w:val="center"/>
              <w:rPr>
                <w:color w:val="000000"/>
              </w:rPr>
            </w:pPr>
          </w:p>
        </w:tc>
        <w:tc>
          <w:tcPr>
            <w:tcW w:w="1843" w:type="dxa"/>
            <w:tcBorders>
              <w:bottom w:val="single" w:sz="4" w:space="0" w:color="auto"/>
            </w:tcBorders>
            <w:vAlign w:val="center"/>
          </w:tcPr>
          <w:p w14:paraId="141F2924" w14:textId="77777777" w:rsidR="008B4FB4" w:rsidRPr="008B4FB4" w:rsidRDefault="008B4FB4" w:rsidP="0090246F">
            <w:pPr>
              <w:jc w:val="center"/>
              <w:rPr>
                <w:color w:val="000000"/>
              </w:rPr>
            </w:pPr>
          </w:p>
        </w:tc>
      </w:tr>
      <w:tr w:rsidR="008B4FB4" w:rsidRPr="008B4FB4" w14:paraId="22C86B4F" w14:textId="77777777" w:rsidTr="005B4626">
        <w:trPr>
          <w:trHeight w:val="20"/>
        </w:trPr>
        <w:tc>
          <w:tcPr>
            <w:tcW w:w="3106" w:type="dxa"/>
            <w:tcBorders>
              <w:top w:val="single" w:sz="4" w:space="0" w:color="auto"/>
              <w:bottom w:val="nil"/>
            </w:tcBorders>
            <w:shd w:val="clear" w:color="auto" w:fill="auto"/>
            <w:noWrap/>
            <w:vAlign w:val="bottom"/>
            <w:hideMark/>
          </w:tcPr>
          <w:p w14:paraId="037FD397" w14:textId="77777777" w:rsidR="008B4FB4" w:rsidRPr="008B4FB4" w:rsidRDefault="008B4FB4" w:rsidP="00E02357">
            <w:pPr>
              <w:rPr>
                <w:b/>
                <w:bCs/>
                <w:color w:val="000000"/>
              </w:rPr>
            </w:pPr>
            <w:r w:rsidRPr="008B4FB4">
              <w:rPr>
                <w:b/>
                <w:bCs/>
                <w:color w:val="000000"/>
                <w:lang w:val="en"/>
              </w:rPr>
              <w:t>Education</w:t>
            </w:r>
          </w:p>
        </w:tc>
        <w:tc>
          <w:tcPr>
            <w:tcW w:w="710" w:type="dxa"/>
            <w:tcBorders>
              <w:top w:val="single" w:sz="4" w:space="0" w:color="auto"/>
              <w:bottom w:val="nil"/>
            </w:tcBorders>
            <w:shd w:val="clear" w:color="auto" w:fill="auto"/>
            <w:noWrap/>
            <w:vAlign w:val="center"/>
            <w:hideMark/>
          </w:tcPr>
          <w:p w14:paraId="59E50A04"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42BE2434"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137FB62F"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257CF401"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45A9966A"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15FC485C"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0A70C1D3" w14:textId="77777777" w:rsidR="008B4FB4" w:rsidRPr="008B4FB4" w:rsidRDefault="008B4FB4" w:rsidP="0090246F">
            <w:pPr>
              <w:jc w:val="center"/>
              <w:rPr>
                <w:b/>
                <w:bCs/>
                <w:color w:val="000000"/>
              </w:rPr>
            </w:pPr>
          </w:p>
        </w:tc>
      </w:tr>
      <w:tr w:rsidR="008B4FB4" w:rsidRPr="008B4FB4" w14:paraId="7585D3B9" w14:textId="77777777" w:rsidTr="005B4626">
        <w:trPr>
          <w:trHeight w:val="20"/>
        </w:trPr>
        <w:tc>
          <w:tcPr>
            <w:tcW w:w="3106" w:type="dxa"/>
            <w:tcBorders>
              <w:top w:val="nil"/>
            </w:tcBorders>
            <w:shd w:val="clear" w:color="auto" w:fill="auto"/>
            <w:noWrap/>
            <w:vAlign w:val="bottom"/>
            <w:hideMark/>
          </w:tcPr>
          <w:p w14:paraId="7DC97D41" w14:textId="77777777" w:rsidR="008B4FB4" w:rsidRPr="008B4FB4" w:rsidRDefault="008B4FB4" w:rsidP="0031740F">
            <w:pPr>
              <w:rPr>
                <w:color w:val="000000"/>
              </w:rPr>
            </w:pPr>
            <w:r w:rsidRPr="008B4FB4">
              <w:rPr>
                <w:lang w:val="en"/>
              </w:rPr>
              <w:t>Low (Not School - Junior school)</w:t>
            </w:r>
          </w:p>
        </w:tc>
        <w:tc>
          <w:tcPr>
            <w:tcW w:w="710" w:type="dxa"/>
            <w:tcBorders>
              <w:top w:val="nil"/>
            </w:tcBorders>
            <w:shd w:val="clear" w:color="auto" w:fill="auto"/>
            <w:noWrap/>
            <w:vAlign w:val="center"/>
            <w:hideMark/>
          </w:tcPr>
          <w:p w14:paraId="35D7125C" w14:textId="77777777" w:rsidR="008B4FB4" w:rsidRPr="008B4FB4" w:rsidRDefault="008B4FB4" w:rsidP="0031740F">
            <w:pPr>
              <w:jc w:val="center"/>
              <w:rPr>
                <w:color w:val="000000"/>
              </w:rPr>
            </w:pPr>
            <w:r w:rsidRPr="008B4FB4">
              <w:rPr>
                <w:color w:val="000000"/>
                <w:lang w:val="en"/>
              </w:rPr>
              <w:t>35</w:t>
            </w:r>
          </w:p>
        </w:tc>
        <w:tc>
          <w:tcPr>
            <w:tcW w:w="766" w:type="dxa"/>
            <w:tcBorders>
              <w:top w:val="nil"/>
            </w:tcBorders>
            <w:shd w:val="clear" w:color="auto" w:fill="auto"/>
            <w:noWrap/>
            <w:vAlign w:val="center"/>
            <w:hideMark/>
          </w:tcPr>
          <w:p w14:paraId="16E8350E" w14:textId="77777777" w:rsidR="008B4FB4" w:rsidRPr="008B4FB4" w:rsidRDefault="008B4FB4" w:rsidP="0031740F">
            <w:pPr>
              <w:jc w:val="center"/>
              <w:rPr>
                <w:color w:val="000000"/>
              </w:rPr>
            </w:pPr>
            <w:r w:rsidRPr="008B4FB4">
              <w:rPr>
                <w:color w:val="000000"/>
                <w:lang w:val="en"/>
              </w:rPr>
              <w:t>4.77</w:t>
            </w:r>
          </w:p>
        </w:tc>
        <w:tc>
          <w:tcPr>
            <w:tcW w:w="766" w:type="dxa"/>
            <w:tcBorders>
              <w:top w:val="nil"/>
            </w:tcBorders>
            <w:shd w:val="clear" w:color="auto" w:fill="auto"/>
            <w:noWrap/>
            <w:vAlign w:val="center"/>
            <w:hideMark/>
          </w:tcPr>
          <w:p w14:paraId="6548278F" w14:textId="77777777" w:rsidR="008B4FB4" w:rsidRPr="008B4FB4" w:rsidRDefault="008B4FB4" w:rsidP="0031740F">
            <w:pPr>
              <w:jc w:val="center"/>
              <w:rPr>
                <w:color w:val="000000"/>
              </w:rPr>
            </w:pPr>
            <w:r w:rsidRPr="008B4FB4">
              <w:rPr>
                <w:color w:val="000000"/>
                <w:lang w:val="en"/>
              </w:rPr>
              <w:t>699</w:t>
            </w:r>
          </w:p>
        </w:tc>
        <w:tc>
          <w:tcPr>
            <w:tcW w:w="766" w:type="dxa"/>
            <w:tcBorders>
              <w:top w:val="nil"/>
            </w:tcBorders>
            <w:shd w:val="clear" w:color="auto" w:fill="auto"/>
            <w:noWrap/>
            <w:vAlign w:val="center"/>
            <w:hideMark/>
          </w:tcPr>
          <w:p w14:paraId="1C22921C" w14:textId="77777777" w:rsidR="008B4FB4" w:rsidRPr="008B4FB4" w:rsidRDefault="008B4FB4" w:rsidP="0031740F">
            <w:pPr>
              <w:jc w:val="center"/>
              <w:rPr>
                <w:color w:val="000000"/>
              </w:rPr>
            </w:pPr>
            <w:r w:rsidRPr="008B4FB4">
              <w:rPr>
                <w:color w:val="000000"/>
                <w:lang w:val="en"/>
              </w:rPr>
              <w:t>95.23</w:t>
            </w:r>
          </w:p>
        </w:tc>
        <w:tc>
          <w:tcPr>
            <w:tcW w:w="1045" w:type="dxa"/>
            <w:vMerge w:val="restart"/>
            <w:tcBorders>
              <w:top w:val="nil"/>
            </w:tcBorders>
            <w:vAlign w:val="center"/>
          </w:tcPr>
          <w:p w14:paraId="754C0AFE" w14:textId="77777777" w:rsidR="008B4FB4" w:rsidRPr="008B4FB4" w:rsidRDefault="008B4FB4" w:rsidP="0031740F">
            <w:pPr>
              <w:jc w:val="center"/>
              <w:rPr>
                <w:color w:val="000000"/>
              </w:rPr>
            </w:pPr>
            <w:r w:rsidRPr="008B4FB4">
              <w:rPr>
                <w:color w:val="000000"/>
                <w:lang w:val="en"/>
              </w:rPr>
              <w:t>0.076</w:t>
            </w:r>
          </w:p>
        </w:tc>
        <w:tc>
          <w:tcPr>
            <w:tcW w:w="885" w:type="dxa"/>
            <w:vMerge w:val="restart"/>
            <w:tcBorders>
              <w:top w:val="nil"/>
            </w:tcBorders>
            <w:vAlign w:val="center"/>
          </w:tcPr>
          <w:p w14:paraId="014EB5C7" w14:textId="77777777" w:rsidR="008B4FB4" w:rsidRPr="008B4FB4" w:rsidRDefault="008B4FB4" w:rsidP="0031740F">
            <w:pPr>
              <w:jc w:val="center"/>
              <w:rPr>
                <w:color w:val="000000"/>
              </w:rPr>
            </w:pPr>
            <w:r w:rsidRPr="008B4FB4">
              <w:rPr>
                <w:color w:val="000000"/>
                <w:lang w:val="en"/>
              </w:rPr>
              <w:t>1.783</w:t>
            </w:r>
          </w:p>
        </w:tc>
        <w:tc>
          <w:tcPr>
            <w:tcW w:w="1843" w:type="dxa"/>
            <w:vMerge w:val="restart"/>
            <w:tcBorders>
              <w:top w:val="nil"/>
            </w:tcBorders>
            <w:vAlign w:val="center"/>
          </w:tcPr>
          <w:p w14:paraId="43A03E60" w14:textId="77777777" w:rsidR="008B4FB4" w:rsidRPr="008B4FB4" w:rsidRDefault="008B4FB4" w:rsidP="0031740F">
            <w:pPr>
              <w:jc w:val="center"/>
              <w:rPr>
                <w:color w:val="000000"/>
              </w:rPr>
            </w:pPr>
            <w:r w:rsidRPr="008B4FB4">
              <w:rPr>
                <w:color w:val="000000"/>
                <w:lang w:val="en"/>
              </w:rPr>
              <w:t>0.933 – 3.407</w:t>
            </w:r>
          </w:p>
        </w:tc>
      </w:tr>
      <w:tr w:rsidR="008B4FB4" w:rsidRPr="008B4FB4" w14:paraId="40DC7F1F" w14:textId="77777777" w:rsidTr="005B4626">
        <w:trPr>
          <w:trHeight w:val="20"/>
        </w:trPr>
        <w:tc>
          <w:tcPr>
            <w:tcW w:w="3106" w:type="dxa"/>
            <w:tcBorders>
              <w:bottom w:val="single" w:sz="4" w:space="0" w:color="auto"/>
            </w:tcBorders>
            <w:shd w:val="clear" w:color="auto" w:fill="auto"/>
            <w:noWrap/>
            <w:vAlign w:val="bottom"/>
            <w:hideMark/>
          </w:tcPr>
          <w:p w14:paraId="2A184643" w14:textId="77777777" w:rsidR="008B4FB4" w:rsidRPr="008B4FB4" w:rsidRDefault="008B4FB4" w:rsidP="0031740F">
            <w:pPr>
              <w:rPr>
                <w:color w:val="000000"/>
              </w:rPr>
            </w:pPr>
            <w:r w:rsidRPr="008B4FB4">
              <w:rPr>
                <w:lang w:val="en"/>
              </w:rPr>
              <w:t xml:space="preserve">High (high school - college) </w:t>
            </w:r>
          </w:p>
        </w:tc>
        <w:tc>
          <w:tcPr>
            <w:tcW w:w="710" w:type="dxa"/>
            <w:tcBorders>
              <w:bottom w:val="single" w:sz="4" w:space="0" w:color="auto"/>
            </w:tcBorders>
            <w:shd w:val="clear" w:color="auto" w:fill="auto"/>
            <w:noWrap/>
            <w:vAlign w:val="center"/>
            <w:hideMark/>
          </w:tcPr>
          <w:p w14:paraId="004C3B1B" w14:textId="77777777" w:rsidR="008B4FB4" w:rsidRPr="008B4FB4" w:rsidRDefault="008B4FB4" w:rsidP="0031740F">
            <w:pPr>
              <w:jc w:val="center"/>
              <w:rPr>
                <w:color w:val="000000"/>
              </w:rPr>
            </w:pPr>
            <w:r w:rsidRPr="008B4FB4">
              <w:rPr>
                <w:color w:val="000000"/>
                <w:lang w:val="en"/>
              </w:rPr>
              <w:t>13</w:t>
            </w:r>
          </w:p>
        </w:tc>
        <w:tc>
          <w:tcPr>
            <w:tcW w:w="766" w:type="dxa"/>
            <w:tcBorders>
              <w:bottom w:val="single" w:sz="4" w:space="0" w:color="auto"/>
            </w:tcBorders>
            <w:shd w:val="clear" w:color="auto" w:fill="auto"/>
            <w:noWrap/>
            <w:vAlign w:val="center"/>
            <w:hideMark/>
          </w:tcPr>
          <w:p w14:paraId="07842838" w14:textId="77777777" w:rsidR="008B4FB4" w:rsidRPr="008B4FB4" w:rsidRDefault="008B4FB4" w:rsidP="0031740F">
            <w:pPr>
              <w:jc w:val="center"/>
              <w:rPr>
                <w:color w:val="000000"/>
              </w:rPr>
            </w:pPr>
            <w:r w:rsidRPr="008B4FB4">
              <w:rPr>
                <w:color w:val="000000"/>
                <w:lang w:val="en"/>
              </w:rPr>
              <w:t>2.73</w:t>
            </w:r>
          </w:p>
        </w:tc>
        <w:tc>
          <w:tcPr>
            <w:tcW w:w="766" w:type="dxa"/>
            <w:tcBorders>
              <w:bottom w:val="single" w:sz="4" w:space="0" w:color="auto"/>
            </w:tcBorders>
            <w:shd w:val="clear" w:color="auto" w:fill="auto"/>
            <w:noWrap/>
            <w:vAlign w:val="center"/>
            <w:hideMark/>
          </w:tcPr>
          <w:p w14:paraId="7407A2AA" w14:textId="77777777" w:rsidR="008B4FB4" w:rsidRPr="008B4FB4" w:rsidRDefault="008B4FB4" w:rsidP="0031740F">
            <w:pPr>
              <w:jc w:val="center"/>
              <w:rPr>
                <w:color w:val="000000"/>
              </w:rPr>
            </w:pPr>
            <w:r w:rsidRPr="008B4FB4">
              <w:rPr>
                <w:color w:val="000000"/>
                <w:lang w:val="en"/>
              </w:rPr>
              <w:t>463</w:t>
            </w:r>
          </w:p>
        </w:tc>
        <w:tc>
          <w:tcPr>
            <w:tcW w:w="766" w:type="dxa"/>
            <w:tcBorders>
              <w:bottom w:val="single" w:sz="4" w:space="0" w:color="auto"/>
            </w:tcBorders>
            <w:shd w:val="clear" w:color="auto" w:fill="auto"/>
            <w:noWrap/>
            <w:vAlign w:val="center"/>
            <w:hideMark/>
          </w:tcPr>
          <w:p w14:paraId="63F8566C" w14:textId="77777777" w:rsidR="008B4FB4" w:rsidRPr="008B4FB4" w:rsidRDefault="008B4FB4" w:rsidP="0031740F">
            <w:pPr>
              <w:jc w:val="center"/>
              <w:rPr>
                <w:color w:val="000000"/>
              </w:rPr>
            </w:pPr>
            <w:r w:rsidRPr="008B4FB4">
              <w:rPr>
                <w:color w:val="000000"/>
                <w:lang w:val="en"/>
              </w:rPr>
              <w:t>97.27</w:t>
            </w:r>
          </w:p>
        </w:tc>
        <w:tc>
          <w:tcPr>
            <w:tcW w:w="1045" w:type="dxa"/>
            <w:vMerge/>
            <w:tcBorders>
              <w:bottom w:val="single" w:sz="4" w:space="0" w:color="auto"/>
            </w:tcBorders>
            <w:vAlign w:val="center"/>
          </w:tcPr>
          <w:p w14:paraId="491855E9" w14:textId="77777777" w:rsidR="008B4FB4" w:rsidRPr="008B4FB4" w:rsidRDefault="008B4FB4" w:rsidP="0031740F">
            <w:pPr>
              <w:jc w:val="center"/>
              <w:rPr>
                <w:color w:val="000000"/>
              </w:rPr>
            </w:pPr>
          </w:p>
        </w:tc>
        <w:tc>
          <w:tcPr>
            <w:tcW w:w="885" w:type="dxa"/>
            <w:vMerge/>
            <w:tcBorders>
              <w:bottom w:val="single" w:sz="4" w:space="0" w:color="auto"/>
            </w:tcBorders>
            <w:vAlign w:val="center"/>
          </w:tcPr>
          <w:p w14:paraId="45A49BF8" w14:textId="77777777" w:rsidR="008B4FB4" w:rsidRPr="008B4FB4" w:rsidRDefault="008B4FB4" w:rsidP="0031740F">
            <w:pPr>
              <w:jc w:val="center"/>
              <w:rPr>
                <w:color w:val="000000"/>
              </w:rPr>
            </w:pPr>
          </w:p>
        </w:tc>
        <w:tc>
          <w:tcPr>
            <w:tcW w:w="1843" w:type="dxa"/>
            <w:vMerge/>
            <w:tcBorders>
              <w:bottom w:val="single" w:sz="4" w:space="0" w:color="auto"/>
            </w:tcBorders>
            <w:vAlign w:val="center"/>
          </w:tcPr>
          <w:p w14:paraId="57004824" w14:textId="77777777" w:rsidR="008B4FB4" w:rsidRPr="008B4FB4" w:rsidRDefault="008B4FB4" w:rsidP="0031740F">
            <w:pPr>
              <w:jc w:val="center"/>
              <w:rPr>
                <w:color w:val="000000"/>
              </w:rPr>
            </w:pPr>
          </w:p>
        </w:tc>
      </w:tr>
      <w:tr w:rsidR="008B4FB4" w:rsidRPr="008B4FB4" w14:paraId="3382FE4B" w14:textId="77777777" w:rsidTr="005B4626">
        <w:trPr>
          <w:trHeight w:val="20"/>
        </w:trPr>
        <w:tc>
          <w:tcPr>
            <w:tcW w:w="3106" w:type="dxa"/>
            <w:tcBorders>
              <w:top w:val="single" w:sz="4" w:space="0" w:color="auto"/>
              <w:bottom w:val="nil"/>
            </w:tcBorders>
            <w:shd w:val="clear" w:color="auto" w:fill="auto"/>
            <w:noWrap/>
            <w:vAlign w:val="bottom"/>
            <w:hideMark/>
          </w:tcPr>
          <w:p w14:paraId="66058D45" w14:textId="77777777" w:rsidR="008B4FB4" w:rsidRPr="008B4FB4" w:rsidRDefault="008B4FB4" w:rsidP="00E02357">
            <w:pPr>
              <w:rPr>
                <w:b/>
                <w:bCs/>
                <w:color w:val="000000"/>
              </w:rPr>
            </w:pPr>
            <w:r w:rsidRPr="008B4FB4">
              <w:rPr>
                <w:b/>
                <w:bCs/>
                <w:color w:val="000000"/>
                <w:lang w:val="en"/>
              </w:rPr>
              <w:t>Type of work</w:t>
            </w:r>
          </w:p>
        </w:tc>
        <w:tc>
          <w:tcPr>
            <w:tcW w:w="710" w:type="dxa"/>
            <w:tcBorders>
              <w:top w:val="single" w:sz="4" w:space="0" w:color="auto"/>
              <w:bottom w:val="nil"/>
            </w:tcBorders>
            <w:shd w:val="clear" w:color="auto" w:fill="auto"/>
            <w:noWrap/>
            <w:vAlign w:val="center"/>
            <w:hideMark/>
          </w:tcPr>
          <w:p w14:paraId="7E097511"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4BDD07AF"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797C9DD0"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3CBF1B37"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0A83E121"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006061CB"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0C946212" w14:textId="77777777" w:rsidR="008B4FB4" w:rsidRPr="008B4FB4" w:rsidRDefault="008B4FB4" w:rsidP="0090246F">
            <w:pPr>
              <w:jc w:val="center"/>
              <w:rPr>
                <w:b/>
                <w:bCs/>
                <w:color w:val="000000"/>
              </w:rPr>
            </w:pPr>
          </w:p>
        </w:tc>
      </w:tr>
      <w:tr w:rsidR="008B4FB4" w:rsidRPr="008B4FB4" w14:paraId="251169D9" w14:textId="77777777" w:rsidTr="005B4626">
        <w:trPr>
          <w:trHeight w:val="20"/>
        </w:trPr>
        <w:tc>
          <w:tcPr>
            <w:tcW w:w="3106" w:type="dxa"/>
            <w:tcBorders>
              <w:top w:val="nil"/>
            </w:tcBorders>
            <w:shd w:val="clear" w:color="auto" w:fill="auto"/>
            <w:noWrap/>
            <w:vAlign w:val="bottom"/>
            <w:hideMark/>
          </w:tcPr>
          <w:p w14:paraId="43625C7A" w14:textId="77777777" w:rsidR="008B4FB4" w:rsidRPr="008B4FB4" w:rsidRDefault="008B4FB4" w:rsidP="00E02357">
            <w:pPr>
              <w:rPr>
                <w:color w:val="000000"/>
              </w:rPr>
            </w:pPr>
            <w:r w:rsidRPr="008B4FB4">
              <w:rPr>
                <w:color w:val="000000"/>
                <w:lang w:val="en"/>
              </w:rPr>
              <w:t>Private employee/entrepreneur</w:t>
            </w:r>
          </w:p>
        </w:tc>
        <w:tc>
          <w:tcPr>
            <w:tcW w:w="710" w:type="dxa"/>
            <w:tcBorders>
              <w:top w:val="nil"/>
            </w:tcBorders>
            <w:shd w:val="clear" w:color="auto" w:fill="auto"/>
            <w:noWrap/>
            <w:vAlign w:val="center"/>
            <w:hideMark/>
          </w:tcPr>
          <w:p w14:paraId="2F828BBA" w14:textId="77777777" w:rsidR="008B4FB4" w:rsidRPr="008B4FB4" w:rsidRDefault="008B4FB4" w:rsidP="00E02357">
            <w:pPr>
              <w:jc w:val="center"/>
              <w:rPr>
                <w:color w:val="000000"/>
              </w:rPr>
            </w:pPr>
            <w:r w:rsidRPr="008B4FB4">
              <w:rPr>
                <w:color w:val="000000"/>
                <w:lang w:val="en"/>
              </w:rPr>
              <w:t>46</w:t>
            </w:r>
          </w:p>
        </w:tc>
        <w:tc>
          <w:tcPr>
            <w:tcW w:w="766" w:type="dxa"/>
            <w:tcBorders>
              <w:top w:val="nil"/>
            </w:tcBorders>
            <w:shd w:val="clear" w:color="auto" w:fill="auto"/>
            <w:noWrap/>
            <w:vAlign w:val="center"/>
            <w:hideMark/>
          </w:tcPr>
          <w:p w14:paraId="3E3720CF" w14:textId="77777777" w:rsidR="008B4FB4" w:rsidRPr="008B4FB4" w:rsidRDefault="008B4FB4" w:rsidP="00E02357">
            <w:pPr>
              <w:jc w:val="center"/>
              <w:rPr>
                <w:color w:val="000000"/>
              </w:rPr>
            </w:pPr>
            <w:r w:rsidRPr="008B4FB4">
              <w:rPr>
                <w:color w:val="000000"/>
                <w:lang w:val="en"/>
              </w:rPr>
              <w:t>3.89</w:t>
            </w:r>
          </w:p>
        </w:tc>
        <w:tc>
          <w:tcPr>
            <w:tcW w:w="766" w:type="dxa"/>
            <w:tcBorders>
              <w:top w:val="nil"/>
            </w:tcBorders>
            <w:shd w:val="clear" w:color="auto" w:fill="auto"/>
            <w:noWrap/>
            <w:vAlign w:val="center"/>
            <w:hideMark/>
          </w:tcPr>
          <w:p w14:paraId="63F26E8D" w14:textId="77777777" w:rsidR="008B4FB4" w:rsidRPr="008B4FB4" w:rsidRDefault="008B4FB4" w:rsidP="00E02357">
            <w:pPr>
              <w:jc w:val="center"/>
              <w:rPr>
                <w:color w:val="000000"/>
              </w:rPr>
            </w:pPr>
            <w:r w:rsidRPr="008B4FB4">
              <w:rPr>
                <w:color w:val="000000"/>
                <w:lang w:val="en"/>
              </w:rPr>
              <w:t>1136</w:t>
            </w:r>
          </w:p>
        </w:tc>
        <w:tc>
          <w:tcPr>
            <w:tcW w:w="766" w:type="dxa"/>
            <w:tcBorders>
              <w:top w:val="nil"/>
            </w:tcBorders>
            <w:shd w:val="clear" w:color="auto" w:fill="auto"/>
            <w:noWrap/>
            <w:vAlign w:val="center"/>
            <w:hideMark/>
          </w:tcPr>
          <w:p w14:paraId="668810C1" w14:textId="77777777" w:rsidR="008B4FB4" w:rsidRPr="008B4FB4" w:rsidRDefault="008B4FB4" w:rsidP="00E02357">
            <w:pPr>
              <w:jc w:val="center"/>
              <w:rPr>
                <w:color w:val="000000"/>
              </w:rPr>
            </w:pPr>
            <w:r w:rsidRPr="008B4FB4">
              <w:rPr>
                <w:color w:val="000000"/>
                <w:lang w:val="en"/>
              </w:rPr>
              <w:t>96.11</w:t>
            </w:r>
          </w:p>
        </w:tc>
        <w:tc>
          <w:tcPr>
            <w:tcW w:w="1045" w:type="dxa"/>
            <w:vMerge w:val="restart"/>
            <w:tcBorders>
              <w:top w:val="nil"/>
            </w:tcBorders>
            <w:vAlign w:val="center"/>
          </w:tcPr>
          <w:p w14:paraId="0CF7ADC8" w14:textId="77777777" w:rsidR="008B4FB4" w:rsidRPr="008B4FB4" w:rsidRDefault="008B4FB4" w:rsidP="0090246F">
            <w:pPr>
              <w:jc w:val="center"/>
              <w:rPr>
                <w:color w:val="000000"/>
              </w:rPr>
            </w:pPr>
            <w:r w:rsidRPr="008B4FB4">
              <w:rPr>
                <w:color w:val="000000"/>
                <w:lang w:val="en"/>
              </w:rPr>
              <w:t>0.384</w:t>
            </w:r>
          </w:p>
        </w:tc>
        <w:tc>
          <w:tcPr>
            <w:tcW w:w="885" w:type="dxa"/>
            <w:vMerge w:val="restart"/>
            <w:tcBorders>
              <w:top w:val="nil"/>
            </w:tcBorders>
            <w:vAlign w:val="center"/>
          </w:tcPr>
          <w:p w14:paraId="14D29A31" w14:textId="77777777" w:rsidR="008B4FB4" w:rsidRPr="008B4FB4" w:rsidRDefault="008B4FB4" w:rsidP="0090246F">
            <w:pPr>
              <w:jc w:val="center"/>
              <w:rPr>
                <w:color w:val="000000"/>
              </w:rPr>
            </w:pPr>
            <w:r w:rsidRPr="008B4FB4">
              <w:rPr>
                <w:color w:val="000000"/>
                <w:lang w:val="en"/>
              </w:rPr>
              <w:t>0.526</w:t>
            </w:r>
          </w:p>
        </w:tc>
        <w:tc>
          <w:tcPr>
            <w:tcW w:w="1843" w:type="dxa"/>
            <w:vMerge w:val="restart"/>
            <w:tcBorders>
              <w:top w:val="nil"/>
            </w:tcBorders>
            <w:vAlign w:val="center"/>
          </w:tcPr>
          <w:p w14:paraId="6E71F6AE" w14:textId="77777777" w:rsidR="008B4FB4" w:rsidRPr="008B4FB4" w:rsidRDefault="008B4FB4" w:rsidP="0090246F">
            <w:pPr>
              <w:jc w:val="center"/>
              <w:rPr>
                <w:color w:val="000000"/>
              </w:rPr>
            </w:pPr>
            <w:r w:rsidRPr="008B4FB4">
              <w:rPr>
                <w:color w:val="000000"/>
                <w:lang w:val="en"/>
              </w:rPr>
              <w:t>0.121 – 2.285</w:t>
            </w:r>
          </w:p>
        </w:tc>
      </w:tr>
      <w:tr w:rsidR="008B4FB4" w:rsidRPr="008B4FB4" w14:paraId="6DB671CF" w14:textId="77777777" w:rsidTr="005B4626">
        <w:trPr>
          <w:trHeight w:val="20"/>
        </w:trPr>
        <w:tc>
          <w:tcPr>
            <w:tcW w:w="3106" w:type="dxa"/>
            <w:tcBorders>
              <w:bottom w:val="single" w:sz="4" w:space="0" w:color="auto"/>
            </w:tcBorders>
            <w:shd w:val="clear" w:color="auto" w:fill="auto"/>
            <w:noWrap/>
            <w:vAlign w:val="bottom"/>
            <w:hideMark/>
          </w:tcPr>
          <w:p w14:paraId="28166E65" w14:textId="77777777" w:rsidR="008B4FB4" w:rsidRPr="008B4FB4" w:rsidRDefault="008B4FB4" w:rsidP="00E02357">
            <w:pPr>
              <w:rPr>
                <w:color w:val="000000"/>
              </w:rPr>
            </w:pPr>
            <w:r w:rsidRPr="008B4FB4">
              <w:rPr>
                <w:color w:val="000000"/>
                <w:lang w:val="en"/>
              </w:rPr>
              <w:t>Civil Servants</w:t>
            </w:r>
          </w:p>
        </w:tc>
        <w:tc>
          <w:tcPr>
            <w:tcW w:w="710" w:type="dxa"/>
            <w:tcBorders>
              <w:bottom w:val="single" w:sz="4" w:space="0" w:color="auto"/>
            </w:tcBorders>
            <w:shd w:val="clear" w:color="auto" w:fill="auto"/>
            <w:noWrap/>
            <w:vAlign w:val="center"/>
            <w:hideMark/>
          </w:tcPr>
          <w:p w14:paraId="7F95D3E2" w14:textId="77777777" w:rsidR="008B4FB4" w:rsidRPr="008B4FB4" w:rsidRDefault="008B4FB4" w:rsidP="00E02357">
            <w:pPr>
              <w:jc w:val="center"/>
              <w:rPr>
                <w:color w:val="000000"/>
              </w:rPr>
            </w:pPr>
            <w:r w:rsidRPr="008B4FB4">
              <w:rPr>
                <w:color w:val="000000"/>
                <w:lang w:val="en"/>
              </w:rPr>
              <w:t>2</w:t>
            </w:r>
          </w:p>
        </w:tc>
        <w:tc>
          <w:tcPr>
            <w:tcW w:w="766" w:type="dxa"/>
            <w:tcBorders>
              <w:bottom w:val="single" w:sz="4" w:space="0" w:color="auto"/>
            </w:tcBorders>
            <w:shd w:val="clear" w:color="auto" w:fill="auto"/>
            <w:noWrap/>
            <w:vAlign w:val="center"/>
            <w:hideMark/>
          </w:tcPr>
          <w:p w14:paraId="31EE71F9" w14:textId="77777777" w:rsidR="008B4FB4" w:rsidRPr="008B4FB4" w:rsidRDefault="008B4FB4" w:rsidP="00E02357">
            <w:pPr>
              <w:jc w:val="center"/>
              <w:rPr>
                <w:color w:val="000000"/>
              </w:rPr>
            </w:pPr>
            <w:r w:rsidRPr="008B4FB4">
              <w:rPr>
                <w:color w:val="000000"/>
                <w:lang w:val="en"/>
              </w:rPr>
              <w:t>7.14</w:t>
            </w:r>
          </w:p>
        </w:tc>
        <w:tc>
          <w:tcPr>
            <w:tcW w:w="766" w:type="dxa"/>
            <w:tcBorders>
              <w:bottom w:val="single" w:sz="4" w:space="0" w:color="auto"/>
            </w:tcBorders>
            <w:shd w:val="clear" w:color="auto" w:fill="auto"/>
            <w:noWrap/>
            <w:vAlign w:val="center"/>
            <w:hideMark/>
          </w:tcPr>
          <w:p w14:paraId="23973473" w14:textId="77777777" w:rsidR="008B4FB4" w:rsidRPr="008B4FB4" w:rsidRDefault="008B4FB4" w:rsidP="00E02357">
            <w:pPr>
              <w:jc w:val="center"/>
              <w:rPr>
                <w:color w:val="000000"/>
              </w:rPr>
            </w:pPr>
            <w:r w:rsidRPr="008B4FB4">
              <w:rPr>
                <w:color w:val="000000"/>
                <w:lang w:val="en"/>
              </w:rPr>
              <w:t>26</w:t>
            </w:r>
          </w:p>
        </w:tc>
        <w:tc>
          <w:tcPr>
            <w:tcW w:w="766" w:type="dxa"/>
            <w:tcBorders>
              <w:bottom w:val="single" w:sz="4" w:space="0" w:color="auto"/>
            </w:tcBorders>
            <w:shd w:val="clear" w:color="auto" w:fill="auto"/>
            <w:noWrap/>
            <w:vAlign w:val="center"/>
            <w:hideMark/>
          </w:tcPr>
          <w:p w14:paraId="7AC3F531" w14:textId="77777777" w:rsidR="008B4FB4" w:rsidRPr="008B4FB4" w:rsidRDefault="008B4FB4" w:rsidP="00E02357">
            <w:pPr>
              <w:jc w:val="center"/>
              <w:rPr>
                <w:color w:val="000000"/>
              </w:rPr>
            </w:pPr>
            <w:r w:rsidRPr="008B4FB4">
              <w:rPr>
                <w:color w:val="000000"/>
                <w:lang w:val="en"/>
              </w:rPr>
              <w:t>92.86</w:t>
            </w:r>
          </w:p>
        </w:tc>
        <w:tc>
          <w:tcPr>
            <w:tcW w:w="1045" w:type="dxa"/>
            <w:vMerge/>
            <w:tcBorders>
              <w:bottom w:val="single" w:sz="4" w:space="0" w:color="auto"/>
            </w:tcBorders>
            <w:vAlign w:val="center"/>
          </w:tcPr>
          <w:p w14:paraId="4AA25BB3"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51A4C874"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39AAEF98" w14:textId="77777777" w:rsidR="008B4FB4" w:rsidRPr="008B4FB4" w:rsidRDefault="008B4FB4" w:rsidP="0090246F">
            <w:pPr>
              <w:jc w:val="center"/>
              <w:rPr>
                <w:color w:val="000000"/>
              </w:rPr>
            </w:pPr>
          </w:p>
        </w:tc>
      </w:tr>
      <w:tr w:rsidR="008B4FB4" w:rsidRPr="008B4FB4" w14:paraId="4D33609A" w14:textId="77777777" w:rsidTr="005B4626">
        <w:trPr>
          <w:trHeight w:val="20"/>
        </w:trPr>
        <w:tc>
          <w:tcPr>
            <w:tcW w:w="3106" w:type="dxa"/>
            <w:tcBorders>
              <w:top w:val="single" w:sz="4" w:space="0" w:color="auto"/>
              <w:bottom w:val="nil"/>
            </w:tcBorders>
            <w:shd w:val="clear" w:color="auto" w:fill="auto"/>
            <w:noWrap/>
            <w:vAlign w:val="bottom"/>
            <w:hideMark/>
          </w:tcPr>
          <w:p w14:paraId="0B38F901" w14:textId="77777777" w:rsidR="008B4FB4" w:rsidRPr="008B4FB4" w:rsidRDefault="008B4FB4" w:rsidP="00E02357">
            <w:pPr>
              <w:rPr>
                <w:b/>
                <w:bCs/>
                <w:color w:val="000000"/>
              </w:rPr>
            </w:pPr>
            <w:r w:rsidRPr="008B4FB4">
              <w:rPr>
                <w:b/>
                <w:bCs/>
                <w:color w:val="000000"/>
                <w:lang w:val="en"/>
              </w:rPr>
              <w:t>Income</w:t>
            </w:r>
          </w:p>
          <w:p w14:paraId="23B556EF" w14:textId="77777777" w:rsidR="008B4FB4" w:rsidRPr="008B4FB4" w:rsidRDefault="008B4FB4" w:rsidP="00E02357">
            <w:pPr>
              <w:rPr>
                <w:b/>
                <w:bCs/>
                <w:color w:val="000000"/>
              </w:rPr>
            </w:pPr>
            <w:r w:rsidRPr="008B4FB4">
              <w:rPr>
                <w:b/>
                <w:bCs/>
                <w:color w:val="000000"/>
                <w:lang w:val="en"/>
              </w:rPr>
              <w:t>(City minimum wage = Rp 3,557,146)</w:t>
            </w:r>
          </w:p>
        </w:tc>
        <w:tc>
          <w:tcPr>
            <w:tcW w:w="710" w:type="dxa"/>
            <w:tcBorders>
              <w:top w:val="single" w:sz="4" w:space="0" w:color="auto"/>
              <w:bottom w:val="nil"/>
            </w:tcBorders>
            <w:shd w:val="clear" w:color="auto" w:fill="auto"/>
            <w:noWrap/>
            <w:vAlign w:val="center"/>
            <w:hideMark/>
          </w:tcPr>
          <w:p w14:paraId="7ED4D1CE"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4581DAE0"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21B693C6"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744FE8F2"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38A879D6"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3256CC34"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46E4A8FA" w14:textId="77777777" w:rsidR="008B4FB4" w:rsidRPr="008B4FB4" w:rsidRDefault="008B4FB4" w:rsidP="0090246F">
            <w:pPr>
              <w:jc w:val="center"/>
              <w:rPr>
                <w:b/>
                <w:bCs/>
                <w:color w:val="000000"/>
              </w:rPr>
            </w:pPr>
          </w:p>
        </w:tc>
      </w:tr>
      <w:tr w:rsidR="008B4FB4" w:rsidRPr="008B4FB4" w14:paraId="35A72767" w14:textId="77777777" w:rsidTr="005B4626">
        <w:trPr>
          <w:trHeight w:val="20"/>
        </w:trPr>
        <w:tc>
          <w:tcPr>
            <w:tcW w:w="3106" w:type="dxa"/>
            <w:tcBorders>
              <w:top w:val="nil"/>
            </w:tcBorders>
            <w:shd w:val="clear" w:color="auto" w:fill="auto"/>
            <w:noWrap/>
            <w:vAlign w:val="bottom"/>
            <w:hideMark/>
          </w:tcPr>
          <w:p w14:paraId="470DCF5C" w14:textId="77777777" w:rsidR="008B4FB4" w:rsidRPr="008B4FB4" w:rsidRDefault="008B4FB4" w:rsidP="00E02357">
            <w:pPr>
              <w:rPr>
                <w:color w:val="000000"/>
              </w:rPr>
            </w:pPr>
            <w:r w:rsidRPr="008B4FB4">
              <w:rPr>
                <w:color w:val="000000"/>
                <w:lang w:val="en"/>
              </w:rPr>
              <w:t>&lt; city minimum wage</w:t>
            </w:r>
          </w:p>
        </w:tc>
        <w:tc>
          <w:tcPr>
            <w:tcW w:w="710" w:type="dxa"/>
            <w:tcBorders>
              <w:top w:val="nil"/>
            </w:tcBorders>
            <w:shd w:val="clear" w:color="auto" w:fill="auto"/>
            <w:noWrap/>
            <w:vAlign w:val="center"/>
            <w:hideMark/>
          </w:tcPr>
          <w:p w14:paraId="77D8C6F9" w14:textId="77777777" w:rsidR="008B4FB4" w:rsidRPr="008B4FB4" w:rsidRDefault="008B4FB4" w:rsidP="00E02357">
            <w:pPr>
              <w:jc w:val="center"/>
              <w:rPr>
                <w:color w:val="000000"/>
              </w:rPr>
            </w:pPr>
            <w:r w:rsidRPr="008B4FB4">
              <w:rPr>
                <w:color w:val="000000"/>
                <w:lang w:val="en"/>
              </w:rPr>
              <w:t>45</w:t>
            </w:r>
          </w:p>
        </w:tc>
        <w:tc>
          <w:tcPr>
            <w:tcW w:w="766" w:type="dxa"/>
            <w:tcBorders>
              <w:top w:val="nil"/>
            </w:tcBorders>
            <w:shd w:val="clear" w:color="auto" w:fill="auto"/>
            <w:noWrap/>
            <w:vAlign w:val="center"/>
            <w:hideMark/>
          </w:tcPr>
          <w:p w14:paraId="52563465" w14:textId="77777777" w:rsidR="008B4FB4" w:rsidRPr="008B4FB4" w:rsidRDefault="008B4FB4" w:rsidP="00E02357">
            <w:pPr>
              <w:jc w:val="center"/>
              <w:rPr>
                <w:color w:val="000000"/>
              </w:rPr>
            </w:pPr>
            <w:r w:rsidRPr="008B4FB4">
              <w:rPr>
                <w:color w:val="000000"/>
                <w:lang w:val="en"/>
              </w:rPr>
              <w:t>3.90</w:t>
            </w:r>
          </w:p>
        </w:tc>
        <w:tc>
          <w:tcPr>
            <w:tcW w:w="766" w:type="dxa"/>
            <w:tcBorders>
              <w:top w:val="nil"/>
            </w:tcBorders>
            <w:shd w:val="clear" w:color="auto" w:fill="auto"/>
            <w:noWrap/>
            <w:vAlign w:val="center"/>
            <w:hideMark/>
          </w:tcPr>
          <w:p w14:paraId="5024DCEF" w14:textId="77777777" w:rsidR="008B4FB4" w:rsidRPr="008B4FB4" w:rsidRDefault="008B4FB4" w:rsidP="00E02357">
            <w:pPr>
              <w:jc w:val="center"/>
              <w:rPr>
                <w:color w:val="000000"/>
              </w:rPr>
            </w:pPr>
            <w:r w:rsidRPr="008B4FB4">
              <w:rPr>
                <w:color w:val="000000"/>
                <w:lang w:val="en"/>
              </w:rPr>
              <w:t>1109</w:t>
            </w:r>
          </w:p>
        </w:tc>
        <w:tc>
          <w:tcPr>
            <w:tcW w:w="766" w:type="dxa"/>
            <w:tcBorders>
              <w:top w:val="nil"/>
            </w:tcBorders>
            <w:shd w:val="clear" w:color="auto" w:fill="auto"/>
            <w:noWrap/>
            <w:vAlign w:val="center"/>
            <w:hideMark/>
          </w:tcPr>
          <w:p w14:paraId="313C9949" w14:textId="77777777" w:rsidR="008B4FB4" w:rsidRPr="008B4FB4" w:rsidRDefault="008B4FB4" w:rsidP="00E02357">
            <w:pPr>
              <w:jc w:val="center"/>
              <w:rPr>
                <w:color w:val="000000"/>
              </w:rPr>
            </w:pPr>
            <w:r w:rsidRPr="008B4FB4">
              <w:rPr>
                <w:color w:val="000000"/>
                <w:lang w:val="en"/>
              </w:rPr>
              <w:t>96.10</w:t>
            </w:r>
          </w:p>
        </w:tc>
        <w:tc>
          <w:tcPr>
            <w:tcW w:w="1045" w:type="dxa"/>
            <w:vMerge w:val="restart"/>
            <w:tcBorders>
              <w:top w:val="nil"/>
            </w:tcBorders>
            <w:vAlign w:val="center"/>
          </w:tcPr>
          <w:p w14:paraId="7CD164E6" w14:textId="77777777" w:rsidR="008B4FB4" w:rsidRPr="008B4FB4" w:rsidRDefault="008B4FB4" w:rsidP="0090246F">
            <w:pPr>
              <w:jc w:val="center"/>
              <w:rPr>
                <w:color w:val="000000"/>
              </w:rPr>
            </w:pPr>
            <w:r w:rsidRPr="008B4FB4">
              <w:rPr>
                <w:color w:val="000000"/>
                <w:lang w:val="en"/>
              </w:rPr>
              <w:t>0.585</w:t>
            </w:r>
          </w:p>
        </w:tc>
        <w:tc>
          <w:tcPr>
            <w:tcW w:w="885" w:type="dxa"/>
            <w:vMerge w:val="restart"/>
            <w:tcBorders>
              <w:top w:val="nil"/>
            </w:tcBorders>
            <w:vAlign w:val="center"/>
          </w:tcPr>
          <w:p w14:paraId="0818D487" w14:textId="77777777" w:rsidR="008B4FB4" w:rsidRPr="008B4FB4" w:rsidRDefault="008B4FB4" w:rsidP="0090246F">
            <w:pPr>
              <w:jc w:val="center"/>
              <w:rPr>
                <w:color w:val="000000"/>
              </w:rPr>
            </w:pPr>
            <w:r w:rsidRPr="008B4FB4">
              <w:rPr>
                <w:color w:val="000000"/>
                <w:lang w:val="en"/>
              </w:rPr>
              <w:t>0.717</w:t>
            </w:r>
          </w:p>
        </w:tc>
        <w:tc>
          <w:tcPr>
            <w:tcW w:w="1843" w:type="dxa"/>
            <w:vMerge w:val="restart"/>
            <w:tcBorders>
              <w:top w:val="nil"/>
            </w:tcBorders>
            <w:vAlign w:val="center"/>
          </w:tcPr>
          <w:p w14:paraId="3B9DF405" w14:textId="77777777" w:rsidR="008B4FB4" w:rsidRPr="008B4FB4" w:rsidRDefault="008B4FB4" w:rsidP="0090246F">
            <w:pPr>
              <w:jc w:val="center"/>
              <w:rPr>
                <w:color w:val="000000"/>
              </w:rPr>
            </w:pPr>
            <w:r w:rsidRPr="008B4FB4">
              <w:rPr>
                <w:color w:val="000000"/>
                <w:lang w:val="en"/>
              </w:rPr>
              <w:t>0.216 – 2.382</w:t>
            </w:r>
          </w:p>
        </w:tc>
      </w:tr>
      <w:tr w:rsidR="008B4FB4" w:rsidRPr="008B4FB4" w14:paraId="5F9AF682" w14:textId="77777777" w:rsidTr="005B4626">
        <w:trPr>
          <w:trHeight w:val="20"/>
        </w:trPr>
        <w:tc>
          <w:tcPr>
            <w:tcW w:w="3106" w:type="dxa"/>
            <w:tcBorders>
              <w:bottom w:val="single" w:sz="4" w:space="0" w:color="auto"/>
            </w:tcBorders>
            <w:shd w:val="clear" w:color="auto" w:fill="auto"/>
            <w:noWrap/>
            <w:vAlign w:val="bottom"/>
            <w:hideMark/>
          </w:tcPr>
          <w:p w14:paraId="689F6E1C" w14:textId="77777777" w:rsidR="008B4FB4" w:rsidRPr="008B4FB4" w:rsidRDefault="008B4FB4" w:rsidP="00E02357">
            <w:pPr>
              <w:rPr>
                <w:color w:val="000000"/>
              </w:rPr>
            </w:pPr>
            <w:r w:rsidRPr="008B4FB4">
              <w:rPr>
                <w:color w:val="000000"/>
                <w:lang w:val="en"/>
              </w:rPr>
              <w:t>≥ city minimum wage</w:t>
            </w:r>
          </w:p>
        </w:tc>
        <w:tc>
          <w:tcPr>
            <w:tcW w:w="710" w:type="dxa"/>
            <w:tcBorders>
              <w:bottom w:val="single" w:sz="4" w:space="0" w:color="auto"/>
            </w:tcBorders>
            <w:shd w:val="clear" w:color="auto" w:fill="auto"/>
            <w:noWrap/>
            <w:vAlign w:val="center"/>
            <w:hideMark/>
          </w:tcPr>
          <w:p w14:paraId="47502441" w14:textId="77777777" w:rsidR="008B4FB4" w:rsidRPr="008B4FB4" w:rsidRDefault="008B4FB4" w:rsidP="00E02357">
            <w:pPr>
              <w:jc w:val="center"/>
              <w:rPr>
                <w:color w:val="000000"/>
              </w:rPr>
            </w:pPr>
            <w:r w:rsidRPr="008B4FB4">
              <w:rPr>
                <w:color w:val="000000"/>
                <w:lang w:val="en"/>
              </w:rPr>
              <w:t>3</w:t>
            </w:r>
          </w:p>
        </w:tc>
        <w:tc>
          <w:tcPr>
            <w:tcW w:w="766" w:type="dxa"/>
            <w:tcBorders>
              <w:bottom w:val="single" w:sz="4" w:space="0" w:color="auto"/>
            </w:tcBorders>
            <w:shd w:val="clear" w:color="auto" w:fill="auto"/>
            <w:noWrap/>
            <w:vAlign w:val="center"/>
            <w:hideMark/>
          </w:tcPr>
          <w:p w14:paraId="688BA3A8" w14:textId="77777777" w:rsidR="008B4FB4" w:rsidRPr="008B4FB4" w:rsidRDefault="008B4FB4" w:rsidP="00E02357">
            <w:pPr>
              <w:jc w:val="center"/>
              <w:rPr>
                <w:color w:val="000000"/>
              </w:rPr>
            </w:pPr>
            <w:r w:rsidRPr="008B4FB4">
              <w:rPr>
                <w:color w:val="000000"/>
                <w:lang w:val="en"/>
              </w:rPr>
              <w:t>5.36</w:t>
            </w:r>
          </w:p>
        </w:tc>
        <w:tc>
          <w:tcPr>
            <w:tcW w:w="766" w:type="dxa"/>
            <w:tcBorders>
              <w:bottom w:val="single" w:sz="4" w:space="0" w:color="auto"/>
            </w:tcBorders>
            <w:shd w:val="clear" w:color="auto" w:fill="auto"/>
            <w:noWrap/>
            <w:vAlign w:val="center"/>
            <w:hideMark/>
          </w:tcPr>
          <w:p w14:paraId="50126043" w14:textId="77777777" w:rsidR="008B4FB4" w:rsidRPr="008B4FB4" w:rsidRDefault="008B4FB4" w:rsidP="00E02357">
            <w:pPr>
              <w:jc w:val="center"/>
              <w:rPr>
                <w:color w:val="000000"/>
              </w:rPr>
            </w:pPr>
            <w:r w:rsidRPr="008B4FB4">
              <w:rPr>
                <w:color w:val="000000"/>
                <w:lang w:val="en"/>
              </w:rPr>
              <w:t>53</w:t>
            </w:r>
          </w:p>
        </w:tc>
        <w:tc>
          <w:tcPr>
            <w:tcW w:w="766" w:type="dxa"/>
            <w:tcBorders>
              <w:bottom w:val="single" w:sz="4" w:space="0" w:color="auto"/>
            </w:tcBorders>
            <w:shd w:val="clear" w:color="auto" w:fill="auto"/>
            <w:noWrap/>
            <w:vAlign w:val="center"/>
            <w:hideMark/>
          </w:tcPr>
          <w:p w14:paraId="6C03CA52" w14:textId="77777777" w:rsidR="008B4FB4" w:rsidRPr="008B4FB4" w:rsidRDefault="008B4FB4" w:rsidP="00E02357">
            <w:pPr>
              <w:jc w:val="center"/>
              <w:rPr>
                <w:color w:val="000000"/>
              </w:rPr>
            </w:pPr>
            <w:r w:rsidRPr="008B4FB4">
              <w:rPr>
                <w:color w:val="000000"/>
                <w:lang w:val="en"/>
              </w:rPr>
              <w:t>94.64</w:t>
            </w:r>
          </w:p>
        </w:tc>
        <w:tc>
          <w:tcPr>
            <w:tcW w:w="1045" w:type="dxa"/>
            <w:vMerge/>
            <w:tcBorders>
              <w:bottom w:val="single" w:sz="4" w:space="0" w:color="auto"/>
            </w:tcBorders>
            <w:vAlign w:val="center"/>
          </w:tcPr>
          <w:p w14:paraId="68759FC7"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037F7608"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4BDFB120" w14:textId="77777777" w:rsidR="008B4FB4" w:rsidRPr="008B4FB4" w:rsidRDefault="008B4FB4" w:rsidP="0090246F">
            <w:pPr>
              <w:jc w:val="center"/>
              <w:rPr>
                <w:color w:val="000000"/>
              </w:rPr>
            </w:pPr>
          </w:p>
        </w:tc>
      </w:tr>
      <w:tr w:rsidR="008B4FB4" w:rsidRPr="008B4FB4" w14:paraId="1EBDEC59" w14:textId="77777777" w:rsidTr="005B4626">
        <w:trPr>
          <w:trHeight w:val="20"/>
        </w:trPr>
        <w:tc>
          <w:tcPr>
            <w:tcW w:w="3106" w:type="dxa"/>
            <w:tcBorders>
              <w:top w:val="single" w:sz="4" w:space="0" w:color="auto"/>
              <w:bottom w:val="nil"/>
            </w:tcBorders>
            <w:shd w:val="clear" w:color="auto" w:fill="auto"/>
            <w:noWrap/>
            <w:vAlign w:val="bottom"/>
            <w:hideMark/>
          </w:tcPr>
          <w:p w14:paraId="56EFC9EB" w14:textId="77777777" w:rsidR="008B4FB4" w:rsidRPr="008B4FB4" w:rsidRDefault="008B4FB4" w:rsidP="00E02357">
            <w:pPr>
              <w:rPr>
                <w:b/>
                <w:bCs/>
                <w:color w:val="000000"/>
              </w:rPr>
            </w:pPr>
            <w:r w:rsidRPr="008B4FB4">
              <w:rPr>
                <w:b/>
                <w:bCs/>
                <w:color w:val="000000"/>
                <w:lang w:val="en"/>
              </w:rPr>
              <w:t>Ownership of Health Insurance</w:t>
            </w:r>
          </w:p>
        </w:tc>
        <w:tc>
          <w:tcPr>
            <w:tcW w:w="710" w:type="dxa"/>
            <w:tcBorders>
              <w:top w:val="single" w:sz="4" w:space="0" w:color="auto"/>
              <w:bottom w:val="nil"/>
            </w:tcBorders>
            <w:shd w:val="clear" w:color="auto" w:fill="auto"/>
            <w:noWrap/>
            <w:vAlign w:val="center"/>
            <w:hideMark/>
          </w:tcPr>
          <w:p w14:paraId="48221D6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5FCEDADF"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1DAF90C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7351EE1E"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2928EE36"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22474418"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230C0238" w14:textId="77777777" w:rsidR="008B4FB4" w:rsidRPr="008B4FB4" w:rsidRDefault="008B4FB4" w:rsidP="0090246F">
            <w:pPr>
              <w:jc w:val="center"/>
              <w:rPr>
                <w:b/>
                <w:bCs/>
                <w:color w:val="000000"/>
              </w:rPr>
            </w:pPr>
          </w:p>
        </w:tc>
      </w:tr>
      <w:tr w:rsidR="008B4FB4" w:rsidRPr="008B4FB4" w14:paraId="19F0D88A" w14:textId="77777777" w:rsidTr="005B4626">
        <w:trPr>
          <w:trHeight w:val="20"/>
        </w:trPr>
        <w:tc>
          <w:tcPr>
            <w:tcW w:w="3106" w:type="dxa"/>
            <w:tcBorders>
              <w:top w:val="nil"/>
            </w:tcBorders>
            <w:shd w:val="clear" w:color="auto" w:fill="auto"/>
            <w:noWrap/>
            <w:vAlign w:val="bottom"/>
            <w:hideMark/>
          </w:tcPr>
          <w:p w14:paraId="7720C92D" w14:textId="77777777" w:rsidR="008B4FB4" w:rsidRPr="008B4FB4" w:rsidRDefault="008B4FB4" w:rsidP="00E02357">
            <w:pPr>
              <w:rPr>
                <w:color w:val="000000"/>
              </w:rPr>
            </w:pPr>
            <w:r w:rsidRPr="008B4FB4">
              <w:rPr>
                <w:color w:val="000000"/>
                <w:lang w:val="en"/>
              </w:rPr>
              <w:t>It doesn't have</w:t>
            </w:r>
          </w:p>
        </w:tc>
        <w:tc>
          <w:tcPr>
            <w:tcW w:w="710" w:type="dxa"/>
            <w:tcBorders>
              <w:top w:val="nil"/>
            </w:tcBorders>
            <w:shd w:val="clear" w:color="auto" w:fill="auto"/>
            <w:noWrap/>
            <w:vAlign w:val="center"/>
            <w:hideMark/>
          </w:tcPr>
          <w:p w14:paraId="3FD2C20D" w14:textId="77777777" w:rsidR="008B4FB4" w:rsidRPr="008B4FB4" w:rsidRDefault="008B4FB4" w:rsidP="00E02357">
            <w:pPr>
              <w:jc w:val="center"/>
              <w:rPr>
                <w:color w:val="000000"/>
              </w:rPr>
            </w:pPr>
            <w:r w:rsidRPr="008B4FB4">
              <w:rPr>
                <w:color w:val="000000"/>
                <w:lang w:val="en"/>
              </w:rPr>
              <w:t>15</w:t>
            </w:r>
          </w:p>
        </w:tc>
        <w:tc>
          <w:tcPr>
            <w:tcW w:w="766" w:type="dxa"/>
            <w:tcBorders>
              <w:top w:val="nil"/>
            </w:tcBorders>
            <w:shd w:val="clear" w:color="auto" w:fill="auto"/>
            <w:noWrap/>
            <w:vAlign w:val="center"/>
            <w:hideMark/>
          </w:tcPr>
          <w:p w14:paraId="136B4C8F" w14:textId="77777777" w:rsidR="008B4FB4" w:rsidRPr="008B4FB4" w:rsidRDefault="008B4FB4" w:rsidP="00E02357">
            <w:pPr>
              <w:jc w:val="center"/>
              <w:rPr>
                <w:color w:val="000000"/>
              </w:rPr>
            </w:pPr>
            <w:r w:rsidRPr="008B4FB4">
              <w:rPr>
                <w:color w:val="000000"/>
                <w:lang w:val="en"/>
              </w:rPr>
              <w:t>3.54</w:t>
            </w:r>
          </w:p>
        </w:tc>
        <w:tc>
          <w:tcPr>
            <w:tcW w:w="766" w:type="dxa"/>
            <w:tcBorders>
              <w:top w:val="nil"/>
            </w:tcBorders>
            <w:shd w:val="clear" w:color="auto" w:fill="auto"/>
            <w:noWrap/>
            <w:vAlign w:val="center"/>
            <w:hideMark/>
          </w:tcPr>
          <w:p w14:paraId="1664C9A4" w14:textId="77777777" w:rsidR="008B4FB4" w:rsidRPr="008B4FB4" w:rsidRDefault="008B4FB4" w:rsidP="00E02357">
            <w:pPr>
              <w:jc w:val="center"/>
              <w:rPr>
                <w:color w:val="000000"/>
              </w:rPr>
            </w:pPr>
            <w:r w:rsidRPr="008B4FB4">
              <w:rPr>
                <w:color w:val="000000"/>
                <w:lang w:val="en"/>
              </w:rPr>
              <w:t>409</w:t>
            </w:r>
          </w:p>
        </w:tc>
        <w:tc>
          <w:tcPr>
            <w:tcW w:w="766" w:type="dxa"/>
            <w:tcBorders>
              <w:top w:val="nil"/>
            </w:tcBorders>
            <w:shd w:val="clear" w:color="auto" w:fill="auto"/>
            <w:noWrap/>
            <w:vAlign w:val="center"/>
            <w:hideMark/>
          </w:tcPr>
          <w:p w14:paraId="33985B31" w14:textId="77777777" w:rsidR="008B4FB4" w:rsidRPr="008B4FB4" w:rsidRDefault="008B4FB4" w:rsidP="00E02357">
            <w:pPr>
              <w:jc w:val="center"/>
              <w:rPr>
                <w:color w:val="000000"/>
              </w:rPr>
            </w:pPr>
            <w:r w:rsidRPr="008B4FB4">
              <w:rPr>
                <w:color w:val="000000"/>
                <w:lang w:val="en"/>
              </w:rPr>
              <w:t>96.46</w:t>
            </w:r>
          </w:p>
        </w:tc>
        <w:tc>
          <w:tcPr>
            <w:tcW w:w="1045" w:type="dxa"/>
            <w:vMerge w:val="restart"/>
            <w:tcBorders>
              <w:top w:val="nil"/>
            </w:tcBorders>
            <w:vAlign w:val="center"/>
          </w:tcPr>
          <w:p w14:paraId="76EF2CA2" w14:textId="77777777" w:rsidR="008B4FB4" w:rsidRPr="008B4FB4" w:rsidRDefault="008B4FB4" w:rsidP="0090246F">
            <w:pPr>
              <w:jc w:val="center"/>
              <w:rPr>
                <w:color w:val="000000"/>
              </w:rPr>
            </w:pPr>
            <w:r w:rsidRPr="008B4FB4">
              <w:rPr>
                <w:color w:val="000000"/>
                <w:lang w:val="en"/>
              </w:rPr>
              <w:t>0.574</w:t>
            </w:r>
          </w:p>
        </w:tc>
        <w:tc>
          <w:tcPr>
            <w:tcW w:w="885" w:type="dxa"/>
            <w:vMerge w:val="restart"/>
            <w:tcBorders>
              <w:top w:val="nil"/>
            </w:tcBorders>
            <w:vAlign w:val="center"/>
          </w:tcPr>
          <w:p w14:paraId="509027C7" w14:textId="77777777" w:rsidR="008B4FB4" w:rsidRPr="008B4FB4" w:rsidRDefault="008B4FB4" w:rsidP="0090246F">
            <w:pPr>
              <w:jc w:val="center"/>
              <w:rPr>
                <w:color w:val="000000"/>
              </w:rPr>
            </w:pPr>
            <w:r w:rsidRPr="008B4FB4">
              <w:rPr>
                <w:color w:val="000000"/>
                <w:lang w:val="en"/>
              </w:rPr>
              <w:t>0.837</w:t>
            </w:r>
          </w:p>
        </w:tc>
        <w:tc>
          <w:tcPr>
            <w:tcW w:w="1843" w:type="dxa"/>
            <w:vMerge w:val="restart"/>
            <w:tcBorders>
              <w:top w:val="nil"/>
            </w:tcBorders>
            <w:vAlign w:val="center"/>
          </w:tcPr>
          <w:p w14:paraId="4552F0E8" w14:textId="77777777" w:rsidR="008B4FB4" w:rsidRPr="008B4FB4" w:rsidRDefault="008B4FB4" w:rsidP="0090246F">
            <w:pPr>
              <w:jc w:val="center"/>
              <w:rPr>
                <w:color w:val="000000"/>
              </w:rPr>
            </w:pPr>
            <w:r w:rsidRPr="008B4FB4">
              <w:rPr>
                <w:color w:val="000000"/>
                <w:lang w:val="en"/>
              </w:rPr>
              <w:t>0.449 – 1.559</w:t>
            </w:r>
          </w:p>
        </w:tc>
      </w:tr>
      <w:tr w:rsidR="008B4FB4" w:rsidRPr="008B4FB4" w14:paraId="272D2EF0" w14:textId="77777777" w:rsidTr="005B4626">
        <w:trPr>
          <w:trHeight w:val="20"/>
        </w:trPr>
        <w:tc>
          <w:tcPr>
            <w:tcW w:w="3106" w:type="dxa"/>
            <w:tcBorders>
              <w:bottom w:val="single" w:sz="4" w:space="0" w:color="auto"/>
            </w:tcBorders>
            <w:shd w:val="clear" w:color="auto" w:fill="auto"/>
            <w:noWrap/>
            <w:vAlign w:val="bottom"/>
            <w:hideMark/>
          </w:tcPr>
          <w:p w14:paraId="47AFDAF5" w14:textId="77777777" w:rsidR="008B4FB4" w:rsidRPr="008B4FB4" w:rsidRDefault="008B4FB4" w:rsidP="00E02357">
            <w:pPr>
              <w:rPr>
                <w:color w:val="000000"/>
              </w:rPr>
            </w:pPr>
            <w:r w:rsidRPr="008B4FB4">
              <w:rPr>
                <w:color w:val="000000"/>
                <w:lang w:val="en"/>
              </w:rPr>
              <w:t>Have</w:t>
            </w:r>
          </w:p>
        </w:tc>
        <w:tc>
          <w:tcPr>
            <w:tcW w:w="710" w:type="dxa"/>
            <w:tcBorders>
              <w:bottom w:val="single" w:sz="4" w:space="0" w:color="auto"/>
            </w:tcBorders>
            <w:shd w:val="clear" w:color="auto" w:fill="auto"/>
            <w:noWrap/>
            <w:vAlign w:val="center"/>
            <w:hideMark/>
          </w:tcPr>
          <w:p w14:paraId="406FC504" w14:textId="77777777" w:rsidR="008B4FB4" w:rsidRPr="008B4FB4" w:rsidRDefault="008B4FB4" w:rsidP="00E02357">
            <w:pPr>
              <w:jc w:val="center"/>
              <w:rPr>
                <w:color w:val="000000"/>
              </w:rPr>
            </w:pPr>
            <w:r w:rsidRPr="008B4FB4">
              <w:rPr>
                <w:color w:val="000000"/>
                <w:lang w:val="en"/>
              </w:rPr>
              <w:t>33</w:t>
            </w:r>
          </w:p>
        </w:tc>
        <w:tc>
          <w:tcPr>
            <w:tcW w:w="766" w:type="dxa"/>
            <w:tcBorders>
              <w:bottom w:val="single" w:sz="4" w:space="0" w:color="auto"/>
            </w:tcBorders>
            <w:shd w:val="clear" w:color="auto" w:fill="auto"/>
            <w:noWrap/>
            <w:vAlign w:val="center"/>
            <w:hideMark/>
          </w:tcPr>
          <w:p w14:paraId="1AE60665" w14:textId="77777777" w:rsidR="008B4FB4" w:rsidRPr="008B4FB4" w:rsidRDefault="008B4FB4" w:rsidP="00E02357">
            <w:pPr>
              <w:jc w:val="center"/>
              <w:rPr>
                <w:color w:val="000000"/>
              </w:rPr>
            </w:pPr>
            <w:r w:rsidRPr="008B4FB4">
              <w:rPr>
                <w:color w:val="000000"/>
                <w:lang w:val="en"/>
              </w:rPr>
              <w:t>4.20</w:t>
            </w:r>
          </w:p>
        </w:tc>
        <w:tc>
          <w:tcPr>
            <w:tcW w:w="766" w:type="dxa"/>
            <w:tcBorders>
              <w:bottom w:val="single" w:sz="4" w:space="0" w:color="auto"/>
            </w:tcBorders>
            <w:shd w:val="clear" w:color="auto" w:fill="auto"/>
            <w:noWrap/>
            <w:vAlign w:val="center"/>
            <w:hideMark/>
          </w:tcPr>
          <w:p w14:paraId="058FFF4D" w14:textId="77777777" w:rsidR="008B4FB4" w:rsidRPr="008B4FB4" w:rsidRDefault="008B4FB4" w:rsidP="00E02357">
            <w:pPr>
              <w:jc w:val="center"/>
              <w:rPr>
                <w:color w:val="000000"/>
              </w:rPr>
            </w:pPr>
            <w:r w:rsidRPr="008B4FB4">
              <w:rPr>
                <w:color w:val="000000"/>
                <w:lang w:val="en"/>
              </w:rPr>
              <w:t>753</w:t>
            </w:r>
          </w:p>
        </w:tc>
        <w:tc>
          <w:tcPr>
            <w:tcW w:w="766" w:type="dxa"/>
            <w:tcBorders>
              <w:bottom w:val="single" w:sz="4" w:space="0" w:color="auto"/>
            </w:tcBorders>
            <w:shd w:val="clear" w:color="auto" w:fill="auto"/>
            <w:noWrap/>
            <w:vAlign w:val="center"/>
            <w:hideMark/>
          </w:tcPr>
          <w:p w14:paraId="0041DFB4" w14:textId="77777777" w:rsidR="008B4FB4" w:rsidRPr="008B4FB4" w:rsidRDefault="008B4FB4" w:rsidP="00E02357">
            <w:pPr>
              <w:jc w:val="center"/>
              <w:rPr>
                <w:color w:val="000000"/>
              </w:rPr>
            </w:pPr>
            <w:r w:rsidRPr="008B4FB4">
              <w:rPr>
                <w:color w:val="000000"/>
                <w:lang w:val="en"/>
              </w:rPr>
              <w:t>95.80</w:t>
            </w:r>
          </w:p>
        </w:tc>
        <w:tc>
          <w:tcPr>
            <w:tcW w:w="1045" w:type="dxa"/>
            <w:vMerge/>
            <w:tcBorders>
              <w:bottom w:val="single" w:sz="4" w:space="0" w:color="auto"/>
            </w:tcBorders>
            <w:vAlign w:val="center"/>
          </w:tcPr>
          <w:p w14:paraId="7A2FAEBD"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124F8B44"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109E6248" w14:textId="77777777" w:rsidR="008B4FB4" w:rsidRPr="008B4FB4" w:rsidRDefault="008B4FB4" w:rsidP="0090246F">
            <w:pPr>
              <w:jc w:val="center"/>
              <w:rPr>
                <w:color w:val="000000"/>
              </w:rPr>
            </w:pPr>
          </w:p>
        </w:tc>
      </w:tr>
      <w:tr w:rsidR="008B4FB4" w:rsidRPr="008B4FB4" w14:paraId="74A676C7" w14:textId="77777777" w:rsidTr="005B4626">
        <w:trPr>
          <w:trHeight w:val="20"/>
        </w:trPr>
        <w:tc>
          <w:tcPr>
            <w:tcW w:w="3106" w:type="dxa"/>
            <w:tcBorders>
              <w:top w:val="single" w:sz="4" w:space="0" w:color="auto"/>
              <w:bottom w:val="nil"/>
            </w:tcBorders>
            <w:shd w:val="clear" w:color="auto" w:fill="auto"/>
            <w:noWrap/>
            <w:vAlign w:val="bottom"/>
            <w:hideMark/>
          </w:tcPr>
          <w:p w14:paraId="0B6E6B4E" w14:textId="77777777" w:rsidR="008B4FB4" w:rsidRPr="008B4FB4" w:rsidRDefault="008B4FB4" w:rsidP="00E02357">
            <w:pPr>
              <w:rPr>
                <w:b/>
                <w:bCs/>
                <w:color w:val="000000"/>
              </w:rPr>
            </w:pPr>
            <w:r w:rsidRPr="008B4FB4">
              <w:rPr>
                <w:b/>
                <w:bCs/>
                <w:color w:val="000000"/>
                <w:lang w:val="en"/>
              </w:rPr>
              <w:t>Smoking Status</w:t>
            </w:r>
          </w:p>
        </w:tc>
        <w:tc>
          <w:tcPr>
            <w:tcW w:w="710" w:type="dxa"/>
            <w:tcBorders>
              <w:top w:val="single" w:sz="4" w:space="0" w:color="auto"/>
              <w:bottom w:val="nil"/>
            </w:tcBorders>
            <w:shd w:val="clear" w:color="auto" w:fill="auto"/>
            <w:noWrap/>
            <w:vAlign w:val="center"/>
            <w:hideMark/>
          </w:tcPr>
          <w:p w14:paraId="26175911"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68C0B0D3"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434C6BB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65CD15E2"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07CD671B"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6DF92EC7"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0B847C6F" w14:textId="77777777" w:rsidR="008B4FB4" w:rsidRPr="008B4FB4" w:rsidRDefault="008B4FB4" w:rsidP="0090246F">
            <w:pPr>
              <w:jc w:val="center"/>
              <w:rPr>
                <w:b/>
                <w:bCs/>
                <w:color w:val="000000"/>
              </w:rPr>
            </w:pPr>
          </w:p>
        </w:tc>
      </w:tr>
      <w:tr w:rsidR="008B4FB4" w:rsidRPr="008B4FB4" w14:paraId="7524A41A" w14:textId="77777777" w:rsidTr="005B4626">
        <w:trPr>
          <w:trHeight w:val="20"/>
        </w:trPr>
        <w:tc>
          <w:tcPr>
            <w:tcW w:w="3106" w:type="dxa"/>
            <w:tcBorders>
              <w:top w:val="nil"/>
            </w:tcBorders>
            <w:shd w:val="clear" w:color="auto" w:fill="auto"/>
            <w:noWrap/>
            <w:vAlign w:val="bottom"/>
            <w:hideMark/>
          </w:tcPr>
          <w:p w14:paraId="3127A2EF" w14:textId="77777777" w:rsidR="008B4FB4" w:rsidRPr="008B4FB4" w:rsidRDefault="008B4FB4" w:rsidP="00E02357">
            <w:pPr>
              <w:rPr>
                <w:color w:val="000000"/>
              </w:rPr>
            </w:pPr>
            <w:r w:rsidRPr="008B4FB4">
              <w:rPr>
                <w:color w:val="000000"/>
                <w:lang w:val="en"/>
              </w:rPr>
              <w:t>Smoke</w:t>
            </w:r>
          </w:p>
        </w:tc>
        <w:tc>
          <w:tcPr>
            <w:tcW w:w="710" w:type="dxa"/>
            <w:tcBorders>
              <w:top w:val="nil"/>
            </w:tcBorders>
            <w:shd w:val="clear" w:color="auto" w:fill="auto"/>
            <w:noWrap/>
            <w:vAlign w:val="center"/>
            <w:hideMark/>
          </w:tcPr>
          <w:p w14:paraId="58A2815D" w14:textId="77777777" w:rsidR="008B4FB4" w:rsidRPr="008B4FB4" w:rsidRDefault="008B4FB4" w:rsidP="00E02357">
            <w:pPr>
              <w:jc w:val="center"/>
              <w:rPr>
                <w:color w:val="000000"/>
              </w:rPr>
            </w:pPr>
            <w:r w:rsidRPr="008B4FB4">
              <w:rPr>
                <w:color w:val="000000"/>
                <w:lang w:val="en"/>
              </w:rPr>
              <w:t>32</w:t>
            </w:r>
          </w:p>
        </w:tc>
        <w:tc>
          <w:tcPr>
            <w:tcW w:w="766" w:type="dxa"/>
            <w:tcBorders>
              <w:top w:val="nil"/>
            </w:tcBorders>
            <w:shd w:val="clear" w:color="auto" w:fill="auto"/>
            <w:noWrap/>
            <w:vAlign w:val="center"/>
            <w:hideMark/>
          </w:tcPr>
          <w:p w14:paraId="6D49C51E" w14:textId="77777777" w:rsidR="008B4FB4" w:rsidRPr="008B4FB4" w:rsidRDefault="008B4FB4" w:rsidP="00E02357">
            <w:pPr>
              <w:jc w:val="center"/>
              <w:rPr>
                <w:color w:val="000000"/>
              </w:rPr>
            </w:pPr>
            <w:r w:rsidRPr="008B4FB4">
              <w:rPr>
                <w:color w:val="000000"/>
                <w:lang w:val="en"/>
              </w:rPr>
              <w:t>4.81</w:t>
            </w:r>
          </w:p>
        </w:tc>
        <w:tc>
          <w:tcPr>
            <w:tcW w:w="766" w:type="dxa"/>
            <w:tcBorders>
              <w:top w:val="nil"/>
            </w:tcBorders>
            <w:shd w:val="clear" w:color="auto" w:fill="auto"/>
            <w:noWrap/>
            <w:vAlign w:val="center"/>
            <w:hideMark/>
          </w:tcPr>
          <w:p w14:paraId="421C0529" w14:textId="77777777" w:rsidR="008B4FB4" w:rsidRPr="008B4FB4" w:rsidRDefault="008B4FB4" w:rsidP="00E02357">
            <w:pPr>
              <w:jc w:val="center"/>
              <w:rPr>
                <w:color w:val="000000"/>
              </w:rPr>
            </w:pPr>
            <w:r w:rsidRPr="008B4FB4">
              <w:rPr>
                <w:color w:val="000000"/>
                <w:lang w:val="en"/>
              </w:rPr>
              <w:t>633</w:t>
            </w:r>
          </w:p>
        </w:tc>
        <w:tc>
          <w:tcPr>
            <w:tcW w:w="766" w:type="dxa"/>
            <w:tcBorders>
              <w:top w:val="nil"/>
            </w:tcBorders>
            <w:shd w:val="clear" w:color="auto" w:fill="auto"/>
            <w:noWrap/>
            <w:vAlign w:val="center"/>
            <w:hideMark/>
          </w:tcPr>
          <w:p w14:paraId="47FEDA13" w14:textId="77777777" w:rsidR="008B4FB4" w:rsidRPr="008B4FB4" w:rsidRDefault="008B4FB4" w:rsidP="00E02357">
            <w:pPr>
              <w:jc w:val="center"/>
              <w:rPr>
                <w:color w:val="000000"/>
              </w:rPr>
            </w:pPr>
            <w:r w:rsidRPr="008B4FB4">
              <w:rPr>
                <w:color w:val="000000"/>
                <w:lang w:val="en"/>
              </w:rPr>
              <w:t>95.19</w:t>
            </w:r>
          </w:p>
        </w:tc>
        <w:tc>
          <w:tcPr>
            <w:tcW w:w="1045" w:type="dxa"/>
            <w:vMerge w:val="restart"/>
            <w:tcBorders>
              <w:top w:val="nil"/>
            </w:tcBorders>
            <w:vAlign w:val="center"/>
          </w:tcPr>
          <w:p w14:paraId="1700DF20" w14:textId="77777777" w:rsidR="008B4FB4" w:rsidRPr="008B4FB4" w:rsidRDefault="008B4FB4" w:rsidP="0090246F">
            <w:pPr>
              <w:jc w:val="center"/>
              <w:rPr>
                <w:color w:val="000000"/>
              </w:rPr>
            </w:pPr>
            <w:r w:rsidRPr="008B4FB4">
              <w:rPr>
                <w:color w:val="000000"/>
                <w:lang w:val="en"/>
              </w:rPr>
              <w:t>0.096</w:t>
            </w:r>
          </w:p>
        </w:tc>
        <w:tc>
          <w:tcPr>
            <w:tcW w:w="885" w:type="dxa"/>
            <w:vMerge w:val="restart"/>
            <w:tcBorders>
              <w:top w:val="nil"/>
            </w:tcBorders>
            <w:vAlign w:val="center"/>
          </w:tcPr>
          <w:p w14:paraId="177C8866" w14:textId="77777777" w:rsidR="008B4FB4" w:rsidRPr="008B4FB4" w:rsidRDefault="008B4FB4" w:rsidP="0090246F">
            <w:pPr>
              <w:jc w:val="center"/>
              <w:rPr>
                <w:color w:val="000000"/>
              </w:rPr>
            </w:pPr>
            <w:r w:rsidRPr="008B4FB4">
              <w:rPr>
                <w:color w:val="000000"/>
                <w:lang w:val="en"/>
              </w:rPr>
              <w:t>1.6771</w:t>
            </w:r>
          </w:p>
        </w:tc>
        <w:tc>
          <w:tcPr>
            <w:tcW w:w="1843" w:type="dxa"/>
            <w:vMerge w:val="restart"/>
            <w:tcBorders>
              <w:top w:val="nil"/>
            </w:tcBorders>
            <w:vAlign w:val="center"/>
          </w:tcPr>
          <w:p w14:paraId="1F896642" w14:textId="77777777" w:rsidR="008B4FB4" w:rsidRPr="008B4FB4" w:rsidRDefault="008B4FB4" w:rsidP="0090246F">
            <w:pPr>
              <w:jc w:val="center"/>
              <w:rPr>
                <w:color w:val="000000"/>
              </w:rPr>
            </w:pPr>
            <w:r w:rsidRPr="008B4FB4">
              <w:rPr>
                <w:color w:val="000000"/>
                <w:lang w:val="en"/>
              </w:rPr>
              <w:t>0.907 – 3.080</w:t>
            </w:r>
          </w:p>
        </w:tc>
      </w:tr>
      <w:tr w:rsidR="008B4FB4" w:rsidRPr="008B4FB4" w14:paraId="24C79DC3" w14:textId="77777777" w:rsidTr="005B4626">
        <w:trPr>
          <w:trHeight w:val="20"/>
        </w:trPr>
        <w:tc>
          <w:tcPr>
            <w:tcW w:w="3106" w:type="dxa"/>
            <w:tcBorders>
              <w:bottom w:val="single" w:sz="4" w:space="0" w:color="auto"/>
            </w:tcBorders>
            <w:shd w:val="clear" w:color="auto" w:fill="auto"/>
            <w:noWrap/>
            <w:vAlign w:val="bottom"/>
            <w:hideMark/>
          </w:tcPr>
          <w:p w14:paraId="19B86725" w14:textId="77777777" w:rsidR="008B4FB4" w:rsidRPr="008B4FB4" w:rsidRDefault="008B4FB4" w:rsidP="00E02357">
            <w:pPr>
              <w:rPr>
                <w:color w:val="000000"/>
              </w:rPr>
            </w:pPr>
            <w:r w:rsidRPr="008B4FB4">
              <w:rPr>
                <w:color w:val="000000"/>
                <w:lang w:val="en"/>
              </w:rPr>
              <w:t>No smoking</w:t>
            </w:r>
          </w:p>
        </w:tc>
        <w:tc>
          <w:tcPr>
            <w:tcW w:w="710" w:type="dxa"/>
            <w:tcBorders>
              <w:bottom w:val="single" w:sz="4" w:space="0" w:color="auto"/>
            </w:tcBorders>
            <w:shd w:val="clear" w:color="auto" w:fill="auto"/>
            <w:noWrap/>
            <w:vAlign w:val="center"/>
            <w:hideMark/>
          </w:tcPr>
          <w:p w14:paraId="5259A6EB" w14:textId="77777777" w:rsidR="008B4FB4" w:rsidRPr="008B4FB4" w:rsidRDefault="008B4FB4" w:rsidP="00E02357">
            <w:pPr>
              <w:jc w:val="center"/>
              <w:rPr>
                <w:color w:val="000000"/>
              </w:rPr>
            </w:pPr>
            <w:r w:rsidRPr="008B4FB4">
              <w:rPr>
                <w:color w:val="000000"/>
                <w:lang w:val="en"/>
              </w:rPr>
              <w:t>16</w:t>
            </w:r>
          </w:p>
        </w:tc>
        <w:tc>
          <w:tcPr>
            <w:tcW w:w="766" w:type="dxa"/>
            <w:tcBorders>
              <w:bottom w:val="single" w:sz="4" w:space="0" w:color="auto"/>
            </w:tcBorders>
            <w:shd w:val="clear" w:color="auto" w:fill="auto"/>
            <w:noWrap/>
            <w:vAlign w:val="center"/>
            <w:hideMark/>
          </w:tcPr>
          <w:p w14:paraId="54657337" w14:textId="77777777" w:rsidR="008B4FB4" w:rsidRPr="008B4FB4" w:rsidRDefault="008B4FB4" w:rsidP="00E02357">
            <w:pPr>
              <w:jc w:val="center"/>
              <w:rPr>
                <w:color w:val="000000"/>
              </w:rPr>
            </w:pPr>
            <w:r w:rsidRPr="008B4FB4">
              <w:rPr>
                <w:color w:val="000000"/>
                <w:lang w:val="en"/>
              </w:rPr>
              <w:t>2.94</w:t>
            </w:r>
          </w:p>
        </w:tc>
        <w:tc>
          <w:tcPr>
            <w:tcW w:w="766" w:type="dxa"/>
            <w:tcBorders>
              <w:bottom w:val="single" w:sz="4" w:space="0" w:color="auto"/>
            </w:tcBorders>
            <w:shd w:val="clear" w:color="auto" w:fill="auto"/>
            <w:noWrap/>
            <w:vAlign w:val="center"/>
            <w:hideMark/>
          </w:tcPr>
          <w:p w14:paraId="5301E9C2" w14:textId="77777777" w:rsidR="008B4FB4" w:rsidRPr="008B4FB4" w:rsidRDefault="008B4FB4" w:rsidP="00E02357">
            <w:pPr>
              <w:jc w:val="center"/>
              <w:rPr>
                <w:color w:val="000000"/>
              </w:rPr>
            </w:pPr>
            <w:r w:rsidRPr="008B4FB4">
              <w:rPr>
                <w:color w:val="000000"/>
                <w:lang w:val="en"/>
              </w:rPr>
              <w:t>529</w:t>
            </w:r>
          </w:p>
        </w:tc>
        <w:tc>
          <w:tcPr>
            <w:tcW w:w="766" w:type="dxa"/>
            <w:tcBorders>
              <w:bottom w:val="single" w:sz="4" w:space="0" w:color="auto"/>
            </w:tcBorders>
            <w:shd w:val="clear" w:color="auto" w:fill="auto"/>
            <w:noWrap/>
            <w:vAlign w:val="center"/>
            <w:hideMark/>
          </w:tcPr>
          <w:p w14:paraId="0B719D15" w14:textId="77777777" w:rsidR="008B4FB4" w:rsidRPr="008B4FB4" w:rsidRDefault="008B4FB4" w:rsidP="00E02357">
            <w:pPr>
              <w:jc w:val="center"/>
              <w:rPr>
                <w:color w:val="000000"/>
              </w:rPr>
            </w:pPr>
            <w:r w:rsidRPr="008B4FB4">
              <w:rPr>
                <w:color w:val="000000"/>
                <w:lang w:val="en"/>
              </w:rPr>
              <w:t>97.06</w:t>
            </w:r>
          </w:p>
        </w:tc>
        <w:tc>
          <w:tcPr>
            <w:tcW w:w="1045" w:type="dxa"/>
            <w:vMerge/>
            <w:tcBorders>
              <w:bottom w:val="single" w:sz="4" w:space="0" w:color="auto"/>
            </w:tcBorders>
            <w:vAlign w:val="center"/>
          </w:tcPr>
          <w:p w14:paraId="20A3EDCC"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4BE6634E"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607C8A04" w14:textId="77777777" w:rsidR="008B4FB4" w:rsidRPr="008B4FB4" w:rsidRDefault="008B4FB4" w:rsidP="0090246F">
            <w:pPr>
              <w:jc w:val="center"/>
              <w:rPr>
                <w:color w:val="000000"/>
              </w:rPr>
            </w:pPr>
          </w:p>
        </w:tc>
      </w:tr>
      <w:tr w:rsidR="008B4FB4" w:rsidRPr="008B4FB4" w14:paraId="637DFEBB" w14:textId="77777777" w:rsidTr="005B4626">
        <w:trPr>
          <w:trHeight w:val="20"/>
        </w:trPr>
        <w:tc>
          <w:tcPr>
            <w:tcW w:w="3106" w:type="dxa"/>
            <w:tcBorders>
              <w:top w:val="single" w:sz="4" w:space="0" w:color="auto"/>
              <w:bottom w:val="nil"/>
            </w:tcBorders>
            <w:shd w:val="clear" w:color="auto" w:fill="auto"/>
            <w:noWrap/>
            <w:vAlign w:val="bottom"/>
            <w:hideMark/>
          </w:tcPr>
          <w:p w14:paraId="18FC014F" w14:textId="77777777" w:rsidR="008B4FB4" w:rsidRPr="008B4FB4" w:rsidRDefault="008B4FB4" w:rsidP="00E02357">
            <w:pPr>
              <w:rPr>
                <w:b/>
                <w:bCs/>
                <w:color w:val="000000"/>
              </w:rPr>
            </w:pPr>
            <w:r w:rsidRPr="008B4FB4">
              <w:rPr>
                <w:b/>
                <w:bCs/>
                <w:color w:val="000000"/>
                <w:lang w:val="en"/>
              </w:rPr>
              <w:t>Age to Start Smoking</w:t>
            </w:r>
          </w:p>
        </w:tc>
        <w:tc>
          <w:tcPr>
            <w:tcW w:w="710" w:type="dxa"/>
            <w:tcBorders>
              <w:top w:val="single" w:sz="4" w:space="0" w:color="auto"/>
              <w:bottom w:val="nil"/>
            </w:tcBorders>
            <w:shd w:val="clear" w:color="auto" w:fill="auto"/>
            <w:noWrap/>
            <w:vAlign w:val="center"/>
            <w:hideMark/>
          </w:tcPr>
          <w:p w14:paraId="16CAE169"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003624FB"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38356EA0"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74E1C7DD"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14BD6C6A"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41F4CD30"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67708A7E" w14:textId="77777777" w:rsidR="008B4FB4" w:rsidRPr="008B4FB4" w:rsidRDefault="008B4FB4" w:rsidP="0090246F">
            <w:pPr>
              <w:jc w:val="center"/>
              <w:rPr>
                <w:b/>
                <w:bCs/>
                <w:color w:val="000000"/>
              </w:rPr>
            </w:pPr>
          </w:p>
        </w:tc>
      </w:tr>
      <w:tr w:rsidR="008B4FB4" w:rsidRPr="008B4FB4" w14:paraId="133E6C92" w14:textId="77777777" w:rsidTr="005B4626">
        <w:trPr>
          <w:trHeight w:val="20"/>
        </w:trPr>
        <w:tc>
          <w:tcPr>
            <w:tcW w:w="3106" w:type="dxa"/>
            <w:tcBorders>
              <w:top w:val="nil"/>
            </w:tcBorders>
            <w:shd w:val="clear" w:color="auto" w:fill="auto"/>
            <w:noWrap/>
            <w:vAlign w:val="bottom"/>
            <w:hideMark/>
          </w:tcPr>
          <w:p w14:paraId="73A2288B" w14:textId="77777777" w:rsidR="008B4FB4" w:rsidRPr="008B4FB4" w:rsidRDefault="008B4FB4" w:rsidP="00E02357">
            <w:pPr>
              <w:rPr>
                <w:color w:val="000000"/>
              </w:rPr>
            </w:pPr>
            <w:r w:rsidRPr="008B4FB4">
              <w:rPr>
                <w:color w:val="000000"/>
                <w:lang w:val="en"/>
              </w:rPr>
              <w:t>≤ 15 years</w:t>
            </w:r>
          </w:p>
        </w:tc>
        <w:tc>
          <w:tcPr>
            <w:tcW w:w="710" w:type="dxa"/>
            <w:tcBorders>
              <w:top w:val="nil"/>
            </w:tcBorders>
            <w:shd w:val="clear" w:color="auto" w:fill="auto"/>
            <w:noWrap/>
            <w:vAlign w:val="center"/>
            <w:hideMark/>
          </w:tcPr>
          <w:p w14:paraId="2EFA49D1" w14:textId="77777777" w:rsidR="008B4FB4" w:rsidRPr="008B4FB4" w:rsidRDefault="008B4FB4" w:rsidP="00E02357">
            <w:pPr>
              <w:jc w:val="center"/>
              <w:rPr>
                <w:color w:val="000000"/>
              </w:rPr>
            </w:pPr>
            <w:r w:rsidRPr="008B4FB4">
              <w:rPr>
                <w:color w:val="000000"/>
                <w:lang w:val="en"/>
              </w:rPr>
              <w:t>9</w:t>
            </w:r>
          </w:p>
        </w:tc>
        <w:tc>
          <w:tcPr>
            <w:tcW w:w="766" w:type="dxa"/>
            <w:tcBorders>
              <w:top w:val="nil"/>
            </w:tcBorders>
            <w:shd w:val="clear" w:color="auto" w:fill="auto"/>
            <w:noWrap/>
            <w:vAlign w:val="center"/>
            <w:hideMark/>
          </w:tcPr>
          <w:p w14:paraId="52EEB15D" w14:textId="77777777" w:rsidR="008B4FB4" w:rsidRPr="008B4FB4" w:rsidRDefault="008B4FB4" w:rsidP="00E02357">
            <w:pPr>
              <w:jc w:val="center"/>
              <w:rPr>
                <w:color w:val="000000"/>
              </w:rPr>
            </w:pPr>
            <w:r w:rsidRPr="008B4FB4">
              <w:rPr>
                <w:color w:val="000000"/>
                <w:lang w:val="en"/>
              </w:rPr>
              <w:t>3.37</w:t>
            </w:r>
          </w:p>
        </w:tc>
        <w:tc>
          <w:tcPr>
            <w:tcW w:w="766" w:type="dxa"/>
            <w:tcBorders>
              <w:top w:val="nil"/>
            </w:tcBorders>
            <w:shd w:val="clear" w:color="auto" w:fill="auto"/>
            <w:noWrap/>
            <w:vAlign w:val="center"/>
            <w:hideMark/>
          </w:tcPr>
          <w:p w14:paraId="2A171FD8" w14:textId="77777777" w:rsidR="008B4FB4" w:rsidRPr="008B4FB4" w:rsidRDefault="008B4FB4" w:rsidP="00E02357">
            <w:pPr>
              <w:jc w:val="center"/>
              <w:rPr>
                <w:color w:val="000000"/>
              </w:rPr>
            </w:pPr>
            <w:r w:rsidRPr="008B4FB4">
              <w:rPr>
                <w:color w:val="000000"/>
                <w:lang w:val="en"/>
              </w:rPr>
              <w:t>258</w:t>
            </w:r>
          </w:p>
        </w:tc>
        <w:tc>
          <w:tcPr>
            <w:tcW w:w="766" w:type="dxa"/>
            <w:tcBorders>
              <w:top w:val="nil"/>
            </w:tcBorders>
            <w:shd w:val="clear" w:color="auto" w:fill="auto"/>
            <w:noWrap/>
            <w:vAlign w:val="center"/>
            <w:hideMark/>
          </w:tcPr>
          <w:p w14:paraId="542D59E4" w14:textId="77777777" w:rsidR="008B4FB4" w:rsidRPr="008B4FB4" w:rsidRDefault="008B4FB4" w:rsidP="00E02357">
            <w:pPr>
              <w:jc w:val="center"/>
              <w:rPr>
                <w:color w:val="000000"/>
              </w:rPr>
            </w:pPr>
            <w:r w:rsidRPr="008B4FB4">
              <w:rPr>
                <w:color w:val="000000"/>
                <w:lang w:val="en"/>
              </w:rPr>
              <w:t>96.63</w:t>
            </w:r>
          </w:p>
        </w:tc>
        <w:tc>
          <w:tcPr>
            <w:tcW w:w="1045" w:type="dxa"/>
            <w:vMerge w:val="restart"/>
            <w:tcBorders>
              <w:top w:val="nil"/>
            </w:tcBorders>
            <w:vAlign w:val="center"/>
          </w:tcPr>
          <w:p w14:paraId="6ADE510C" w14:textId="77777777" w:rsidR="008B4FB4" w:rsidRPr="008B4FB4" w:rsidRDefault="008B4FB4" w:rsidP="0090246F">
            <w:pPr>
              <w:jc w:val="center"/>
              <w:rPr>
                <w:color w:val="000000"/>
              </w:rPr>
            </w:pPr>
            <w:r w:rsidRPr="008B4FB4">
              <w:rPr>
                <w:color w:val="000000"/>
                <w:lang w:val="en"/>
              </w:rPr>
              <w:t>0.572</w:t>
            </w:r>
          </w:p>
        </w:tc>
        <w:tc>
          <w:tcPr>
            <w:tcW w:w="885" w:type="dxa"/>
            <w:vMerge w:val="restart"/>
            <w:tcBorders>
              <w:top w:val="nil"/>
            </w:tcBorders>
            <w:vAlign w:val="center"/>
          </w:tcPr>
          <w:p w14:paraId="6DD835AA" w14:textId="77777777" w:rsidR="008B4FB4" w:rsidRPr="008B4FB4" w:rsidRDefault="008B4FB4" w:rsidP="0090246F">
            <w:pPr>
              <w:jc w:val="center"/>
              <w:rPr>
                <w:color w:val="000000"/>
              </w:rPr>
            </w:pPr>
            <w:r w:rsidRPr="008B4FB4">
              <w:rPr>
                <w:color w:val="000000"/>
                <w:lang w:val="en"/>
              </w:rPr>
              <w:t>0.809</w:t>
            </w:r>
          </w:p>
        </w:tc>
        <w:tc>
          <w:tcPr>
            <w:tcW w:w="1843" w:type="dxa"/>
            <w:vMerge w:val="restart"/>
            <w:tcBorders>
              <w:top w:val="nil"/>
            </w:tcBorders>
            <w:vAlign w:val="center"/>
          </w:tcPr>
          <w:p w14:paraId="1A8FA1C9" w14:textId="77777777" w:rsidR="008B4FB4" w:rsidRPr="008B4FB4" w:rsidRDefault="008B4FB4" w:rsidP="0090246F">
            <w:pPr>
              <w:jc w:val="center"/>
              <w:rPr>
                <w:color w:val="000000"/>
              </w:rPr>
            </w:pPr>
            <w:r w:rsidRPr="008B4FB4">
              <w:rPr>
                <w:color w:val="000000"/>
                <w:lang w:val="en"/>
              </w:rPr>
              <w:t>0.387 – 1.691</w:t>
            </w:r>
          </w:p>
        </w:tc>
      </w:tr>
      <w:tr w:rsidR="008B4FB4" w:rsidRPr="008B4FB4" w14:paraId="2ADBE00B" w14:textId="77777777" w:rsidTr="005B4626">
        <w:trPr>
          <w:trHeight w:val="20"/>
        </w:trPr>
        <w:tc>
          <w:tcPr>
            <w:tcW w:w="3106" w:type="dxa"/>
            <w:tcBorders>
              <w:bottom w:val="single" w:sz="4" w:space="0" w:color="auto"/>
            </w:tcBorders>
            <w:shd w:val="clear" w:color="auto" w:fill="auto"/>
            <w:noWrap/>
            <w:vAlign w:val="bottom"/>
            <w:hideMark/>
          </w:tcPr>
          <w:p w14:paraId="5CD7DAA1" w14:textId="77777777" w:rsidR="008B4FB4" w:rsidRPr="008B4FB4" w:rsidRDefault="008B4FB4" w:rsidP="00E02357">
            <w:pPr>
              <w:rPr>
                <w:color w:val="000000"/>
              </w:rPr>
            </w:pPr>
            <w:r w:rsidRPr="008B4FB4">
              <w:rPr>
                <w:color w:val="000000"/>
                <w:lang w:val="en"/>
              </w:rPr>
              <w:t>&gt; 15 years</w:t>
            </w:r>
          </w:p>
        </w:tc>
        <w:tc>
          <w:tcPr>
            <w:tcW w:w="710" w:type="dxa"/>
            <w:tcBorders>
              <w:bottom w:val="single" w:sz="4" w:space="0" w:color="auto"/>
            </w:tcBorders>
            <w:shd w:val="clear" w:color="auto" w:fill="auto"/>
            <w:noWrap/>
            <w:vAlign w:val="center"/>
            <w:hideMark/>
          </w:tcPr>
          <w:p w14:paraId="5FEB382A" w14:textId="77777777" w:rsidR="008B4FB4" w:rsidRPr="008B4FB4" w:rsidRDefault="008B4FB4" w:rsidP="00E02357">
            <w:pPr>
              <w:jc w:val="center"/>
              <w:rPr>
                <w:color w:val="000000"/>
              </w:rPr>
            </w:pPr>
            <w:r w:rsidRPr="008B4FB4">
              <w:rPr>
                <w:color w:val="000000"/>
                <w:lang w:val="en"/>
              </w:rPr>
              <w:t>39</w:t>
            </w:r>
          </w:p>
        </w:tc>
        <w:tc>
          <w:tcPr>
            <w:tcW w:w="766" w:type="dxa"/>
            <w:tcBorders>
              <w:bottom w:val="single" w:sz="4" w:space="0" w:color="auto"/>
            </w:tcBorders>
            <w:shd w:val="clear" w:color="auto" w:fill="auto"/>
            <w:noWrap/>
            <w:vAlign w:val="center"/>
            <w:hideMark/>
          </w:tcPr>
          <w:p w14:paraId="5DD68FC1" w14:textId="77777777" w:rsidR="008B4FB4" w:rsidRPr="008B4FB4" w:rsidRDefault="008B4FB4" w:rsidP="00E02357">
            <w:pPr>
              <w:jc w:val="center"/>
              <w:rPr>
                <w:color w:val="000000"/>
              </w:rPr>
            </w:pPr>
            <w:r w:rsidRPr="008B4FB4">
              <w:rPr>
                <w:color w:val="000000"/>
                <w:lang w:val="en"/>
              </w:rPr>
              <w:t>4.14</w:t>
            </w:r>
          </w:p>
        </w:tc>
        <w:tc>
          <w:tcPr>
            <w:tcW w:w="766" w:type="dxa"/>
            <w:tcBorders>
              <w:bottom w:val="single" w:sz="4" w:space="0" w:color="auto"/>
            </w:tcBorders>
            <w:shd w:val="clear" w:color="auto" w:fill="auto"/>
            <w:noWrap/>
            <w:vAlign w:val="center"/>
            <w:hideMark/>
          </w:tcPr>
          <w:p w14:paraId="0B55B98E" w14:textId="77777777" w:rsidR="008B4FB4" w:rsidRPr="008B4FB4" w:rsidRDefault="008B4FB4" w:rsidP="00E02357">
            <w:pPr>
              <w:jc w:val="center"/>
              <w:rPr>
                <w:color w:val="000000"/>
              </w:rPr>
            </w:pPr>
            <w:r w:rsidRPr="008B4FB4">
              <w:rPr>
                <w:color w:val="000000"/>
                <w:lang w:val="en"/>
              </w:rPr>
              <w:t>904</w:t>
            </w:r>
          </w:p>
        </w:tc>
        <w:tc>
          <w:tcPr>
            <w:tcW w:w="766" w:type="dxa"/>
            <w:tcBorders>
              <w:bottom w:val="single" w:sz="4" w:space="0" w:color="auto"/>
            </w:tcBorders>
            <w:shd w:val="clear" w:color="auto" w:fill="auto"/>
            <w:noWrap/>
            <w:vAlign w:val="center"/>
            <w:hideMark/>
          </w:tcPr>
          <w:p w14:paraId="72BC3946" w14:textId="77777777" w:rsidR="008B4FB4" w:rsidRPr="008B4FB4" w:rsidRDefault="008B4FB4" w:rsidP="00E02357">
            <w:pPr>
              <w:jc w:val="center"/>
              <w:rPr>
                <w:color w:val="000000"/>
              </w:rPr>
            </w:pPr>
            <w:r w:rsidRPr="008B4FB4">
              <w:rPr>
                <w:color w:val="000000"/>
                <w:lang w:val="en"/>
              </w:rPr>
              <w:t>95.86</w:t>
            </w:r>
          </w:p>
        </w:tc>
        <w:tc>
          <w:tcPr>
            <w:tcW w:w="1045" w:type="dxa"/>
            <w:vMerge/>
            <w:tcBorders>
              <w:bottom w:val="single" w:sz="4" w:space="0" w:color="auto"/>
            </w:tcBorders>
            <w:vAlign w:val="center"/>
          </w:tcPr>
          <w:p w14:paraId="39EE3794"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02D6FA11"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0C4414BA" w14:textId="77777777" w:rsidR="008B4FB4" w:rsidRPr="008B4FB4" w:rsidRDefault="008B4FB4" w:rsidP="0090246F">
            <w:pPr>
              <w:jc w:val="center"/>
              <w:rPr>
                <w:color w:val="000000"/>
              </w:rPr>
            </w:pPr>
          </w:p>
        </w:tc>
      </w:tr>
      <w:tr w:rsidR="008B4FB4" w:rsidRPr="008B4FB4" w14:paraId="769A72DA" w14:textId="77777777" w:rsidTr="005B4626">
        <w:trPr>
          <w:trHeight w:val="20"/>
        </w:trPr>
        <w:tc>
          <w:tcPr>
            <w:tcW w:w="3106" w:type="dxa"/>
            <w:tcBorders>
              <w:top w:val="single" w:sz="4" w:space="0" w:color="auto"/>
              <w:bottom w:val="nil"/>
            </w:tcBorders>
            <w:shd w:val="clear" w:color="auto" w:fill="auto"/>
            <w:noWrap/>
            <w:vAlign w:val="bottom"/>
            <w:hideMark/>
          </w:tcPr>
          <w:p w14:paraId="502EC081" w14:textId="77777777" w:rsidR="008B4FB4" w:rsidRPr="008B4FB4" w:rsidRDefault="008B4FB4" w:rsidP="00E02357">
            <w:pPr>
              <w:rPr>
                <w:b/>
                <w:bCs/>
                <w:color w:val="000000"/>
              </w:rPr>
            </w:pPr>
            <w:r w:rsidRPr="008B4FB4">
              <w:rPr>
                <w:b/>
                <w:bCs/>
                <w:color w:val="000000"/>
                <w:lang w:val="en"/>
              </w:rPr>
              <w:t>Alcohol Consumption</w:t>
            </w:r>
          </w:p>
        </w:tc>
        <w:tc>
          <w:tcPr>
            <w:tcW w:w="710" w:type="dxa"/>
            <w:tcBorders>
              <w:top w:val="single" w:sz="4" w:space="0" w:color="auto"/>
              <w:bottom w:val="nil"/>
            </w:tcBorders>
            <w:shd w:val="clear" w:color="auto" w:fill="auto"/>
            <w:noWrap/>
            <w:vAlign w:val="center"/>
            <w:hideMark/>
          </w:tcPr>
          <w:p w14:paraId="2C9C0080"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77CBF262"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661E892B"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3C81224B"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410D71C2"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3BD20980"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03C34E2B" w14:textId="77777777" w:rsidR="008B4FB4" w:rsidRPr="008B4FB4" w:rsidRDefault="008B4FB4" w:rsidP="0090246F">
            <w:pPr>
              <w:jc w:val="center"/>
              <w:rPr>
                <w:b/>
                <w:bCs/>
                <w:color w:val="000000"/>
              </w:rPr>
            </w:pPr>
          </w:p>
        </w:tc>
      </w:tr>
      <w:tr w:rsidR="008B4FB4" w:rsidRPr="008B4FB4" w14:paraId="26D0F167" w14:textId="77777777" w:rsidTr="005B4626">
        <w:trPr>
          <w:trHeight w:val="20"/>
        </w:trPr>
        <w:tc>
          <w:tcPr>
            <w:tcW w:w="3106" w:type="dxa"/>
            <w:tcBorders>
              <w:top w:val="nil"/>
            </w:tcBorders>
            <w:shd w:val="clear" w:color="auto" w:fill="auto"/>
            <w:noWrap/>
            <w:vAlign w:val="bottom"/>
            <w:hideMark/>
          </w:tcPr>
          <w:p w14:paraId="1E350DFB" w14:textId="77777777" w:rsidR="008B4FB4" w:rsidRPr="008B4FB4" w:rsidRDefault="008B4FB4" w:rsidP="00E02357">
            <w:pPr>
              <w:rPr>
                <w:color w:val="000000"/>
              </w:rPr>
            </w:pPr>
            <w:r w:rsidRPr="008B4FB4">
              <w:rPr>
                <w:color w:val="000000"/>
                <w:lang w:val="en"/>
              </w:rPr>
              <w:t>Yes</w:t>
            </w:r>
          </w:p>
        </w:tc>
        <w:tc>
          <w:tcPr>
            <w:tcW w:w="710" w:type="dxa"/>
            <w:tcBorders>
              <w:top w:val="nil"/>
            </w:tcBorders>
            <w:shd w:val="clear" w:color="auto" w:fill="auto"/>
            <w:noWrap/>
            <w:vAlign w:val="center"/>
            <w:hideMark/>
          </w:tcPr>
          <w:p w14:paraId="74662887" w14:textId="77777777" w:rsidR="008B4FB4" w:rsidRPr="008B4FB4" w:rsidRDefault="008B4FB4" w:rsidP="00E02357">
            <w:pPr>
              <w:jc w:val="center"/>
              <w:rPr>
                <w:color w:val="000000"/>
              </w:rPr>
            </w:pPr>
            <w:r w:rsidRPr="008B4FB4">
              <w:rPr>
                <w:color w:val="000000"/>
                <w:lang w:val="en"/>
              </w:rPr>
              <w:t>13</w:t>
            </w:r>
          </w:p>
        </w:tc>
        <w:tc>
          <w:tcPr>
            <w:tcW w:w="766" w:type="dxa"/>
            <w:tcBorders>
              <w:top w:val="nil"/>
            </w:tcBorders>
            <w:shd w:val="clear" w:color="auto" w:fill="auto"/>
            <w:noWrap/>
            <w:vAlign w:val="center"/>
            <w:hideMark/>
          </w:tcPr>
          <w:p w14:paraId="0E2DB4CA" w14:textId="77777777" w:rsidR="008B4FB4" w:rsidRPr="008B4FB4" w:rsidRDefault="008B4FB4" w:rsidP="00E02357">
            <w:pPr>
              <w:jc w:val="center"/>
              <w:rPr>
                <w:color w:val="000000"/>
              </w:rPr>
            </w:pPr>
            <w:r w:rsidRPr="008B4FB4">
              <w:rPr>
                <w:color w:val="000000"/>
                <w:lang w:val="en"/>
              </w:rPr>
              <w:t>5.10</w:t>
            </w:r>
          </w:p>
        </w:tc>
        <w:tc>
          <w:tcPr>
            <w:tcW w:w="766" w:type="dxa"/>
            <w:tcBorders>
              <w:top w:val="nil"/>
            </w:tcBorders>
            <w:shd w:val="clear" w:color="auto" w:fill="auto"/>
            <w:noWrap/>
            <w:vAlign w:val="center"/>
            <w:hideMark/>
          </w:tcPr>
          <w:p w14:paraId="0A7D52AC" w14:textId="77777777" w:rsidR="008B4FB4" w:rsidRPr="008B4FB4" w:rsidRDefault="008B4FB4" w:rsidP="00E02357">
            <w:pPr>
              <w:jc w:val="center"/>
              <w:rPr>
                <w:color w:val="000000"/>
              </w:rPr>
            </w:pPr>
            <w:r w:rsidRPr="008B4FB4">
              <w:rPr>
                <w:color w:val="000000"/>
                <w:lang w:val="en"/>
              </w:rPr>
              <w:t>242</w:t>
            </w:r>
          </w:p>
        </w:tc>
        <w:tc>
          <w:tcPr>
            <w:tcW w:w="766" w:type="dxa"/>
            <w:tcBorders>
              <w:top w:val="nil"/>
            </w:tcBorders>
            <w:shd w:val="clear" w:color="auto" w:fill="auto"/>
            <w:noWrap/>
            <w:vAlign w:val="center"/>
            <w:hideMark/>
          </w:tcPr>
          <w:p w14:paraId="04D94730" w14:textId="77777777" w:rsidR="008B4FB4" w:rsidRPr="008B4FB4" w:rsidRDefault="008B4FB4" w:rsidP="00E02357">
            <w:pPr>
              <w:jc w:val="center"/>
              <w:rPr>
                <w:color w:val="000000"/>
              </w:rPr>
            </w:pPr>
            <w:r w:rsidRPr="008B4FB4">
              <w:rPr>
                <w:color w:val="000000"/>
                <w:lang w:val="en"/>
              </w:rPr>
              <w:t>94.90</w:t>
            </w:r>
          </w:p>
        </w:tc>
        <w:tc>
          <w:tcPr>
            <w:tcW w:w="1045" w:type="dxa"/>
            <w:vMerge w:val="restart"/>
            <w:tcBorders>
              <w:top w:val="nil"/>
            </w:tcBorders>
            <w:vAlign w:val="center"/>
          </w:tcPr>
          <w:p w14:paraId="1E8CA07B" w14:textId="77777777" w:rsidR="008B4FB4" w:rsidRPr="008B4FB4" w:rsidRDefault="008B4FB4" w:rsidP="0090246F">
            <w:pPr>
              <w:jc w:val="center"/>
              <w:rPr>
                <w:color w:val="000000"/>
              </w:rPr>
            </w:pPr>
            <w:r w:rsidRPr="008B4FB4">
              <w:rPr>
                <w:color w:val="000000"/>
                <w:lang w:val="en"/>
              </w:rPr>
              <w:t>0.298</w:t>
            </w:r>
          </w:p>
        </w:tc>
        <w:tc>
          <w:tcPr>
            <w:tcW w:w="885" w:type="dxa"/>
            <w:vMerge w:val="restart"/>
            <w:tcBorders>
              <w:top w:val="nil"/>
            </w:tcBorders>
            <w:vAlign w:val="center"/>
          </w:tcPr>
          <w:p w14:paraId="13F55053" w14:textId="77777777" w:rsidR="008B4FB4" w:rsidRPr="008B4FB4" w:rsidRDefault="008B4FB4" w:rsidP="0090246F">
            <w:pPr>
              <w:jc w:val="center"/>
              <w:rPr>
                <w:color w:val="000000"/>
              </w:rPr>
            </w:pPr>
            <w:r w:rsidRPr="008B4FB4">
              <w:rPr>
                <w:color w:val="000000"/>
                <w:lang w:val="en"/>
              </w:rPr>
              <w:t>1.412</w:t>
            </w:r>
          </w:p>
        </w:tc>
        <w:tc>
          <w:tcPr>
            <w:tcW w:w="1843" w:type="dxa"/>
            <w:vMerge w:val="restart"/>
            <w:tcBorders>
              <w:top w:val="nil"/>
            </w:tcBorders>
            <w:vAlign w:val="center"/>
          </w:tcPr>
          <w:p w14:paraId="45173820" w14:textId="77777777" w:rsidR="008B4FB4" w:rsidRPr="008B4FB4" w:rsidRDefault="008B4FB4" w:rsidP="0090246F">
            <w:pPr>
              <w:jc w:val="center"/>
              <w:rPr>
                <w:color w:val="000000"/>
              </w:rPr>
            </w:pPr>
            <w:r w:rsidRPr="008B4FB4">
              <w:rPr>
                <w:color w:val="000000"/>
                <w:lang w:val="en"/>
              </w:rPr>
              <w:t>0.736 – 2.711</w:t>
            </w:r>
          </w:p>
        </w:tc>
      </w:tr>
      <w:tr w:rsidR="008B4FB4" w:rsidRPr="008B4FB4" w14:paraId="27CA273E" w14:textId="77777777" w:rsidTr="005B4626">
        <w:trPr>
          <w:trHeight w:val="20"/>
        </w:trPr>
        <w:tc>
          <w:tcPr>
            <w:tcW w:w="3106" w:type="dxa"/>
            <w:tcBorders>
              <w:bottom w:val="single" w:sz="4" w:space="0" w:color="auto"/>
            </w:tcBorders>
            <w:shd w:val="clear" w:color="auto" w:fill="auto"/>
            <w:noWrap/>
            <w:vAlign w:val="bottom"/>
            <w:hideMark/>
          </w:tcPr>
          <w:p w14:paraId="38C9C4B9" w14:textId="77777777" w:rsidR="008B4FB4" w:rsidRPr="008B4FB4" w:rsidRDefault="008B4FB4" w:rsidP="00E02357">
            <w:pPr>
              <w:rPr>
                <w:color w:val="000000"/>
              </w:rPr>
            </w:pPr>
            <w:r w:rsidRPr="008B4FB4">
              <w:rPr>
                <w:color w:val="000000"/>
                <w:lang w:val="en"/>
              </w:rPr>
              <w:t>Not</w:t>
            </w:r>
          </w:p>
        </w:tc>
        <w:tc>
          <w:tcPr>
            <w:tcW w:w="710" w:type="dxa"/>
            <w:tcBorders>
              <w:bottom w:val="single" w:sz="4" w:space="0" w:color="auto"/>
            </w:tcBorders>
            <w:shd w:val="clear" w:color="auto" w:fill="auto"/>
            <w:noWrap/>
            <w:vAlign w:val="center"/>
            <w:hideMark/>
          </w:tcPr>
          <w:p w14:paraId="2F8CD1E9" w14:textId="77777777" w:rsidR="008B4FB4" w:rsidRPr="008B4FB4" w:rsidRDefault="008B4FB4" w:rsidP="00E02357">
            <w:pPr>
              <w:jc w:val="center"/>
              <w:rPr>
                <w:color w:val="000000"/>
              </w:rPr>
            </w:pPr>
            <w:r w:rsidRPr="008B4FB4">
              <w:rPr>
                <w:color w:val="000000"/>
                <w:lang w:val="en"/>
              </w:rPr>
              <w:t>35</w:t>
            </w:r>
          </w:p>
        </w:tc>
        <w:tc>
          <w:tcPr>
            <w:tcW w:w="766" w:type="dxa"/>
            <w:tcBorders>
              <w:bottom w:val="single" w:sz="4" w:space="0" w:color="auto"/>
            </w:tcBorders>
            <w:shd w:val="clear" w:color="auto" w:fill="auto"/>
            <w:noWrap/>
            <w:vAlign w:val="center"/>
            <w:hideMark/>
          </w:tcPr>
          <w:p w14:paraId="485DB647" w14:textId="77777777" w:rsidR="008B4FB4" w:rsidRPr="008B4FB4" w:rsidRDefault="008B4FB4" w:rsidP="00E02357">
            <w:pPr>
              <w:jc w:val="center"/>
              <w:rPr>
                <w:color w:val="000000"/>
              </w:rPr>
            </w:pPr>
            <w:r w:rsidRPr="008B4FB4">
              <w:rPr>
                <w:color w:val="000000"/>
                <w:lang w:val="en"/>
              </w:rPr>
              <w:t>3.66</w:t>
            </w:r>
          </w:p>
        </w:tc>
        <w:tc>
          <w:tcPr>
            <w:tcW w:w="766" w:type="dxa"/>
            <w:tcBorders>
              <w:bottom w:val="single" w:sz="4" w:space="0" w:color="auto"/>
            </w:tcBorders>
            <w:shd w:val="clear" w:color="auto" w:fill="auto"/>
            <w:noWrap/>
            <w:vAlign w:val="center"/>
            <w:hideMark/>
          </w:tcPr>
          <w:p w14:paraId="4E26AB71" w14:textId="77777777" w:rsidR="008B4FB4" w:rsidRPr="008B4FB4" w:rsidRDefault="008B4FB4" w:rsidP="00E02357">
            <w:pPr>
              <w:jc w:val="center"/>
              <w:rPr>
                <w:color w:val="000000"/>
              </w:rPr>
            </w:pPr>
            <w:r w:rsidRPr="008B4FB4">
              <w:rPr>
                <w:color w:val="000000"/>
                <w:lang w:val="en"/>
              </w:rPr>
              <w:t>920</w:t>
            </w:r>
          </w:p>
        </w:tc>
        <w:tc>
          <w:tcPr>
            <w:tcW w:w="766" w:type="dxa"/>
            <w:tcBorders>
              <w:bottom w:val="single" w:sz="4" w:space="0" w:color="auto"/>
            </w:tcBorders>
            <w:shd w:val="clear" w:color="auto" w:fill="auto"/>
            <w:noWrap/>
            <w:vAlign w:val="center"/>
            <w:hideMark/>
          </w:tcPr>
          <w:p w14:paraId="3C8BEC3C" w14:textId="77777777" w:rsidR="008B4FB4" w:rsidRPr="008B4FB4" w:rsidRDefault="008B4FB4" w:rsidP="00E02357">
            <w:pPr>
              <w:jc w:val="center"/>
              <w:rPr>
                <w:color w:val="000000"/>
              </w:rPr>
            </w:pPr>
            <w:r w:rsidRPr="008B4FB4">
              <w:rPr>
                <w:color w:val="000000"/>
                <w:lang w:val="en"/>
              </w:rPr>
              <w:t>96.34</w:t>
            </w:r>
          </w:p>
        </w:tc>
        <w:tc>
          <w:tcPr>
            <w:tcW w:w="1045" w:type="dxa"/>
            <w:vMerge/>
            <w:tcBorders>
              <w:bottom w:val="single" w:sz="4" w:space="0" w:color="auto"/>
            </w:tcBorders>
            <w:vAlign w:val="center"/>
          </w:tcPr>
          <w:p w14:paraId="5EF29FFF"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1CF0F08D"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62490ED0" w14:textId="77777777" w:rsidR="008B4FB4" w:rsidRPr="008B4FB4" w:rsidRDefault="008B4FB4" w:rsidP="0090246F">
            <w:pPr>
              <w:jc w:val="center"/>
              <w:rPr>
                <w:color w:val="000000"/>
              </w:rPr>
            </w:pPr>
          </w:p>
        </w:tc>
      </w:tr>
      <w:tr w:rsidR="008B4FB4" w:rsidRPr="008B4FB4" w14:paraId="6E08E89A" w14:textId="77777777" w:rsidTr="005B4626">
        <w:trPr>
          <w:trHeight w:val="20"/>
        </w:trPr>
        <w:tc>
          <w:tcPr>
            <w:tcW w:w="3106" w:type="dxa"/>
            <w:tcBorders>
              <w:top w:val="single" w:sz="4" w:space="0" w:color="auto"/>
              <w:bottom w:val="nil"/>
            </w:tcBorders>
            <w:shd w:val="clear" w:color="auto" w:fill="auto"/>
            <w:noWrap/>
            <w:vAlign w:val="bottom"/>
            <w:hideMark/>
          </w:tcPr>
          <w:p w14:paraId="11503BA9" w14:textId="77777777" w:rsidR="008B4FB4" w:rsidRPr="008B4FB4" w:rsidRDefault="008B4FB4" w:rsidP="00E02357">
            <w:pPr>
              <w:rPr>
                <w:b/>
                <w:bCs/>
                <w:color w:val="000000"/>
              </w:rPr>
            </w:pPr>
            <w:r w:rsidRPr="008B4FB4">
              <w:rPr>
                <w:b/>
                <w:bCs/>
                <w:color w:val="000000"/>
                <w:lang w:val="en"/>
              </w:rPr>
              <w:t>Physical Activity</w:t>
            </w:r>
          </w:p>
        </w:tc>
        <w:tc>
          <w:tcPr>
            <w:tcW w:w="710" w:type="dxa"/>
            <w:tcBorders>
              <w:top w:val="single" w:sz="4" w:space="0" w:color="auto"/>
              <w:bottom w:val="nil"/>
            </w:tcBorders>
            <w:shd w:val="clear" w:color="auto" w:fill="auto"/>
            <w:noWrap/>
            <w:vAlign w:val="center"/>
            <w:hideMark/>
          </w:tcPr>
          <w:p w14:paraId="4E0D7678"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7586BCA5"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4D000B1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15B642A8"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0C27DD95"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706C5998"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07B60C77" w14:textId="77777777" w:rsidR="008B4FB4" w:rsidRPr="008B4FB4" w:rsidRDefault="008B4FB4" w:rsidP="0090246F">
            <w:pPr>
              <w:jc w:val="center"/>
              <w:rPr>
                <w:b/>
                <w:bCs/>
                <w:color w:val="000000"/>
              </w:rPr>
            </w:pPr>
          </w:p>
        </w:tc>
      </w:tr>
      <w:tr w:rsidR="008B4FB4" w:rsidRPr="008B4FB4" w14:paraId="378D5BA0" w14:textId="77777777" w:rsidTr="005B4626">
        <w:trPr>
          <w:trHeight w:val="20"/>
        </w:trPr>
        <w:tc>
          <w:tcPr>
            <w:tcW w:w="3106" w:type="dxa"/>
            <w:tcBorders>
              <w:top w:val="nil"/>
            </w:tcBorders>
            <w:shd w:val="clear" w:color="auto" w:fill="auto"/>
            <w:noWrap/>
            <w:vAlign w:val="bottom"/>
            <w:hideMark/>
          </w:tcPr>
          <w:p w14:paraId="66D03EB3" w14:textId="77777777" w:rsidR="008B4FB4" w:rsidRPr="008B4FB4" w:rsidRDefault="008B4FB4" w:rsidP="00E02357">
            <w:pPr>
              <w:rPr>
                <w:color w:val="000000"/>
              </w:rPr>
            </w:pPr>
            <w:r w:rsidRPr="008B4FB4">
              <w:rPr>
                <w:color w:val="000000"/>
                <w:lang w:val="en"/>
              </w:rPr>
              <w:t>Heavy</w:t>
            </w:r>
          </w:p>
        </w:tc>
        <w:tc>
          <w:tcPr>
            <w:tcW w:w="710" w:type="dxa"/>
            <w:tcBorders>
              <w:top w:val="nil"/>
            </w:tcBorders>
            <w:shd w:val="clear" w:color="auto" w:fill="auto"/>
            <w:noWrap/>
            <w:vAlign w:val="center"/>
            <w:hideMark/>
          </w:tcPr>
          <w:p w14:paraId="5E024273" w14:textId="77777777" w:rsidR="008B4FB4" w:rsidRPr="008B4FB4" w:rsidRDefault="008B4FB4" w:rsidP="00E02357">
            <w:pPr>
              <w:jc w:val="center"/>
              <w:rPr>
                <w:color w:val="000000"/>
              </w:rPr>
            </w:pPr>
            <w:r w:rsidRPr="008B4FB4">
              <w:rPr>
                <w:color w:val="000000"/>
                <w:lang w:val="en"/>
              </w:rPr>
              <w:t>3</w:t>
            </w:r>
          </w:p>
        </w:tc>
        <w:tc>
          <w:tcPr>
            <w:tcW w:w="766" w:type="dxa"/>
            <w:tcBorders>
              <w:top w:val="nil"/>
            </w:tcBorders>
            <w:shd w:val="clear" w:color="auto" w:fill="auto"/>
            <w:noWrap/>
            <w:vAlign w:val="center"/>
            <w:hideMark/>
          </w:tcPr>
          <w:p w14:paraId="17BC256C" w14:textId="77777777" w:rsidR="008B4FB4" w:rsidRPr="008B4FB4" w:rsidRDefault="008B4FB4" w:rsidP="00E02357">
            <w:pPr>
              <w:jc w:val="center"/>
              <w:rPr>
                <w:color w:val="000000"/>
              </w:rPr>
            </w:pPr>
            <w:r w:rsidRPr="008B4FB4">
              <w:rPr>
                <w:color w:val="000000"/>
                <w:lang w:val="en"/>
              </w:rPr>
              <w:t>4.69</w:t>
            </w:r>
          </w:p>
        </w:tc>
        <w:tc>
          <w:tcPr>
            <w:tcW w:w="766" w:type="dxa"/>
            <w:tcBorders>
              <w:top w:val="nil"/>
            </w:tcBorders>
            <w:shd w:val="clear" w:color="auto" w:fill="auto"/>
            <w:noWrap/>
            <w:vAlign w:val="center"/>
            <w:hideMark/>
          </w:tcPr>
          <w:p w14:paraId="27F46C70" w14:textId="77777777" w:rsidR="008B4FB4" w:rsidRPr="008B4FB4" w:rsidRDefault="008B4FB4" w:rsidP="00E02357">
            <w:pPr>
              <w:jc w:val="center"/>
              <w:rPr>
                <w:color w:val="000000"/>
              </w:rPr>
            </w:pPr>
            <w:r w:rsidRPr="008B4FB4">
              <w:rPr>
                <w:color w:val="000000"/>
                <w:lang w:val="en"/>
              </w:rPr>
              <w:t>61</w:t>
            </w:r>
          </w:p>
        </w:tc>
        <w:tc>
          <w:tcPr>
            <w:tcW w:w="766" w:type="dxa"/>
            <w:tcBorders>
              <w:top w:val="nil"/>
            </w:tcBorders>
            <w:shd w:val="clear" w:color="auto" w:fill="auto"/>
            <w:noWrap/>
            <w:vAlign w:val="center"/>
            <w:hideMark/>
          </w:tcPr>
          <w:p w14:paraId="66F0D41C" w14:textId="77777777" w:rsidR="008B4FB4" w:rsidRPr="008B4FB4" w:rsidRDefault="008B4FB4" w:rsidP="00E02357">
            <w:pPr>
              <w:jc w:val="center"/>
              <w:rPr>
                <w:color w:val="000000"/>
              </w:rPr>
            </w:pPr>
            <w:r w:rsidRPr="008B4FB4">
              <w:rPr>
                <w:color w:val="000000"/>
                <w:lang w:val="en"/>
              </w:rPr>
              <w:t>95.31</w:t>
            </w:r>
          </w:p>
        </w:tc>
        <w:tc>
          <w:tcPr>
            <w:tcW w:w="1045" w:type="dxa"/>
            <w:vMerge w:val="restart"/>
            <w:tcBorders>
              <w:top w:val="nil"/>
            </w:tcBorders>
            <w:vAlign w:val="center"/>
          </w:tcPr>
          <w:p w14:paraId="400624B1" w14:textId="77777777" w:rsidR="008B4FB4" w:rsidRPr="008B4FB4" w:rsidRDefault="008B4FB4" w:rsidP="0090246F">
            <w:pPr>
              <w:jc w:val="center"/>
              <w:rPr>
                <w:color w:val="000000"/>
              </w:rPr>
            </w:pPr>
            <w:r w:rsidRPr="008B4FB4">
              <w:rPr>
                <w:color w:val="000000"/>
                <w:lang w:val="en"/>
              </w:rPr>
              <w:t>0.762</w:t>
            </w:r>
          </w:p>
        </w:tc>
        <w:tc>
          <w:tcPr>
            <w:tcW w:w="885" w:type="dxa"/>
            <w:vMerge w:val="restart"/>
            <w:tcBorders>
              <w:top w:val="nil"/>
            </w:tcBorders>
            <w:vAlign w:val="center"/>
          </w:tcPr>
          <w:p w14:paraId="46BA7111" w14:textId="77777777" w:rsidR="008B4FB4" w:rsidRPr="008B4FB4" w:rsidRDefault="008B4FB4" w:rsidP="0090246F">
            <w:pPr>
              <w:jc w:val="center"/>
              <w:rPr>
                <w:color w:val="000000"/>
              </w:rPr>
            </w:pPr>
            <w:r w:rsidRPr="008B4FB4">
              <w:rPr>
                <w:color w:val="000000"/>
                <w:lang w:val="en"/>
              </w:rPr>
              <w:t>1.203</w:t>
            </w:r>
          </w:p>
        </w:tc>
        <w:tc>
          <w:tcPr>
            <w:tcW w:w="1843" w:type="dxa"/>
            <w:vMerge w:val="restart"/>
            <w:tcBorders>
              <w:top w:val="nil"/>
            </w:tcBorders>
            <w:vAlign w:val="center"/>
          </w:tcPr>
          <w:p w14:paraId="7990800D" w14:textId="77777777" w:rsidR="008B4FB4" w:rsidRPr="008B4FB4" w:rsidRDefault="008B4FB4" w:rsidP="0090246F">
            <w:pPr>
              <w:jc w:val="center"/>
              <w:rPr>
                <w:color w:val="000000"/>
              </w:rPr>
            </w:pPr>
            <w:r w:rsidRPr="008B4FB4">
              <w:rPr>
                <w:color w:val="000000"/>
                <w:lang w:val="en"/>
              </w:rPr>
              <w:t>0.364 – 0.364</w:t>
            </w:r>
          </w:p>
        </w:tc>
      </w:tr>
      <w:tr w:rsidR="008B4FB4" w:rsidRPr="008B4FB4" w14:paraId="230EFEA9" w14:textId="77777777" w:rsidTr="005B4626">
        <w:trPr>
          <w:trHeight w:val="20"/>
        </w:trPr>
        <w:tc>
          <w:tcPr>
            <w:tcW w:w="3106" w:type="dxa"/>
            <w:tcBorders>
              <w:bottom w:val="single" w:sz="4" w:space="0" w:color="auto"/>
            </w:tcBorders>
            <w:shd w:val="clear" w:color="auto" w:fill="auto"/>
            <w:noWrap/>
            <w:vAlign w:val="bottom"/>
            <w:hideMark/>
          </w:tcPr>
          <w:p w14:paraId="4500C7FD" w14:textId="77777777" w:rsidR="008B4FB4" w:rsidRPr="008B4FB4" w:rsidRDefault="008B4FB4" w:rsidP="00E02357">
            <w:pPr>
              <w:rPr>
                <w:color w:val="000000"/>
              </w:rPr>
            </w:pPr>
            <w:r w:rsidRPr="008B4FB4">
              <w:rPr>
                <w:color w:val="000000"/>
                <w:lang w:val="en"/>
              </w:rPr>
              <w:t>Light</w:t>
            </w:r>
          </w:p>
        </w:tc>
        <w:tc>
          <w:tcPr>
            <w:tcW w:w="710" w:type="dxa"/>
            <w:tcBorders>
              <w:bottom w:val="single" w:sz="4" w:space="0" w:color="auto"/>
            </w:tcBorders>
            <w:shd w:val="clear" w:color="auto" w:fill="auto"/>
            <w:noWrap/>
            <w:vAlign w:val="center"/>
            <w:hideMark/>
          </w:tcPr>
          <w:p w14:paraId="4A051DF6" w14:textId="77777777" w:rsidR="008B4FB4" w:rsidRPr="008B4FB4" w:rsidRDefault="008B4FB4" w:rsidP="00E02357">
            <w:pPr>
              <w:jc w:val="center"/>
              <w:rPr>
                <w:color w:val="000000"/>
              </w:rPr>
            </w:pPr>
            <w:r w:rsidRPr="008B4FB4">
              <w:rPr>
                <w:color w:val="000000"/>
                <w:lang w:val="en"/>
              </w:rPr>
              <w:t>45</w:t>
            </w:r>
          </w:p>
        </w:tc>
        <w:tc>
          <w:tcPr>
            <w:tcW w:w="766" w:type="dxa"/>
            <w:tcBorders>
              <w:bottom w:val="single" w:sz="4" w:space="0" w:color="auto"/>
            </w:tcBorders>
            <w:shd w:val="clear" w:color="auto" w:fill="auto"/>
            <w:noWrap/>
            <w:vAlign w:val="center"/>
            <w:hideMark/>
          </w:tcPr>
          <w:p w14:paraId="415B332B" w14:textId="77777777" w:rsidR="008B4FB4" w:rsidRPr="008B4FB4" w:rsidRDefault="008B4FB4" w:rsidP="00E02357">
            <w:pPr>
              <w:jc w:val="center"/>
              <w:rPr>
                <w:color w:val="000000"/>
              </w:rPr>
            </w:pPr>
            <w:r w:rsidRPr="008B4FB4">
              <w:rPr>
                <w:color w:val="000000"/>
                <w:lang w:val="en"/>
              </w:rPr>
              <w:t>3.93</w:t>
            </w:r>
          </w:p>
        </w:tc>
        <w:tc>
          <w:tcPr>
            <w:tcW w:w="766" w:type="dxa"/>
            <w:tcBorders>
              <w:bottom w:val="single" w:sz="4" w:space="0" w:color="auto"/>
            </w:tcBorders>
            <w:shd w:val="clear" w:color="auto" w:fill="auto"/>
            <w:noWrap/>
            <w:vAlign w:val="center"/>
            <w:hideMark/>
          </w:tcPr>
          <w:p w14:paraId="62C6D96D" w14:textId="77777777" w:rsidR="008B4FB4" w:rsidRPr="008B4FB4" w:rsidRDefault="008B4FB4" w:rsidP="00E02357">
            <w:pPr>
              <w:jc w:val="center"/>
              <w:rPr>
                <w:color w:val="000000"/>
              </w:rPr>
            </w:pPr>
            <w:r w:rsidRPr="008B4FB4">
              <w:rPr>
                <w:color w:val="000000"/>
                <w:lang w:val="en"/>
              </w:rPr>
              <w:t>1101</w:t>
            </w:r>
          </w:p>
        </w:tc>
        <w:tc>
          <w:tcPr>
            <w:tcW w:w="766" w:type="dxa"/>
            <w:tcBorders>
              <w:bottom w:val="single" w:sz="4" w:space="0" w:color="auto"/>
            </w:tcBorders>
            <w:shd w:val="clear" w:color="auto" w:fill="auto"/>
            <w:noWrap/>
            <w:vAlign w:val="center"/>
            <w:hideMark/>
          </w:tcPr>
          <w:p w14:paraId="01901E84" w14:textId="77777777" w:rsidR="008B4FB4" w:rsidRPr="008B4FB4" w:rsidRDefault="008B4FB4" w:rsidP="00E02357">
            <w:pPr>
              <w:jc w:val="center"/>
              <w:rPr>
                <w:color w:val="000000"/>
              </w:rPr>
            </w:pPr>
            <w:r w:rsidRPr="008B4FB4">
              <w:rPr>
                <w:color w:val="000000"/>
                <w:lang w:val="en"/>
              </w:rPr>
              <w:t>96.07</w:t>
            </w:r>
          </w:p>
        </w:tc>
        <w:tc>
          <w:tcPr>
            <w:tcW w:w="1045" w:type="dxa"/>
            <w:vMerge/>
            <w:tcBorders>
              <w:bottom w:val="single" w:sz="4" w:space="0" w:color="auto"/>
            </w:tcBorders>
            <w:vAlign w:val="center"/>
          </w:tcPr>
          <w:p w14:paraId="10EF615B"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4A76AAC3"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4581E3DA" w14:textId="77777777" w:rsidR="008B4FB4" w:rsidRPr="008B4FB4" w:rsidRDefault="008B4FB4" w:rsidP="0090246F">
            <w:pPr>
              <w:jc w:val="center"/>
              <w:rPr>
                <w:color w:val="000000"/>
              </w:rPr>
            </w:pPr>
          </w:p>
        </w:tc>
      </w:tr>
      <w:tr w:rsidR="008B4FB4" w:rsidRPr="008B4FB4" w14:paraId="7544B1B5" w14:textId="77777777" w:rsidTr="005B4626">
        <w:trPr>
          <w:trHeight w:val="20"/>
        </w:trPr>
        <w:tc>
          <w:tcPr>
            <w:tcW w:w="3106" w:type="dxa"/>
            <w:tcBorders>
              <w:top w:val="single" w:sz="4" w:space="0" w:color="auto"/>
              <w:bottom w:val="nil"/>
            </w:tcBorders>
            <w:shd w:val="clear" w:color="auto" w:fill="auto"/>
            <w:noWrap/>
            <w:vAlign w:val="bottom"/>
            <w:hideMark/>
          </w:tcPr>
          <w:p w14:paraId="114C526B" w14:textId="77777777" w:rsidR="008B4FB4" w:rsidRPr="008B4FB4" w:rsidRDefault="008B4FB4" w:rsidP="00E02357">
            <w:pPr>
              <w:rPr>
                <w:b/>
                <w:bCs/>
                <w:color w:val="000000"/>
              </w:rPr>
            </w:pPr>
            <w:r w:rsidRPr="008B4FB4">
              <w:rPr>
                <w:b/>
                <w:bCs/>
                <w:color w:val="000000"/>
                <w:lang w:val="en"/>
              </w:rPr>
              <w:t>Diabetes Mellitus</w:t>
            </w:r>
          </w:p>
        </w:tc>
        <w:tc>
          <w:tcPr>
            <w:tcW w:w="710" w:type="dxa"/>
            <w:tcBorders>
              <w:top w:val="single" w:sz="4" w:space="0" w:color="auto"/>
              <w:bottom w:val="nil"/>
            </w:tcBorders>
            <w:shd w:val="clear" w:color="auto" w:fill="auto"/>
            <w:noWrap/>
            <w:vAlign w:val="center"/>
            <w:hideMark/>
          </w:tcPr>
          <w:p w14:paraId="38028F1D"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553926DF"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0C9522F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506B0B10"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35943A88"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12964575"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29F34903" w14:textId="77777777" w:rsidR="008B4FB4" w:rsidRPr="008B4FB4" w:rsidRDefault="008B4FB4" w:rsidP="0090246F">
            <w:pPr>
              <w:jc w:val="center"/>
              <w:rPr>
                <w:b/>
                <w:bCs/>
                <w:color w:val="000000"/>
              </w:rPr>
            </w:pPr>
          </w:p>
        </w:tc>
      </w:tr>
      <w:tr w:rsidR="008B4FB4" w:rsidRPr="008B4FB4" w14:paraId="762D1B59" w14:textId="77777777" w:rsidTr="005B4626">
        <w:trPr>
          <w:trHeight w:val="20"/>
        </w:trPr>
        <w:tc>
          <w:tcPr>
            <w:tcW w:w="3106" w:type="dxa"/>
            <w:tcBorders>
              <w:top w:val="nil"/>
            </w:tcBorders>
            <w:shd w:val="clear" w:color="auto" w:fill="auto"/>
            <w:noWrap/>
            <w:vAlign w:val="bottom"/>
            <w:hideMark/>
          </w:tcPr>
          <w:p w14:paraId="676260BE" w14:textId="77777777" w:rsidR="008B4FB4" w:rsidRPr="008B4FB4" w:rsidRDefault="008B4FB4" w:rsidP="00E02357">
            <w:pPr>
              <w:rPr>
                <w:color w:val="000000"/>
              </w:rPr>
            </w:pPr>
            <w:r w:rsidRPr="008B4FB4">
              <w:rPr>
                <w:color w:val="000000"/>
                <w:lang w:val="en"/>
              </w:rPr>
              <w:t>Positive</w:t>
            </w:r>
          </w:p>
        </w:tc>
        <w:tc>
          <w:tcPr>
            <w:tcW w:w="710" w:type="dxa"/>
            <w:tcBorders>
              <w:top w:val="nil"/>
            </w:tcBorders>
            <w:shd w:val="clear" w:color="auto" w:fill="auto"/>
            <w:noWrap/>
            <w:vAlign w:val="center"/>
            <w:hideMark/>
          </w:tcPr>
          <w:p w14:paraId="442639C2" w14:textId="77777777" w:rsidR="008B4FB4" w:rsidRPr="008B4FB4" w:rsidRDefault="008B4FB4" w:rsidP="00E02357">
            <w:pPr>
              <w:jc w:val="center"/>
              <w:rPr>
                <w:color w:val="000000"/>
              </w:rPr>
            </w:pPr>
            <w:r w:rsidRPr="008B4FB4">
              <w:rPr>
                <w:color w:val="000000"/>
                <w:lang w:val="en"/>
              </w:rPr>
              <w:t>22</w:t>
            </w:r>
          </w:p>
        </w:tc>
        <w:tc>
          <w:tcPr>
            <w:tcW w:w="766" w:type="dxa"/>
            <w:tcBorders>
              <w:top w:val="nil"/>
            </w:tcBorders>
            <w:shd w:val="clear" w:color="auto" w:fill="auto"/>
            <w:noWrap/>
            <w:vAlign w:val="center"/>
            <w:hideMark/>
          </w:tcPr>
          <w:p w14:paraId="09828E10" w14:textId="77777777" w:rsidR="008B4FB4" w:rsidRPr="008B4FB4" w:rsidRDefault="008B4FB4" w:rsidP="00E02357">
            <w:pPr>
              <w:jc w:val="center"/>
              <w:rPr>
                <w:color w:val="000000"/>
              </w:rPr>
            </w:pPr>
            <w:r w:rsidRPr="008B4FB4">
              <w:rPr>
                <w:color w:val="000000"/>
                <w:lang w:val="en"/>
              </w:rPr>
              <w:t>12.15</w:t>
            </w:r>
          </w:p>
        </w:tc>
        <w:tc>
          <w:tcPr>
            <w:tcW w:w="766" w:type="dxa"/>
            <w:tcBorders>
              <w:top w:val="nil"/>
            </w:tcBorders>
            <w:shd w:val="clear" w:color="auto" w:fill="auto"/>
            <w:noWrap/>
            <w:vAlign w:val="center"/>
            <w:hideMark/>
          </w:tcPr>
          <w:p w14:paraId="7090B355" w14:textId="77777777" w:rsidR="008B4FB4" w:rsidRPr="008B4FB4" w:rsidRDefault="008B4FB4" w:rsidP="00E02357">
            <w:pPr>
              <w:jc w:val="center"/>
              <w:rPr>
                <w:color w:val="000000"/>
              </w:rPr>
            </w:pPr>
            <w:r w:rsidRPr="008B4FB4">
              <w:rPr>
                <w:color w:val="000000"/>
                <w:lang w:val="en"/>
              </w:rPr>
              <w:t>159</w:t>
            </w:r>
          </w:p>
        </w:tc>
        <w:tc>
          <w:tcPr>
            <w:tcW w:w="766" w:type="dxa"/>
            <w:tcBorders>
              <w:top w:val="nil"/>
            </w:tcBorders>
            <w:shd w:val="clear" w:color="auto" w:fill="auto"/>
            <w:noWrap/>
            <w:vAlign w:val="center"/>
            <w:hideMark/>
          </w:tcPr>
          <w:p w14:paraId="7A3CB491" w14:textId="77777777" w:rsidR="008B4FB4" w:rsidRPr="008B4FB4" w:rsidRDefault="008B4FB4" w:rsidP="00E02357">
            <w:pPr>
              <w:jc w:val="center"/>
              <w:rPr>
                <w:color w:val="000000"/>
              </w:rPr>
            </w:pPr>
            <w:r w:rsidRPr="008B4FB4">
              <w:rPr>
                <w:color w:val="000000"/>
                <w:lang w:val="en"/>
              </w:rPr>
              <w:t>87.85</w:t>
            </w:r>
          </w:p>
        </w:tc>
        <w:tc>
          <w:tcPr>
            <w:tcW w:w="1045" w:type="dxa"/>
            <w:vMerge w:val="restart"/>
            <w:tcBorders>
              <w:top w:val="nil"/>
            </w:tcBorders>
            <w:vAlign w:val="center"/>
          </w:tcPr>
          <w:p w14:paraId="05E82613" w14:textId="77777777" w:rsidR="008B4FB4" w:rsidRPr="008B4FB4" w:rsidRDefault="008B4FB4" w:rsidP="0090246F">
            <w:pPr>
              <w:jc w:val="center"/>
              <w:rPr>
                <w:color w:val="000000"/>
              </w:rPr>
            </w:pPr>
            <w:r w:rsidRPr="008B4FB4">
              <w:rPr>
                <w:color w:val="000000"/>
                <w:lang w:val="en"/>
              </w:rPr>
              <w:t>0.000</w:t>
            </w:r>
          </w:p>
        </w:tc>
        <w:tc>
          <w:tcPr>
            <w:tcW w:w="885" w:type="dxa"/>
            <w:vMerge w:val="restart"/>
            <w:tcBorders>
              <w:top w:val="nil"/>
            </w:tcBorders>
            <w:vAlign w:val="center"/>
          </w:tcPr>
          <w:p w14:paraId="36096312" w14:textId="77777777" w:rsidR="008B4FB4" w:rsidRPr="008B4FB4" w:rsidRDefault="008B4FB4" w:rsidP="0090246F">
            <w:pPr>
              <w:jc w:val="center"/>
              <w:rPr>
                <w:color w:val="000000"/>
              </w:rPr>
            </w:pPr>
            <w:r w:rsidRPr="008B4FB4">
              <w:rPr>
                <w:color w:val="000000"/>
                <w:lang w:val="en"/>
              </w:rPr>
              <w:t>5.338</w:t>
            </w:r>
          </w:p>
        </w:tc>
        <w:tc>
          <w:tcPr>
            <w:tcW w:w="1843" w:type="dxa"/>
            <w:vMerge w:val="restart"/>
            <w:tcBorders>
              <w:top w:val="nil"/>
            </w:tcBorders>
            <w:vAlign w:val="center"/>
          </w:tcPr>
          <w:p w14:paraId="212A7DE9" w14:textId="77777777" w:rsidR="008B4FB4" w:rsidRPr="008B4FB4" w:rsidRDefault="008B4FB4" w:rsidP="0090246F">
            <w:pPr>
              <w:jc w:val="center"/>
              <w:rPr>
                <w:color w:val="000000"/>
              </w:rPr>
            </w:pPr>
            <w:r w:rsidRPr="008B4FB4">
              <w:rPr>
                <w:color w:val="000000"/>
                <w:lang w:val="en"/>
              </w:rPr>
              <w:t>2.953 – 9.647</w:t>
            </w:r>
          </w:p>
        </w:tc>
      </w:tr>
      <w:tr w:rsidR="008B4FB4" w:rsidRPr="008B4FB4" w14:paraId="7CBBF62C" w14:textId="77777777" w:rsidTr="005B4626">
        <w:trPr>
          <w:trHeight w:val="20"/>
        </w:trPr>
        <w:tc>
          <w:tcPr>
            <w:tcW w:w="3106" w:type="dxa"/>
            <w:tcBorders>
              <w:bottom w:val="single" w:sz="4" w:space="0" w:color="auto"/>
            </w:tcBorders>
            <w:shd w:val="clear" w:color="auto" w:fill="auto"/>
            <w:noWrap/>
            <w:vAlign w:val="bottom"/>
            <w:hideMark/>
          </w:tcPr>
          <w:p w14:paraId="3B7F1F04" w14:textId="77777777" w:rsidR="008B4FB4" w:rsidRPr="008B4FB4" w:rsidRDefault="008B4FB4" w:rsidP="00E02357">
            <w:pPr>
              <w:rPr>
                <w:color w:val="000000"/>
              </w:rPr>
            </w:pPr>
            <w:r w:rsidRPr="008B4FB4">
              <w:rPr>
                <w:color w:val="000000"/>
                <w:lang w:val="en"/>
              </w:rPr>
              <w:t>Negative</w:t>
            </w:r>
          </w:p>
        </w:tc>
        <w:tc>
          <w:tcPr>
            <w:tcW w:w="710" w:type="dxa"/>
            <w:tcBorders>
              <w:bottom w:val="single" w:sz="4" w:space="0" w:color="auto"/>
            </w:tcBorders>
            <w:shd w:val="clear" w:color="auto" w:fill="auto"/>
            <w:noWrap/>
            <w:vAlign w:val="center"/>
            <w:hideMark/>
          </w:tcPr>
          <w:p w14:paraId="16D5B5B2" w14:textId="77777777" w:rsidR="008B4FB4" w:rsidRPr="008B4FB4" w:rsidRDefault="008B4FB4" w:rsidP="00E02357">
            <w:pPr>
              <w:jc w:val="center"/>
              <w:rPr>
                <w:color w:val="000000"/>
              </w:rPr>
            </w:pPr>
            <w:r w:rsidRPr="008B4FB4">
              <w:rPr>
                <w:color w:val="000000"/>
                <w:lang w:val="en"/>
              </w:rPr>
              <w:t>26</w:t>
            </w:r>
          </w:p>
        </w:tc>
        <w:tc>
          <w:tcPr>
            <w:tcW w:w="766" w:type="dxa"/>
            <w:tcBorders>
              <w:bottom w:val="single" w:sz="4" w:space="0" w:color="auto"/>
            </w:tcBorders>
            <w:shd w:val="clear" w:color="auto" w:fill="auto"/>
            <w:noWrap/>
            <w:vAlign w:val="center"/>
            <w:hideMark/>
          </w:tcPr>
          <w:p w14:paraId="1FA82DF4" w14:textId="77777777" w:rsidR="008B4FB4" w:rsidRPr="008B4FB4" w:rsidRDefault="008B4FB4" w:rsidP="00E02357">
            <w:pPr>
              <w:jc w:val="center"/>
              <w:rPr>
                <w:color w:val="000000"/>
              </w:rPr>
            </w:pPr>
            <w:r w:rsidRPr="008B4FB4">
              <w:rPr>
                <w:color w:val="000000"/>
                <w:lang w:val="en"/>
              </w:rPr>
              <w:t>2.53</w:t>
            </w:r>
          </w:p>
        </w:tc>
        <w:tc>
          <w:tcPr>
            <w:tcW w:w="766" w:type="dxa"/>
            <w:tcBorders>
              <w:bottom w:val="single" w:sz="4" w:space="0" w:color="auto"/>
            </w:tcBorders>
            <w:shd w:val="clear" w:color="auto" w:fill="auto"/>
            <w:noWrap/>
            <w:vAlign w:val="center"/>
            <w:hideMark/>
          </w:tcPr>
          <w:p w14:paraId="11F7BDA3" w14:textId="77777777" w:rsidR="008B4FB4" w:rsidRPr="008B4FB4" w:rsidRDefault="008B4FB4" w:rsidP="00E02357">
            <w:pPr>
              <w:jc w:val="center"/>
              <w:rPr>
                <w:color w:val="000000"/>
              </w:rPr>
            </w:pPr>
            <w:r w:rsidRPr="008B4FB4">
              <w:rPr>
                <w:color w:val="000000"/>
                <w:lang w:val="en"/>
              </w:rPr>
              <w:t>1003</w:t>
            </w:r>
          </w:p>
        </w:tc>
        <w:tc>
          <w:tcPr>
            <w:tcW w:w="766" w:type="dxa"/>
            <w:tcBorders>
              <w:bottom w:val="single" w:sz="4" w:space="0" w:color="auto"/>
            </w:tcBorders>
            <w:shd w:val="clear" w:color="auto" w:fill="auto"/>
            <w:noWrap/>
            <w:vAlign w:val="center"/>
            <w:hideMark/>
          </w:tcPr>
          <w:p w14:paraId="6832E171" w14:textId="77777777" w:rsidR="008B4FB4" w:rsidRPr="008B4FB4" w:rsidRDefault="008B4FB4" w:rsidP="00E02357">
            <w:pPr>
              <w:jc w:val="center"/>
              <w:rPr>
                <w:color w:val="000000"/>
              </w:rPr>
            </w:pPr>
            <w:r w:rsidRPr="008B4FB4">
              <w:rPr>
                <w:color w:val="000000"/>
                <w:lang w:val="en"/>
              </w:rPr>
              <w:t>97.47</w:t>
            </w:r>
          </w:p>
        </w:tc>
        <w:tc>
          <w:tcPr>
            <w:tcW w:w="1045" w:type="dxa"/>
            <w:vMerge/>
            <w:tcBorders>
              <w:bottom w:val="single" w:sz="4" w:space="0" w:color="auto"/>
            </w:tcBorders>
            <w:vAlign w:val="center"/>
          </w:tcPr>
          <w:p w14:paraId="02FF93FB"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21DCB530"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2B1FC457" w14:textId="77777777" w:rsidR="008B4FB4" w:rsidRPr="008B4FB4" w:rsidRDefault="008B4FB4" w:rsidP="0090246F">
            <w:pPr>
              <w:jc w:val="center"/>
              <w:rPr>
                <w:color w:val="000000"/>
              </w:rPr>
            </w:pPr>
          </w:p>
        </w:tc>
      </w:tr>
      <w:tr w:rsidR="008B4FB4" w:rsidRPr="008B4FB4" w14:paraId="22302E2E" w14:textId="77777777" w:rsidTr="005B4626">
        <w:trPr>
          <w:trHeight w:val="20"/>
        </w:trPr>
        <w:tc>
          <w:tcPr>
            <w:tcW w:w="3106" w:type="dxa"/>
            <w:tcBorders>
              <w:top w:val="single" w:sz="4" w:space="0" w:color="auto"/>
              <w:bottom w:val="nil"/>
            </w:tcBorders>
            <w:shd w:val="clear" w:color="auto" w:fill="auto"/>
            <w:noWrap/>
            <w:vAlign w:val="bottom"/>
            <w:hideMark/>
          </w:tcPr>
          <w:p w14:paraId="51DFFB81" w14:textId="77777777" w:rsidR="008B4FB4" w:rsidRPr="008B4FB4" w:rsidRDefault="008B4FB4" w:rsidP="00E02357">
            <w:pPr>
              <w:rPr>
                <w:b/>
                <w:bCs/>
                <w:color w:val="000000"/>
              </w:rPr>
            </w:pPr>
            <w:r w:rsidRPr="008B4FB4">
              <w:rPr>
                <w:b/>
                <w:bCs/>
                <w:color w:val="000000"/>
                <w:lang w:val="en"/>
              </w:rPr>
              <w:t>Emotional Mental Disorders</w:t>
            </w:r>
          </w:p>
        </w:tc>
        <w:tc>
          <w:tcPr>
            <w:tcW w:w="710" w:type="dxa"/>
            <w:tcBorders>
              <w:top w:val="single" w:sz="4" w:space="0" w:color="auto"/>
              <w:bottom w:val="nil"/>
            </w:tcBorders>
            <w:shd w:val="clear" w:color="auto" w:fill="auto"/>
            <w:noWrap/>
            <w:vAlign w:val="center"/>
            <w:hideMark/>
          </w:tcPr>
          <w:p w14:paraId="18C07814"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2ACB668B"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58299CB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4F6DF77D"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48BC5C8A"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7D36E3B6"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3DCAA531" w14:textId="77777777" w:rsidR="008B4FB4" w:rsidRPr="008B4FB4" w:rsidRDefault="008B4FB4" w:rsidP="0090246F">
            <w:pPr>
              <w:jc w:val="center"/>
              <w:rPr>
                <w:b/>
                <w:bCs/>
                <w:color w:val="000000"/>
              </w:rPr>
            </w:pPr>
          </w:p>
        </w:tc>
      </w:tr>
      <w:tr w:rsidR="008B4FB4" w:rsidRPr="008B4FB4" w14:paraId="02759FF9" w14:textId="77777777" w:rsidTr="005B4626">
        <w:trPr>
          <w:trHeight w:val="20"/>
        </w:trPr>
        <w:tc>
          <w:tcPr>
            <w:tcW w:w="3106" w:type="dxa"/>
            <w:tcBorders>
              <w:top w:val="nil"/>
            </w:tcBorders>
            <w:shd w:val="clear" w:color="auto" w:fill="auto"/>
            <w:noWrap/>
            <w:vAlign w:val="bottom"/>
            <w:hideMark/>
          </w:tcPr>
          <w:p w14:paraId="2D686B56" w14:textId="77777777" w:rsidR="008B4FB4" w:rsidRPr="008B4FB4" w:rsidRDefault="008B4FB4" w:rsidP="00E02357">
            <w:pPr>
              <w:rPr>
                <w:color w:val="000000"/>
              </w:rPr>
            </w:pPr>
            <w:r w:rsidRPr="008B4FB4">
              <w:rPr>
                <w:color w:val="000000"/>
                <w:lang w:val="en"/>
              </w:rPr>
              <w:t>Annoyed</w:t>
            </w:r>
          </w:p>
        </w:tc>
        <w:tc>
          <w:tcPr>
            <w:tcW w:w="710" w:type="dxa"/>
            <w:tcBorders>
              <w:top w:val="nil"/>
            </w:tcBorders>
            <w:shd w:val="clear" w:color="auto" w:fill="auto"/>
            <w:noWrap/>
            <w:vAlign w:val="center"/>
            <w:hideMark/>
          </w:tcPr>
          <w:p w14:paraId="19EA86CE" w14:textId="77777777" w:rsidR="008B4FB4" w:rsidRPr="008B4FB4" w:rsidRDefault="008B4FB4" w:rsidP="00E02357">
            <w:pPr>
              <w:jc w:val="center"/>
              <w:rPr>
                <w:color w:val="000000"/>
              </w:rPr>
            </w:pPr>
            <w:r w:rsidRPr="008B4FB4">
              <w:rPr>
                <w:color w:val="000000"/>
                <w:lang w:val="en"/>
              </w:rPr>
              <w:t>6</w:t>
            </w:r>
          </w:p>
        </w:tc>
        <w:tc>
          <w:tcPr>
            <w:tcW w:w="766" w:type="dxa"/>
            <w:tcBorders>
              <w:top w:val="nil"/>
            </w:tcBorders>
            <w:shd w:val="clear" w:color="auto" w:fill="auto"/>
            <w:noWrap/>
            <w:vAlign w:val="center"/>
            <w:hideMark/>
          </w:tcPr>
          <w:p w14:paraId="55424807" w14:textId="77777777" w:rsidR="008B4FB4" w:rsidRPr="008B4FB4" w:rsidRDefault="008B4FB4" w:rsidP="00E02357">
            <w:pPr>
              <w:jc w:val="center"/>
              <w:rPr>
                <w:color w:val="000000"/>
              </w:rPr>
            </w:pPr>
            <w:r w:rsidRPr="008B4FB4">
              <w:rPr>
                <w:color w:val="000000"/>
                <w:lang w:val="en"/>
              </w:rPr>
              <w:t>3.75</w:t>
            </w:r>
          </w:p>
        </w:tc>
        <w:tc>
          <w:tcPr>
            <w:tcW w:w="766" w:type="dxa"/>
            <w:tcBorders>
              <w:top w:val="nil"/>
            </w:tcBorders>
            <w:shd w:val="clear" w:color="auto" w:fill="auto"/>
            <w:noWrap/>
            <w:vAlign w:val="center"/>
            <w:hideMark/>
          </w:tcPr>
          <w:p w14:paraId="6AD22169" w14:textId="77777777" w:rsidR="008B4FB4" w:rsidRPr="008B4FB4" w:rsidRDefault="008B4FB4" w:rsidP="00E02357">
            <w:pPr>
              <w:jc w:val="center"/>
              <w:rPr>
                <w:color w:val="000000"/>
              </w:rPr>
            </w:pPr>
            <w:r w:rsidRPr="008B4FB4">
              <w:rPr>
                <w:color w:val="000000"/>
                <w:lang w:val="en"/>
              </w:rPr>
              <w:t>154</w:t>
            </w:r>
          </w:p>
        </w:tc>
        <w:tc>
          <w:tcPr>
            <w:tcW w:w="766" w:type="dxa"/>
            <w:tcBorders>
              <w:top w:val="nil"/>
            </w:tcBorders>
            <w:shd w:val="clear" w:color="auto" w:fill="auto"/>
            <w:noWrap/>
            <w:vAlign w:val="center"/>
            <w:hideMark/>
          </w:tcPr>
          <w:p w14:paraId="1A58B66D" w14:textId="77777777" w:rsidR="008B4FB4" w:rsidRPr="008B4FB4" w:rsidRDefault="008B4FB4" w:rsidP="00E02357">
            <w:pPr>
              <w:jc w:val="center"/>
              <w:rPr>
                <w:color w:val="000000"/>
              </w:rPr>
            </w:pPr>
            <w:r w:rsidRPr="008B4FB4">
              <w:rPr>
                <w:color w:val="000000"/>
                <w:lang w:val="en"/>
              </w:rPr>
              <w:t>96.25</w:t>
            </w:r>
          </w:p>
        </w:tc>
        <w:tc>
          <w:tcPr>
            <w:tcW w:w="1045" w:type="dxa"/>
            <w:vMerge w:val="restart"/>
            <w:tcBorders>
              <w:top w:val="nil"/>
            </w:tcBorders>
            <w:vAlign w:val="center"/>
          </w:tcPr>
          <w:p w14:paraId="585B420C" w14:textId="77777777" w:rsidR="008B4FB4" w:rsidRPr="008B4FB4" w:rsidRDefault="008B4FB4" w:rsidP="0090246F">
            <w:pPr>
              <w:jc w:val="center"/>
              <w:rPr>
                <w:color w:val="000000"/>
              </w:rPr>
            </w:pPr>
            <w:r w:rsidRPr="008B4FB4">
              <w:rPr>
                <w:color w:val="000000"/>
                <w:lang w:val="en"/>
              </w:rPr>
              <w:t>0.880</w:t>
            </w:r>
          </w:p>
        </w:tc>
        <w:tc>
          <w:tcPr>
            <w:tcW w:w="885" w:type="dxa"/>
            <w:vMerge w:val="restart"/>
            <w:tcBorders>
              <w:top w:val="nil"/>
            </w:tcBorders>
            <w:vAlign w:val="center"/>
          </w:tcPr>
          <w:p w14:paraId="4001A704" w14:textId="77777777" w:rsidR="008B4FB4" w:rsidRPr="008B4FB4" w:rsidRDefault="008B4FB4" w:rsidP="0090246F">
            <w:pPr>
              <w:jc w:val="center"/>
              <w:rPr>
                <w:color w:val="000000"/>
              </w:rPr>
            </w:pPr>
            <w:r w:rsidRPr="008B4FB4">
              <w:rPr>
                <w:color w:val="000000"/>
                <w:lang w:val="en"/>
              </w:rPr>
              <w:t>0.935</w:t>
            </w:r>
          </w:p>
        </w:tc>
        <w:tc>
          <w:tcPr>
            <w:tcW w:w="1843" w:type="dxa"/>
            <w:vMerge w:val="restart"/>
            <w:tcBorders>
              <w:top w:val="nil"/>
            </w:tcBorders>
            <w:vAlign w:val="center"/>
          </w:tcPr>
          <w:p w14:paraId="1A712A6F" w14:textId="77777777" w:rsidR="008B4FB4" w:rsidRPr="008B4FB4" w:rsidRDefault="008B4FB4" w:rsidP="0090246F">
            <w:pPr>
              <w:jc w:val="center"/>
              <w:rPr>
                <w:color w:val="000000"/>
              </w:rPr>
            </w:pPr>
            <w:r w:rsidRPr="008B4FB4">
              <w:rPr>
                <w:color w:val="000000"/>
                <w:lang w:val="en"/>
              </w:rPr>
              <w:t>0.391 – 2.236</w:t>
            </w:r>
          </w:p>
        </w:tc>
      </w:tr>
      <w:tr w:rsidR="008B4FB4" w:rsidRPr="008B4FB4" w14:paraId="11C76B2C" w14:textId="77777777" w:rsidTr="005B4626">
        <w:trPr>
          <w:trHeight w:val="20"/>
        </w:trPr>
        <w:tc>
          <w:tcPr>
            <w:tcW w:w="3106" w:type="dxa"/>
            <w:tcBorders>
              <w:bottom w:val="single" w:sz="4" w:space="0" w:color="auto"/>
            </w:tcBorders>
            <w:shd w:val="clear" w:color="auto" w:fill="auto"/>
            <w:noWrap/>
            <w:vAlign w:val="bottom"/>
            <w:hideMark/>
          </w:tcPr>
          <w:p w14:paraId="7586B70C"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4C292BEA" w14:textId="77777777" w:rsidR="008B4FB4" w:rsidRPr="008B4FB4" w:rsidRDefault="008B4FB4" w:rsidP="00E02357">
            <w:pPr>
              <w:jc w:val="center"/>
              <w:rPr>
                <w:color w:val="000000"/>
              </w:rPr>
            </w:pPr>
            <w:r w:rsidRPr="008B4FB4">
              <w:rPr>
                <w:color w:val="000000"/>
                <w:lang w:val="en"/>
              </w:rPr>
              <w:t>42</w:t>
            </w:r>
          </w:p>
        </w:tc>
        <w:tc>
          <w:tcPr>
            <w:tcW w:w="766" w:type="dxa"/>
            <w:tcBorders>
              <w:bottom w:val="single" w:sz="4" w:space="0" w:color="auto"/>
            </w:tcBorders>
            <w:shd w:val="clear" w:color="auto" w:fill="auto"/>
            <w:noWrap/>
            <w:vAlign w:val="center"/>
            <w:hideMark/>
          </w:tcPr>
          <w:p w14:paraId="628697C8" w14:textId="77777777" w:rsidR="008B4FB4" w:rsidRPr="008B4FB4" w:rsidRDefault="008B4FB4" w:rsidP="00E02357">
            <w:pPr>
              <w:jc w:val="center"/>
              <w:rPr>
                <w:color w:val="000000"/>
              </w:rPr>
            </w:pPr>
            <w:r w:rsidRPr="008B4FB4">
              <w:rPr>
                <w:color w:val="000000"/>
                <w:lang w:val="en"/>
              </w:rPr>
              <w:t>4.00</w:t>
            </w:r>
          </w:p>
        </w:tc>
        <w:tc>
          <w:tcPr>
            <w:tcW w:w="766" w:type="dxa"/>
            <w:tcBorders>
              <w:bottom w:val="single" w:sz="4" w:space="0" w:color="auto"/>
            </w:tcBorders>
            <w:shd w:val="clear" w:color="auto" w:fill="auto"/>
            <w:noWrap/>
            <w:vAlign w:val="center"/>
            <w:hideMark/>
          </w:tcPr>
          <w:p w14:paraId="6079C373" w14:textId="77777777" w:rsidR="008B4FB4" w:rsidRPr="008B4FB4" w:rsidRDefault="008B4FB4" w:rsidP="00E02357">
            <w:pPr>
              <w:jc w:val="center"/>
              <w:rPr>
                <w:color w:val="000000"/>
              </w:rPr>
            </w:pPr>
            <w:r w:rsidRPr="008B4FB4">
              <w:rPr>
                <w:color w:val="000000"/>
                <w:lang w:val="en"/>
              </w:rPr>
              <w:t>1008</w:t>
            </w:r>
          </w:p>
        </w:tc>
        <w:tc>
          <w:tcPr>
            <w:tcW w:w="766" w:type="dxa"/>
            <w:tcBorders>
              <w:bottom w:val="single" w:sz="4" w:space="0" w:color="auto"/>
            </w:tcBorders>
            <w:shd w:val="clear" w:color="auto" w:fill="auto"/>
            <w:noWrap/>
            <w:vAlign w:val="center"/>
            <w:hideMark/>
          </w:tcPr>
          <w:p w14:paraId="3A4BECEB" w14:textId="77777777" w:rsidR="008B4FB4" w:rsidRPr="008B4FB4" w:rsidRDefault="008B4FB4" w:rsidP="00E02357">
            <w:pPr>
              <w:jc w:val="center"/>
              <w:rPr>
                <w:color w:val="000000"/>
              </w:rPr>
            </w:pPr>
            <w:r w:rsidRPr="008B4FB4">
              <w:rPr>
                <w:color w:val="000000"/>
                <w:lang w:val="en"/>
              </w:rPr>
              <w:t>96.00</w:t>
            </w:r>
          </w:p>
        </w:tc>
        <w:tc>
          <w:tcPr>
            <w:tcW w:w="1045" w:type="dxa"/>
            <w:vMerge/>
            <w:tcBorders>
              <w:bottom w:val="single" w:sz="4" w:space="0" w:color="auto"/>
            </w:tcBorders>
            <w:vAlign w:val="center"/>
          </w:tcPr>
          <w:p w14:paraId="0DCCBA8E"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021DA27F"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45EF8B7F" w14:textId="77777777" w:rsidR="008B4FB4" w:rsidRPr="008B4FB4" w:rsidRDefault="008B4FB4" w:rsidP="0090246F">
            <w:pPr>
              <w:jc w:val="center"/>
              <w:rPr>
                <w:color w:val="000000"/>
              </w:rPr>
            </w:pPr>
          </w:p>
        </w:tc>
      </w:tr>
      <w:tr w:rsidR="008B4FB4" w:rsidRPr="008B4FB4" w14:paraId="12775357" w14:textId="77777777" w:rsidTr="005B4626">
        <w:trPr>
          <w:trHeight w:val="20"/>
        </w:trPr>
        <w:tc>
          <w:tcPr>
            <w:tcW w:w="3106" w:type="dxa"/>
            <w:tcBorders>
              <w:top w:val="single" w:sz="4" w:space="0" w:color="auto"/>
              <w:bottom w:val="nil"/>
            </w:tcBorders>
            <w:shd w:val="clear" w:color="auto" w:fill="auto"/>
            <w:noWrap/>
            <w:vAlign w:val="bottom"/>
            <w:hideMark/>
          </w:tcPr>
          <w:p w14:paraId="2A672DE9" w14:textId="77777777" w:rsidR="008B4FB4" w:rsidRPr="008B4FB4" w:rsidRDefault="008B4FB4" w:rsidP="00E02357">
            <w:pPr>
              <w:rPr>
                <w:b/>
                <w:bCs/>
                <w:color w:val="000000"/>
              </w:rPr>
            </w:pPr>
            <w:r w:rsidRPr="008B4FB4">
              <w:rPr>
                <w:b/>
                <w:bCs/>
                <w:color w:val="000000"/>
                <w:lang w:val="en"/>
              </w:rPr>
              <w:t>Fasting Blood Sugar Levels</w:t>
            </w:r>
          </w:p>
        </w:tc>
        <w:tc>
          <w:tcPr>
            <w:tcW w:w="710" w:type="dxa"/>
            <w:tcBorders>
              <w:top w:val="single" w:sz="4" w:space="0" w:color="auto"/>
              <w:bottom w:val="nil"/>
            </w:tcBorders>
            <w:shd w:val="clear" w:color="auto" w:fill="auto"/>
            <w:noWrap/>
            <w:vAlign w:val="center"/>
            <w:hideMark/>
          </w:tcPr>
          <w:p w14:paraId="5358FC9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17DF087F"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6255A93B"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0B4A2603"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36A0F1F2"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576E94DF"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4852258C" w14:textId="77777777" w:rsidR="008B4FB4" w:rsidRPr="008B4FB4" w:rsidRDefault="008B4FB4" w:rsidP="0090246F">
            <w:pPr>
              <w:jc w:val="center"/>
              <w:rPr>
                <w:b/>
                <w:bCs/>
                <w:color w:val="000000"/>
              </w:rPr>
            </w:pPr>
          </w:p>
        </w:tc>
      </w:tr>
      <w:tr w:rsidR="008B4FB4" w:rsidRPr="008B4FB4" w14:paraId="21F2039B" w14:textId="77777777" w:rsidTr="005B4626">
        <w:trPr>
          <w:trHeight w:val="20"/>
        </w:trPr>
        <w:tc>
          <w:tcPr>
            <w:tcW w:w="3106" w:type="dxa"/>
            <w:tcBorders>
              <w:top w:val="nil"/>
            </w:tcBorders>
            <w:shd w:val="clear" w:color="auto" w:fill="auto"/>
            <w:noWrap/>
            <w:vAlign w:val="bottom"/>
            <w:hideMark/>
          </w:tcPr>
          <w:p w14:paraId="06C4DE2A" w14:textId="77777777" w:rsidR="008B4FB4" w:rsidRPr="008B4FB4" w:rsidRDefault="008B4FB4" w:rsidP="00E02357">
            <w:pPr>
              <w:rPr>
                <w:color w:val="000000"/>
              </w:rPr>
            </w:pPr>
            <w:r w:rsidRPr="008B4FB4">
              <w:rPr>
                <w:color w:val="000000"/>
                <w:lang w:val="en"/>
              </w:rPr>
              <w:t>Risky</w:t>
            </w:r>
          </w:p>
        </w:tc>
        <w:tc>
          <w:tcPr>
            <w:tcW w:w="710" w:type="dxa"/>
            <w:tcBorders>
              <w:top w:val="nil"/>
            </w:tcBorders>
            <w:shd w:val="clear" w:color="auto" w:fill="auto"/>
            <w:noWrap/>
            <w:vAlign w:val="center"/>
            <w:hideMark/>
          </w:tcPr>
          <w:p w14:paraId="498BB584" w14:textId="77777777" w:rsidR="008B4FB4" w:rsidRPr="008B4FB4" w:rsidRDefault="008B4FB4" w:rsidP="00E02357">
            <w:pPr>
              <w:jc w:val="center"/>
              <w:rPr>
                <w:color w:val="000000"/>
              </w:rPr>
            </w:pPr>
            <w:r w:rsidRPr="008B4FB4">
              <w:rPr>
                <w:color w:val="000000"/>
                <w:lang w:val="en"/>
              </w:rPr>
              <w:t>19</w:t>
            </w:r>
          </w:p>
        </w:tc>
        <w:tc>
          <w:tcPr>
            <w:tcW w:w="766" w:type="dxa"/>
            <w:tcBorders>
              <w:top w:val="nil"/>
            </w:tcBorders>
            <w:shd w:val="clear" w:color="auto" w:fill="auto"/>
            <w:noWrap/>
            <w:vAlign w:val="center"/>
            <w:hideMark/>
          </w:tcPr>
          <w:p w14:paraId="0FBF7501" w14:textId="77777777" w:rsidR="008B4FB4" w:rsidRPr="008B4FB4" w:rsidRDefault="008B4FB4" w:rsidP="00E02357">
            <w:pPr>
              <w:jc w:val="center"/>
              <w:rPr>
                <w:color w:val="000000"/>
              </w:rPr>
            </w:pPr>
            <w:r w:rsidRPr="008B4FB4">
              <w:rPr>
                <w:color w:val="000000"/>
                <w:lang w:val="en"/>
              </w:rPr>
              <w:t>7.01</w:t>
            </w:r>
          </w:p>
        </w:tc>
        <w:tc>
          <w:tcPr>
            <w:tcW w:w="766" w:type="dxa"/>
            <w:tcBorders>
              <w:top w:val="nil"/>
            </w:tcBorders>
            <w:shd w:val="clear" w:color="auto" w:fill="auto"/>
            <w:noWrap/>
            <w:vAlign w:val="center"/>
            <w:hideMark/>
          </w:tcPr>
          <w:p w14:paraId="3EF857FE" w14:textId="77777777" w:rsidR="008B4FB4" w:rsidRPr="008B4FB4" w:rsidRDefault="008B4FB4" w:rsidP="00E02357">
            <w:pPr>
              <w:jc w:val="center"/>
              <w:rPr>
                <w:color w:val="000000"/>
              </w:rPr>
            </w:pPr>
            <w:r w:rsidRPr="008B4FB4">
              <w:rPr>
                <w:color w:val="000000"/>
                <w:lang w:val="en"/>
              </w:rPr>
              <w:t>252</w:t>
            </w:r>
          </w:p>
        </w:tc>
        <w:tc>
          <w:tcPr>
            <w:tcW w:w="766" w:type="dxa"/>
            <w:tcBorders>
              <w:top w:val="nil"/>
            </w:tcBorders>
            <w:shd w:val="clear" w:color="auto" w:fill="auto"/>
            <w:noWrap/>
            <w:vAlign w:val="center"/>
            <w:hideMark/>
          </w:tcPr>
          <w:p w14:paraId="585480B1" w14:textId="77777777" w:rsidR="008B4FB4" w:rsidRPr="008B4FB4" w:rsidRDefault="008B4FB4" w:rsidP="00E02357">
            <w:pPr>
              <w:jc w:val="center"/>
              <w:rPr>
                <w:color w:val="000000"/>
              </w:rPr>
            </w:pPr>
            <w:r w:rsidRPr="008B4FB4">
              <w:rPr>
                <w:color w:val="000000"/>
                <w:lang w:val="en"/>
              </w:rPr>
              <w:t>92.99</w:t>
            </w:r>
          </w:p>
        </w:tc>
        <w:tc>
          <w:tcPr>
            <w:tcW w:w="1045" w:type="dxa"/>
            <w:vMerge w:val="restart"/>
            <w:tcBorders>
              <w:top w:val="nil"/>
            </w:tcBorders>
            <w:vAlign w:val="center"/>
          </w:tcPr>
          <w:p w14:paraId="3CD9E2D6" w14:textId="77777777" w:rsidR="008B4FB4" w:rsidRPr="008B4FB4" w:rsidRDefault="008B4FB4" w:rsidP="0090246F">
            <w:pPr>
              <w:jc w:val="center"/>
              <w:rPr>
                <w:color w:val="000000"/>
              </w:rPr>
            </w:pPr>
            <w:r w:rsidRPr="008B4FB4">
              <w:rPr>
                <w:color w:val="000000"/>
                <w:lang w:val="en"/>
              </w:rPr>
              <w:t>0.004</w:t>
            </w:r>
          </w:p>
        </w:tc>
        <w:tc>
          <w:tcPr>
            <w:tcW w:w="885" w:type="dxa"/>
            <w:vMerge w:val="restart"/>
            <w:tcBorders>
              <w:top w:val="nil"/>
            </w:tcBorders>
            <w:vAlign w:val="center"/>
          </w:tcPr>
          <w:p w14:paraId="0DE01219" w14:textId="77777777" w:rsidR="008B4FB4" w:rsidRPr="008B4FB4" w:rsidRDefault="008B4FB4" w:rsidP="0090246F">
            <w:pPr>
              <w:jc w:val="center"/>
              <w:rPr>
                <w:color w:val="000000"/>
              </w:rPr>
            </w:pPr>
            <w:r w:rsidRPr="008B4FB4">
              <w:rPr>
                <w:color w:val="000000"/>
                <w:lang w:val="en"/>
              </w:rPr>
              <w:t>2.366</w:t>
            </w:r>
          </w:p>
        </w:tc>
        <w:tc>
          <w:tcPr>
            <w:tcW w:w="1843" w:type="dxa"/>
            <w:vMerge w:val="restart"/>
            <w:tcBorders>
              <w:top w:val="nil"/>
            </w:tcBorders>
            <w:vAlign w:val="center"/>
          </w:tcPr>
          <w:p w14:paraId="68230134" w14:textId="77777777" w:rsidR="008B4FB4" w:rsidRPr="008B4FB4" w:rsidRDefault="008B4FB4" w:rsidP="0090246F">
            <w:pPr>
              <w:jc w:val="center"/>
              <w:rPr>
                <w:color w:val="000000"/>
              </w:rPr>
            </w:pPr>
            <w:r w:rsidRPr="008B4FB4">
              <w:rPr>
                <w:color w:val="000000"/>
                <w:lang w:val="en"/>
              </w:rPr>
              <w:t>1.305 – 4.290</w:t>
            </w:r>
          </w:p>
        </w:tc>
      </w:tr>
      <w:tr w:rsidR="008B4FB4" w:rsidRPr="008B4FB4" w14:paraId="785C7D25" w14:textId="77777777" w:rsidTr="005B4626">
        <w:trPr>
          <w:trHeight w:val="20"/>
        </w:trPr>
        <w:tc>
          <w:tcPr>
            <w:tcW w:w="3106" w:type="dxa"/>
            <w:tcBorders>
              <w:bottom w:val="single" w:sz="4" w:space="0" w:color="auto"/>
            </w:tcBorders>
            <w:shd w:val="clear" w:color="auto" w:fill="auto"/>
            <w:noWrap/>
            <w:vAlign w:val="bottom"/>
            <w:hideMark/>
          </w:tcPr>
          <w:p w14:paraId="5C81115F"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5E844EF7" w14:textId="77777777" w:rsidR="008B4FB4" w:rsidRPr="008B4FB4" w:rsidRDefault="008B4FB4" w:rsidP="00E02357">
            <w:pPr>
              <w:jc w:val="center"/>
              <w:rPr>
                <w:color w:val="000000"/>
              </w:rPr>
            </w:pPr>
            <w:r w:rsidRPr="008B4FB4">
              <w:rPr>
                <w:color w:val="000000"/>
                <w:lang w:val="en"/>
              </w:rPr>
              <w:t>29</w:t>
            </w:r>
          </w:p>
        </w:tc>
        <w:tc>
          <w:tcPr>
            <w:tcW w:w="766" w:type="dxa"/>
            <w:tcBorders>
              <w:bottom w:val="single" w:sz="4" w:space="0" w:color="auto"/>
            </w:tcBorders>
            <w:shd w:val="clear" w:color="auto" w:fill="auto"/>
            <w:noWrap/>
            <w:vAlign w:val="center"/>
            <w:hideMark/>
          </w:tcPr>
          <w:p w14:paraId="14D63153" w14:textId="77777777" w:rsidR="008B4FB4" w:rsidRPr="008B4FB4" w:rsidRDefault="008B4FB4" w:rsidP="00E02357">
            <w:pPr>
              <w:jc w:val="center"/>
              <w:rPr>
                <w:color w:val="000000"/>
              </w:rPr>
            </w:pPr>
            <w:r w:rsidRPr="008B4FB4">
              <w:rPr>
                <w:color w:val="000000"/>
                <w:lang w:val="en"/>
              </w:rPr>
              <w:t>3.09</w:t>
            </w:r>
          </w:p>
        </w:tc>
        <w:tc>
          <w:tcPr>
            <w:tcW w:w="766" w:type="dxa"/>
            <w:tcBorders>
              <w:bottom w:val="single" w:sz="4" w:space="0" w:color="auto"/>
            </w:tcBorders>
            <w:shd w:val="clear" w:color="auto" w:fill="auto"/>
            <w:noWrap/>
            <w:vAlign w:val="center"/>
            <w:hideMark/>
          </w:tcPr>
          <w:p w14:paraId="782EFD96" w14:textId="77777777" w:rsidR="008B4FB4" w:rsidRPr="008B4FB4" w:rsidRDefault="008B4FB4" w:rsidP="00E02357">
            <w:pPr>
              <w:jc w:val="center"/>
              <w:rPr>
                <w:color w:val="000000"/>
              </w:rPr>
            </w:pPr>
            <w:r w:rsidRPr="008B4FB4">
              <w:rPr>
                <w:color w:val="000000"/>
                <w:lang w:val="en"/>
              </w:rPr>
              <w:t>910</w:t>
            </w:r>
          </w:p>
        </w:tc>
        <w:tc>
          <w:tcPr>
            <w:tcW w:w="766" w:type="dxa"/>
            <w:tcBorders>
              <w:bottom w:val="single" w:sz="4" w:space="0" w:color="auto"/>
            </w:tcBorders>
            <w:shd w:val="clear" w:color="auto" w:fill="auto"/>
            <w:noWrap/>
            <w:vAlign w:val="center"/>
            <w:hideMark/>
          </w:tcPr>
          <w:p w14:paraId="3DC36BCA" w14:textId="77777777" w:rsidR="008B4FB4" w:rsidRPr="008B4FB4" w:rsidRDefault="008B4FB4" w:rsidP="00E02357">
            <w:pPr>
              <w:jc w:val="center"/>
              <w:rPr>
                <w:color w:val="000000"/>
              </w:rPr>
            </w:pPr>
            <w:r w:rsidRPr="008B4FB4">
              <w:rPr>
                <w:color w:val="000000"/>
                <w:lang w:val="en"/>
              </w:rPr>
              <w:t>96.91</w:t>
            </w:r>
          </w:p>
        </w:tc>
        <w:tc>
          <w:tcPr>
            <w:tcW w:w="1045" w:type="dxa"/>
            <w:vMerge/>
            <w:tcBorders>
              <w:bottom w:val="single" w:sz="4" w:space="0" w:color="auto"/>
            </w:tcBorders>
            <w:vAlign w:val="center"/>
          </w:tcPr>
          <w:p w14:paraId="0D0AE772"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765DC9B1"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070F7DDF" w14:textId="77777777" w:rsidR="008B4FB4" w:rsidRPr="008B4FB4" w:rsidRDefault="008B4FB4" w:rsidP="0090246F">
            <w:pPr>
              <w:jc w:val="center"/>
              <w:rPr>
                <w:color w:val="000000"/>
              </w:rPr>
            </w:pPr>
          </w:p>
        </w:tc>
      </w:tr>
      <w:tr w:rsidR="008B4FB4" w:rsidRPr="008B4FB4" w14:paraId="54617B1A" w14:textId="77777777" w:rsidTr="005B4626">
        <w:trPr>
          <w:trHeight w:val="20"/>
        </w:trPr>
        <w:tc>
          <w:tcPr>
            <w:tcW w:w="3106" w:type="dxa"/>
            <w:tcBorders>
              <w:top w:val="single" w:sz="4" w:space="0" w:color="auto"/>
              <w:bottom w:val="nil"/>
            </w:tcBorders>
            <w:shd w:val="clear" w:color="auto" w:fill="auto"/>
            <w:noWrap/>
            <w:vAlign w:val="bottom"/>
            <w:hideMark/>
          </w:tcPr>
          <w:p w14:paraId="0F39E9EF" w14:textId="77777777" w:rsidR="008B4FB4" w:rsidRPr="008B4FB4" w:rsidRDefault="008B4FB4" w:rsidP="00E02357">
            <w:pPr>
              <w:rPr>
                <w:b/>
                <w:bCs/>
                <w:color w:val="000000"/>
              </w:rPr>
            </w:pPr>
            <w:r w:rsidRPr="008B4FB4">
              <w:rPr>
                <w:b/>
                <w:bCs/>
                <w:color w:val="000000"/>
                <w:lang w:val="en"/>
              </w:rPr>
              <w:t>Fasting Blood Sugar Levels Post-Loading</w:t>
            </w:r>
          </w:p>
        </w:tc>
        <w:tc>
          <w:tcPr>
            <w:tcW w:w="710" w:type="dxa"/>
            <w:tcBorders>
              <w:top w:val="single" w:sz="4" w:space="0" w:color="auto"/>
              <w:bottom w:val="nil"/>
            </w:tcBorders>
            <w:shd w:val="clear" w:color="auto" w:fill="auto"/>
            <w:noWrap/>
            <w:vAlign w:val="center"/>
            <w:hideMark/>
          </w:tcPr>
          <w:p w14:paraId="3BD0221C"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3AB94D0F"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71CE1DD3"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0B5B1EA4"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41B33E23"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1463A646"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4DEE91F0" w14:textId="77777777" w:rsidR="008B4FB4" w:rsidRPr="008B4FB4" w:rsidRDefault="008B4FB4" w:rsidP="0090246F">
            <w:pPr>
              <w:jc w:val="center"/>
              <w:rPr>
                <w:b/>
                <w:bCs/>
                <w:color w:val="000000"/>
              </w:rPr>
            </w:pPr>
          </w:p>
        </w:tc>
      </w:tr>
      <w:tr w:rsidR="008B4FB4" w:rsidRPr="008B4FB4" w14:paraId="034A8C5B" w14:textId="77777777" w:rsidTr="005B4626">
        <w:trPr>
          <w:trHeight w:val="20"/>
        </w:trPr>
        <w:tc>
          <w:tcPr>
            <w:tcW w:w="3106" w:type="dxa"/>
            <w:tcBorders>
              <w:top w:val="nil"/>
            </w:tcBorders>
            <w:shd w:val="clear" w:color="auto" w:fill="auto"/>
            <w:noWrap/>
            <w:vAlign w:val="bottom"/>
            <w:hideMark/>
          </w:tcPr>
          <w:p w14:paraId="3ABC8942" w14:textId="77777777" w:rsidR="008B4FB4" w:rsidRPr="008B4FB4" w:rsidRDefault="008B4FB4" w:rsidP="00E02357">
            <w:pPr>
              <w:rPr>
                <w:color w:val="000000"/>
              </w:rPr>
            </w:pPr>
            <w:r w:rsidRPr="008B4FB4">
              <w:rPr>
                <w:color w:val="000000"/>
                <w:lang w:val="en"/>
              </w:rPr>
              <w:t>Risky</w:t>
            </w:r>
          </w:p>
        </w:tc>
        <w:tc>
          <w:tcPr>
            <w:tcW w:w="710" w:type="dxa"/>
            <w:tcBorders>
              <w:top w:val="nil"/>
            </w:tcBorders>
            <w:shd w:val="clear" w:color="auto" w:fill="auto"/>
            <w:noWrap/>
            <w:vAlign w:val="center"/>
            <w:hideMark/>
          </w:tcPr>
          <w:p w14:paraId="6DEA89A2" w14:textId="77777777" w:rsidR="008B4FB4" w:rsidRPr="008B4FB4" w:rsidRDefault="008B4FB4" w:rsidP="00E02357">
            <w:pPr>
              <w:jc w:val="center"/>
              <w:rPr>
                <w:color w:val="000000"/>
              </w:rPr>
            </w:pPr>
            <w:r w:rsidRPr="008B4FB4">
              <w:rPr>
                <w:color w:val="000000"/>
                <w:lang w:val="en"/>
              </w:rPr>
              <w:t>23</w:t>
            </w:r>
          </w:p>
        </w:tc>
        <w:tc>
          <w:tcPr>
            <w:tcW w:w="766" w:type="dxa"/>
            <w:tcBorders>
              <w:top w:val="nil"/>
            </w:tcBorders>
            <w:shd w:val="clear" w:color="auto" w:fill="auto"/>
            <w:noWrap/>
            <w:vAlign w:val="center"/>
            <w:hideMark/>
          </w:tcPr>
          <w:p w14:paraId="59AEF1D4" w14:textId="77777777" w:rsidR="008B4FB4" w:rsidRPr="008B4FB4" w:rsidRDefault="008B4FB4" w:rsidP="00E02357">
            <w:pPr>
              <w:jc w:val="center"/>
              <w:rPr>
                <w:color w:val="000000"/>
              </w:rPr>
            </w:pPr>
            <w:r w:rsidRPr="008B4FB4">
              <w:rPr>
                <w:color w:val="000000"/>
                <w:lang w:val="en"/>
              </w:rPr>
              <w:t>5.00</w:t>
            </w:r>
          </w:p>
        </w:tc>
        <w:tc>
          <w:tcPr>
            <w:tcW w:w="766" w:type="dxa"/>
            <w:tcBorders>
              <w:top w:val="nil"/>
            </w:tcBorders>
            <w:shd w:val="clear" w:color="auto" w:fill="auto"/>
            <w:noWrap/>
            <w:vAlign w:val="center"/>
            <w:hideMark/>
          </w:tcPr>
          <w:p w14:paraId="27803419" w14:textId="77777777" w:rsidR="008B4FB4" w:rsidRPr="008B4FB4" w:rsidRDefault="008B4FB4" w:rsidP="00E02357">
            <w:pPr>
              <w:jc w:val="center"/>
              <w:rPr>
                <w:color w:val="000000"/>
              </w:rPr>
            </w:pPr>
            <w:r w:rsidRPr="008B4FB4">
              <w:rPr>
                <w:color w:val="000000"/>
                <w:lang w:val="en"/>
              </w:rPr>
              <w:t>437</w:t>
            </w:r>
          </w:p>
        </w:tc>
        <w:tc>
          <w:tcPr>
            <w:tcW w:w="766" w:type="dxa"/>
            <w:tcBorders>
              <w:top w:val="nil"/>
            </w:tcBorders>
            <w:shd w:val="clear" w:color="auto" w:fill="auto"/>
            <w:noWrap/>
            <w:vAlign w:val="center"/>
            <w:hideMark/>
          </w:tcPr>
          <w:p w14:paraId="7C5B7400" w14:textId="77777777" w:rsidR="008B4FB4" w:rsidRPr="008B4FB4" w:rsidRDefault="008B4FB4" w:rsidP="00E02357">
            <w:pPr>
              <w:jc w:val="center"/>
              <w:rPr>
                <w:color w:val="000000"/>
              </w:rPr>
            </w:pPr>
            <w:r w:rsidRPr="008B4FB4">
              <w:rPr>
                <w:color w:val="000000"/>
                <w:lang w:val="en"/>
              </w:rPr>
              <w:t>95.00</w:t>
            </w:r>
          </w:p>
        </w:tc>
        <w:tc>
          <w:tcPr>
            <w:tcW w:w="1045" w:type="dxa"/>
            <w:vMerge w:val="restart"/>
            <w:tcBorders>
              <w:top w:val="nil"/>
            </w:tcBorders>
            <w:vAlign w:val="center"/>
          </w:tcPr>
          <w:p w14:paraId="5B7E2ACB" w14:textId="77777777" w:rsidR="008B4FB4" w:rsidRPr="008B4FB4" w:rsidRDefault="008B4FB4" w:rsidP="0090246F">
            <w:pPr>
              <w:jc w:val="center"/>
              <w:rPr>
                <w:color w:val="000000"/>
              </w:rPr>
            </w:pPr>
            <w:r w:rsidRPr="008B4FB4">
              <w:rPr>
                <w:color w:val="000000"/>
                <w:lang w:val="en"/>
              </w:rPr>
              <w:t>0.149</w:t>
            </w:r>
          </w:p>
        </w:tc>
        <w:tc>
          <w:tcPr>
            <w:tcW w:w="885" w:type="dxa"/>
            <w:vMerge w:val="restart"/>
            <w:tcBorders>
              <w:top w:val="nil"/>
            </w:tcBorders>
            <w:vAlign w:val="center"/>
          </w:tcPr>
          <w:p w14:paraId="123CA543" w14:textId="77777777" w:rsidR="008B4FB4" w:rsidRPr="008B4FB4" w:rsidRDefault="008B4FB4" w:rsidP="0090246F">
            <w:pPr>
              <w:jc w:val="center"/>
              <w:rPr>
                <w:color w:val="000000"/>
              </w:rPr>
            </w:pPr>
            <w:r w:rsidRPr="008B4FB4">
              <w:rPr>
                <w:color w:val="000000"/>
                <w:lang w:val="en"/>
              </w:rPr>
              <w:t>1.526</w:t>
            </w:r>
          </w:p>
        </w:tc>
        <w:tc>
          <w:tcPr>
            <w:tcW w:w="1843" w:type="dxa"/>
            <w:vMerge w:val="restart"/>
            <w:tcBorders>
              <w:top w:val="nil"/>
            </w:tcBorders>
            <w:vAlign w:val="center"/>
          </w:tcPr>
          <w:p w14:paraId="3B9CA3F4" w14:textId="77777777" w:rsidR="008B4FB4" w:rsidRPr="008B4FB4" w:rsidRDefault="008B4FB4" w:rsidP="0090246F">
            <w:pPr>
              <w:jc w:val="center"/>
              <w:rPr>
                <w:color w:val="000000"/>
              </w:rPr>
            </w:pPr>
            <w:r w:rsidRPr="008B4FB4">
              <w:rPr>
                <w:color w:val="000000"/>
                <w:lang w:val="en"/>
              </w:rPr>
              <w:t>0.856 – 2.722</w:t>
            </w:r>
          </w:p>
        </w:tc>
      </w:tr>
      <w:tr w:rsidR="008B4FB4" w:rsidRPr="008B4FB4" w14:paraId="30347DCC" w14:textId="77777777" w:rsidTr="005B4626">
        <w:trPr>
          <w:trHeight w:val="20"/>
        </w:trPr>
        <w:tc>
          <w:tcPr>
            <w:tcW w:w="3106" w:type="dxa"/>
            <w:tcBorders>
              <w:bottom w:val="single" w:sz="4" w:space="0" w:color="auto"/>
            </w:tcBorders>
            <w:shd w:val="clear" w:color="auto" w:fill="auto"/>
            <w:noWrap/>
            <w:vAlign w:val="bottom"/>
            <w:hideMark/>
          </w:tcPr>
          <w:p w14:paraId="5DF721D3"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6CD98048" w14:textId="77777777" w:rsidR="008B4FB4" w:rsidRPr="008B4FB4" w:rsidRDefault="008B4FB4" w:rsidP="00E02357">
            <w:pPr>
              <w:jc w:val="center"/>
              <w:rPr>
                <w:color w:val="000000"/>
              </w:rPr>
            </w:pPr>
            <w:r w:rsidRPr="008B4FB4">
              <w:rPr>
                <w:color w:val="000000"/>
                <w:lang w:val="en"/>
              </w:rPr>
              <w:t>25</w:t>
            </w:r>
          </w:p>
        </w:tc>
        <w:tc>
          <w:tcPr>
            <w:tcW w:w="766" w:type="dxa"/>
            <w:tcBorders>
              <w:bottom w:val="single" w:sz="4" w:space="0" w:color="auto"/>
            </w:tcBorders>
            <w:shd w:val="clear" w:color="auto" w:fill="auto"/>
            <w:noWrap/>
            <w:vAlign w:val="center"/>
            <w:hideMark/>
          </w:tcPr>
          <w:p w14:paraId="6F1B38D3" w14:textId="77777777" w:rsidR="008B4FB4" w:rsidRPr="008B4FB4" w:rsidRDefault="008B4FB4" w:rsidP="00E02357">
            <w:pPr>
              <w:jc w:val="center"/>
              <w:rPr>
                <w:color w:val="000000"/>
              </w:rPr>
            </w:pPr>
            <w:r w:rsidRPr="008B4FB4">
              <w:rPr>
                <w:color w:val="000000"/>
                <w:lang w:val="en"/>
              </w:rPr>
              <w:t>3.33</w:t>
            </w:r>
          </w:p>
        </w:tc>
        <w:tc>
          <w:tcPr>
            <w:tcW w:w="766" w:type="dxa"/>
            <w:tcBorders>
              <w:bottom w:val="single" w:sz="4" w:space="0" w:color="auto"/>
            </w:tcBorders>
            <w:shd w:val="clear" w:color="auto" w:fill="auto"/>
            <w:noWrap/>
            <w:vAlign w:val="center"/>
            <w:hideMark/>
          </w:tcPr>
          <w:p w14:paraId="025FDB6F" w14:textId="77777777" w:rsidR="008B4FB4" w:rsidRPr="008B4FB4" w:rsidRDefault="008B4FB4" w:rsidP="00E02357">
            <w:pPr>
              <w:jc w:val="center"/>
              <w:rPr>
                <w:color w:val="000000"/>
              </w:rPr>
            </w:pPr>
            <w:r w:rsidRPr="008B4FB4">
              <w:rPr>
                <w:color w:val="000000"/>
                <w:lang w:val="en"/>
              </w:rPr>
              <w:t>725</w:t>
            </w:r>
          </w:p>
        </w:tc>
        <w:tc>
          <w:tcPr>
            <w:tcW w:w="766" w:type="dxa"/>
            <w:tcBorders>
              <w:bottom w:val="single" w:sz="4" w:space="0" w:color="auto"/>
            </w:tcBorders>
            <w:shd w:val="clear" w:color="auto" w:fill="auto"/>
            <w:noWrap/>
            <w:vAlign w:val="center"/>
            <w:hideMark/>
          </w:tcPr>
          <w:p w14:paraId="3271F0A4" w14:textId="77777777" w:rsidR="008B4FB4" w:rsidRPr="008B4FB4" w:rsidRDefault="008B4FB4" w:rsidP="00E02357">
            <w:pPr>
              <w:jc w:val="center"/>
              <w:rPr>
                <w:color w:val="000000"/>
              </w:rPr>
            </w:pPr>
            <w:r w:rsidRPr="008B4FB4">
              <w:rPr>
                <w:color w:val="000000"/>
                <w:lang w:val="en"/>
              </w:rPr>
              <w:t>96.67</w:t>
            </w:r>
          </w:p>
        </w:tc>
        <w:tc>
          <w:tcPr>
            <w:tcW w:w="1045" w:type="dxa"/>
            <w:vMerge/>
            <w:tcBorders>
              <w:bottom w:val="single" w:sz="4" w:space="0" w:color="auto"/>
            </w:tcBorders>
            <w:vAlign w:val="center"/>
          </w:tcPr>
          <w:p w14:paraId="582989B6"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4C94FC8F"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0AA9D3F1" w14:textId="77777777" w:rsidR="008B4FB4" w:rsidRPr="008B4FB4" w:rsidRDefault="008B4FB4" w:rsidP="0090246F">
            <w:pPr>
              <w:jc w:val="center"/>
              <w:rPr>
                <w:color w:val="000000"/>
              </w:rPr>
            </w:pPr>
          </w:p>
        </w:tc>
      </w:tr>
      <w:tr w:rsidR="008B4FB4" w:rsidRPr="008B4FB4" w14:paraId="64AD7892" w14:textId="77777777" w:rsidTr="005B4626">
        <w:trPr>
          <w:trHeight w:val="20"/>
        </w:trPr>
        <w:tc>
          <w:tcPr>
            <w:tcW w:w="3106" w:type="dxa"/>
            <w:tcBorders>
              <w:top w:val="single" w:sz="4" w:space="0" w:color="auto"/>
              <w:bottom w:val="nil"/>
            </w:tcBorders>
            <w:shd w:val="clear" w:color="auto" w:fill="auto"/>
            <w:noWrap/>
            <w:vAlign w:val="bottom"/>
            <w:hideMark/>
          </w:tcPr>
          <w:p w14:paraId="68CACC41" w14:textId="77777777" w:rsidR="008B4FB4" w:rsidRPr="008B4FB4" w:rsidRDefault="008B4FB4" w:rsidP="00E02357">
            <w:pPr>
              <w:rPr>
                <w:b/>
                <w:bCs/>
                <w:color w:val="000000"/>
              </w:rPr>
            </w:pPr>
            <w:r w:rsidRPr="008B4FB4">
              <w:rPr>
                <w:b/>
                <w:bCs/>
                <w:color w:val="000000"/>
                <w:lang w:val="en"/>
              </w:rPr>
              <w:t>Total Cholesterol Levels</w:t>
            </w:r>
          </w:p>
        </w:tc>
        <w:tc>
          <w:tcPr>
            <w:tcW w:w="710" w:type="dxa"/>
            <w:tcBorders>
              <w:top w:val="single" w:sz="4" w:space="0" w:color="auto"/>
              <w:bottom w:val="nil"/>
            </w:tcBorders>
            <w:shd w:val="clear" w:color="auto" w:fill="auto"/>
            <w:noWrap/>
            <w:vAlign w:val="center"/>
            <w:hideMark/>
          </w:tcPr>
          <w:p w14:paraId="470ACEF3"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04B22B5B"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4235E4D3"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28985748"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77593CD2"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357F320F"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6BB04755" w14:textId="77777777" w:rsidR="008B4FB4" w:rsidRPr="008B4FB4" w:rsidRDefault="008B4FB4" w:rsidP="0090246F">
            <w:pPr>
              <w:jc w:val="center"/>
              <w:rPr>
                <w:b/>
                <w:bCs/>
                <w:color w:val="000000"/>
              </w:rPr>
            </w:pPr>
          </w:p>
        </w:tc>
      </w:tr>
      <w:tr w:rsidR="008B4FB4" w:rsidRPr="008B4FB4" w14:paraId="6CBF48C6" w14:textId="77777777" w:rsidTr="005B4626">
        <w:trPr>
          <w:trHeight w:val="20"/>
        </w:trPr>
        <w:tc>
          <w:tcPr>
            <w:tcW w:w="3106" w:type="dxa"/>
            <w:tcBorders>
              <w:top w:val="nil"/>
            </w:tcBorders>
            <w:shd w:val="clear" w:color="auto" w:fill="auto"/>
            <w:noWrap/>
            <w:vAlign w:val="bottom"/>
            <w:hideMark/>
          </w:tcPr>
          <w:p w14:paraId="6DF75A12" w14:textId="77777777" w:rsidR="008B4FB4" w:rsidRPr="008B4FB4" w:rsidRDefault="008B4FB4" w:rsidP="00E02357">
            <w:pPr>
              <w:rPr>
                <w:color w:val="000000"/>
              </w:rPr>
            </w:pPr>
            <w:r w:rsidRPr="008B4FB4">
              <w:rPr>
                <w:color w:val="000000"/>
                <w:lang w:val="en"/>
              </w:rPr>
              <w:t>Risky</w:t>
            </w:r>
          </w:p>
        </w:tc>
        <w:tc>
          <w:tcPr>
            <w:tcW w:w="710" w:type="dxa"/>
            <w:tcBorders>
              <w:top w:val="nil"/>
            </w:tcBorders>
            <w:shd w:val="clear" w:color="auto" w:fill="auto"/>
            <w:noWrap/>
            <w:vAlign w:val="center"/>
            <w:hideMark/>
          </w:tcPr>
          <w:p w14:paraId="454746FF" w14:textId="77777777" w:rsidR="008B4FB4" w:rsidRPr="008B4FB4" w:rsidRDefault="008B4FB4" w:rsidP="00E02357">
            <w:pPr>
              <w:jc w:val="center"/>
              <w:rPr>
                <w:color w:val="000000"/>
              </w:rPr>
            </w:pPr>
            <w:r w:rsidRPr="008B4FB4">
              <w:rPr>
                <w:color w:val="000000"/>
                <w:lang w:val="en"/>
              </w:rPr>
              <w:t>31</w:t>
            </w:r>
          </w:p>
        </w:tc>
        <w:tc>
          <w:tcPr>
            <w:tcW w:w="766" w:type="dxa"/>
            <w:tcBorders>
              <w:top w:val="nil"/>
            </w:tcBorders>
            <w:shd w:val="clear" w:color="auto" w:fill="auto"/>
            <w:noWrap/>
            <w:vAlign w:val="center"/>
            <w:hideMark/>
          </w:tcPr>
          <w:p w14:paraId="5A7B7230" w14:textId="77777777" w:rsidR="008B4FB4" w:rsidRPr="008B4FB4" w:rsidRDefault="008B4FB4" w:rsidP="00E02357">
            <w:pPr>
              <w:jc w:val="center"/>
              <w:rPr>
                <w:color w:val="000000"/>
              </w:rPr>
            </w:pPr>
            <w:r w:rsidRPr="008B4FB4">
              <w:rPr>
                <w:color w:val="000000"/>
                <w:lang w:val="en"/>
              </w:rPr>
              <w:t>5.49</w:t>
            </w:r>
          </w:p>
        </w:tc>
        <w:tc>
          <w:tcPr>
            <w:tcW w:w="766" w:type="dxa"/>
            <w:tcBorders>
              <w:top w:val="nil"/>
            </w:tcBorders>
            <w:shd w:val="clear" w:color="auto" w:fill="auto"/>
            <w:noWrap/>
            <w:vAlign w:val="center"/>
            <w:hideMark/>
          </w:tcPr>
          <w:p w14:paraId="4CD87533" w14:textId="77777777" w:rsidR="008B4FB4" w:rsidRPr="008B4FB4" w:rsidRDefault="008B4FB4" w:rsidP="00E02357">
            <w:pPr>
              <w:jc w:val="center"/>
              <w:rPr>
                <w:color w:val="000000"/>
              </w:rPr>
            </w:pPr>
            <w:r w:rsidRPr="008B4FB4">
              <w:rPr>
                <w:color w:val="000000"/>
                <w:lang w:val="en"/>
              </w:rPr>
              <w:t>534</w:t>
            </w:r>
          </w:p>
        </w:tc>
        <w:tc>
          <w:tcPr>
            <w:tcW w:w="766" w:type="dxa"/>
            <w:tcBorders>
              <w:top w:val="nil"/>
            </w:tcBorders>
            <w:shd w:val="clear" w:color="auto" w:fill="auto"/>
            <w:noWrap/>
            <w:vAlign w:val="center"/>
            <w:hideMark/>
          </w:tcPr>
          <w:p w14:paraId="27151699" w14:textId="77777777" w:rsidR="008B4FB4" w:rsidRPr="008B4FB4" w:rsidRDefault="008B4FB4" w:rsidP="00E02357">
            <w:pPr>
              <w:jc w:val="center"/>
              <w:rPr>
                <w:color w:val="000000"/>
              </w:rPr>
            </w:pPr>
            <w:r w:rsidRPr="008B4FB4">
              <w:rPr>
                <w:color w:val="000000"/>
                <w:lang w:val="en"/>
              </w:rPr>
              <w:t>94.51</w:t>
            </w:r>
          </w:p>
        </w:tc>
        <w:tc>
          <w:tcPr>
            <w:tcW w:w="1045" w:type="dxa"/>
            <w:vMerge w:val="restart"/>
            <w:tcBorders>
              <w:top w:val="nil"/>
            </w:tcBorders>
            <w:vAlign w:val="center"/>
          </w:tcPr>
          <w:p w14:paraId="6F10A2BA" w14:textId="77777777" w:rsidR="008B4FB4" w:rsidRPr="008B4FB4" w:rsidRDefault="008B4FB4" w:rsidP="0090246F">
            <w:pPr>
              <w:jc w:val="center"/>
              <w:rPr>
                <w:color w:val="000000"/>
              </w:rPr>
            </w:pPr>
            <w:r w:rsidRPr="008B4FB4">
              <w:rPr>
                <w:color w:val="000000"/>
                <w:lang w:val="en"/>
              </w:rPr>
              <w:t>0.011</w:t>
            </w:r>
          </w:p>
        </w:tc>
        <w:tc>
          <w:tcPr>
            <w:tcW w:w="885" w:type="dxa"/>
            <w:vMerge w:val="restart"/>
            <w:tcBorders>
              <w:top w:val="nil"/>
            </w:tcBorders>
            <w:vAlign w:val="center"/>
          </w:tcPr>
          <w:p w14:paraId="6C3FADC8" w14:textId="77777777" w:rsidR="008B4FB4" w:rsidRPr="008B4FB4" w:rsidRDefault="008B4FB4" w:rsidP="0090246F">
            <w:pPr>
              <w:jc w:val="center"/>
              <w:rPr>
                <w:color w:val="000000"/>
              </w:rPr>
            </w:pPr>
            <w:r w:rsidRPr="008B4FB4">
              <w:rPr>
                <w:color w:val="000000"/>
                <w:lang w:val="en"/>
              </w:rPr>
              <w:t>2.145</w:t>
            </w:r>
          </w:p>
        </w:tc>
        <w:tc>
          <w:tcPr>
            <w:tcW w:w="1843" w:type="dxa"/>
            <w:vMerge w:val="restart"/>
            <w:tcBorders>
              <w:top w:val="nil"/>
            </w:tcBorders>
            <w:vAlign w:val="center"/>
          </w:tcPr>
          <w:p w14:paraId="61FAC75E" w14:textId="77777777" w:rsidR="008B4FB4" w:rsidRPr="008B4FB4" w:rsidRDefault="008B4FB4" w:rsidP="0090246F">
            <w:pPr>
              <w:jc w:val="center"/>
              <w:rPr>
                <w:color w:val="000000"/>
              </w:rPr>
            </w:pPr>
            <w:r w:rsidRPr="008B4FB4">
              <w:rPr>
                <w:color w:val="000000"/>
                <w:lang w:val="en"/>
              </w:rPr>
              <w:t>1.174 – 3.918</w:t>
            </w:r>
          </w:p>
        </w:tc>
      </w:tr>
      <w:tr w:rsidR="008B4FB4" w:rsidRPr="008B4FB4" w14:paraId="36DF355B" w14:textId="77777777" w:rsidTr="005B4626">
        <w:trPr>
          <w:trHeight w:val="20"/>
        </w:trPr>
        <w:tc>
          <w:tcPr>
            <w:tcW w:w="3106" w:type="dxa"/>
            <w:tcBorders>
              <w:bottom w:val="single" w:sz="4" w:space="0" w:color="auto"/>
            </w:tcBorders>
            <w:shd w:val="clear" w:color="auto" w:fill="auto"/>
            <w:noWrap/>
            <w:vAlign w:val="bottom"/>
            <w:hideMark/>
          </w:tcPr>
          <w:p w14:paraId="0157B5CA"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1CE5C28D" w14:textId="77777777" w:rsidR="008B4FB4" w:rsidRPr="008B4FB4" w:rsidRDefault="008B4FB4" w:rsidP="00E02357">
            <w:pPr>
              <w:jc w:val="center"/>
              <w:rPr>
                <w:color w:val="000000"/>
              </w:rPr>
            </w:pPr>
            <w:r w:rsidRPr="008B4FB4">
              <w:rPr>
                <w:color w:val="000000"/>
                <w:lang w:val="en"/>
              </w:rPr>
              <w:t>17</w:t>
            </w:r>
          </w:p>
        </w:tc>
        <w:tc>
          <w:tcPr>
            <w:tcW w:w="766" w:type="dxa"/>
            <w:tcBorders>
              <w:bottom w:val="single" w:sz="4" w:space="0" w:color="auto"/>
            </w:tcBorders>
            <w:shd w:val="clear" w:color="auto" w:fill="auto"/>
            <w:noWrap/>
            <w:vAlign w:val="center"/>
            <w:hideMark/>
          </w:tcPr>
          <w:p w14:paraId="35656F98" w14:textId="77777777" w:rsidR="008B4FB4" w:rsidRPr="008B4FB4" w:rsidRDefault="008B4FB4" w:rsidP="00E02357">
            <w:pPr>
              <w:jc w:val="center"/>
              <w:rPr>
                <w:color w:val="000000"/>
              </w:rPr>
            </w:pPr>
            <w:r w:rsidRPr="008B4FB4">
              <w:rPr>
                <w:color w:val="000000"/>
                <w:lang w:val="en"/>
              </w:rPr>
              <w:t>2.64</w:t>
            </w:r>
          </w:p>
        </w:tc>
        <w:tc>
          <w:tcPr>
            <w:tcW w:w="766" w:type="dxa"/>
            <w:tcBorders>
              <w:bottom w:val="single" w:sz="4" w:space="0" w:color="auto"/>
            </w:tcBorders>
            <w:shd w:val="clear" w:color="auto" w:fill="auto"/>
            <w:noWrap/>
            <w:vAlign w:val="center"/>
            <w:hideMark/>
          </w:tcPr>
          <w:p w14:paraId="0F76ED6E" w14:textId="77777777" w:rsidR="008B4FB4" w:rsidRPr="008B4FB4" w:rsidRDefault="008B4FB4" w:rsidP="00E02357">
            <w:pPr>
              <w:jc w:val="center"/>
              <w:rPr>
                <w:color w:val="000000"/>
              </w:rPr>
            </w:pPr>
            <w:r w:rsidRPr="008B4FB4">
              <w:rPr>
                <w:color w:val="000000"/>
                <w:lang w:val="en"/>
              </w:rPr>
              <w:t>628</w:t>
            </w:r>
          </w:p>
        </w:tc>
        <w:tc>
          <w:tcPr>
            <w:tcW w:w="766" w:type="dxa"/>
            <w:tcBorders>
              <w:bottom w:val="single" w:sz="4" w:space="0" w:color="auto"/>
            </w:tcBorders>
            <w:shd w:val="clear" w:color="auto" w:fill="auto"/>
            <w:noWrap/>
            <w:vAlign w:val="center"/>
            <w:hideMark/>
          </w:tcPr>
          <w:p w14:paraId="607F509A" w14:textId="77777777" w:rsidR="008B4FB4" w:rsidRPr="008B4FB4" w:rsidRDefault="008B4FB4" w:rsidP="00E02357">
            <w:pPr>
              <w:jc w:val="center"/>
              <w:rPr>
                <w:color w:val="000000"/>
              </w:rPr>
            </w:pPr>
            <w:r w:rsidRPr="008B4FB4">
              <w:rPr>
                <w:color w:val="000000"/>
                <w:lang w:val="en"/>
              </w:rPr>
              <w:t>97.36</w:t>
            </w:r>
          </w:p>
        </w:tc>
        <w:tc>
          <w:tcPr>
            <w:tcW w:w="1045" w:type="dxa"/>
            <w:vMerge/>
            <w:tcBorders>
              <w:bottom w:val="single" w:sz="4" w:space="0" w:color="auto"/>
            </w:tcBorders>
            <w:vAlign w:val="center"/>
          </w:tcPr>
          <w:p w14:paraId="0F441444"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41CA32E5"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050F4BE5" w14:textId="77777777" w:rsidR="008B4FB4" w:rsidRPr="008B4FB4" w:rsidRDefault="008B4FB4" w:rsidP="0090246F">
            <w:pPr>
              <w:jc w:val="center"/>
              <w:rPr>
                <w:color w:val="000000"/>
              </w:rPr>
            </w:pPr>
          </w:p>
        </w:tc>
      </w:tr>
      <w:tr w:rsidR="008B4FB4" w:rsidRPr="008B4FB4" w14:paraId="03EB585F" w14:textId="77777777" w:rsidTr="005B4626">
        <w:trPr>
          <w:trHeight w:val="20"/>
        </w:trPr>
        <w:tc>
          <w:tcPr>
            <w:tcW w:w="3106" w:type="dxa"/>
            <w:tcBorders>
              <w:top w:val="single" w:sz="4" w:space="0" w:color="auto"/>
              <w:bottom w:val="nil"/>
            </w:tcBorders>
            <w:shd w:val="clear" w:color="auto" w:fill="auto"/>
            <w:noWrap/>
            <w:vAlign w:val="bottom"/>
            <w:hideMark/>
          </w:tcPr>
          <w:p w14:paraId="2C0EC17F" w14:textId="77777777" w:rsidR="008B4FB4" w:rsidRPr="008B4FB4" w:rsidRDefault="008B4FB4" w:rsidP="00E02357">
            <w:pPr>
              <w:rPr>
                <w:b/>
                <w:bCs/>
                <w:color w:val="000000"/>
              </w:rPr>
            </w:pPr>
            <w:r w:rsidRPr="008B4FB4">
              <w:rPr>
                <w:b/>
                <w:bCs/>
                <w:color w:val="000000"/>
                <w:lang w:val="en"/>
              </w:rPr>
              <w:t>Triglyceride Levels</w:t>
            </w:r>
          </w:p>
        </w:tc>
        <w:tc>
          <w:tcPr>
            <w:tcW w:w="710" w:type="dxa"/>
            <w:tcBorders>
              <w:top w:val="single" w:sz="4" w:space="0" w:color="auto"/>
              <w:bottom w:val="nil"/>
            </w:tcBorders>
            <w:shd w:val="clear" w:color="auto" w:fill="auto"/>
            <w:noWrap/>
            <w:vAlign w:val="center"/>
            <w:hideMark/>
          </w:tcPr>
          <w:p w14:paraId="4D21EC05"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29684F37"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21B3AAD4"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04AD4330"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05F73673"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77F07B1E"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5FB02795" w14:textId="77777777" w:rsidR="008B4FB4" w:rsidRPr="008B4FB4" w:rsidRDefault="008B4FB4" w:rsidP="0090246F">
            <w:pPr>
              <w:jc w:val="center"/>
              <w:rPr>
                <w:b/>
                <w:bCs/>
                <w:color w:val="000000"/>
              </w:rPr>
            </w:pPr>
          </w:p>
        </w:tc>
      </w:tr>
      <w:tr w:rsidR="008B4FB4" w:rsidRPr="008B4FB4" w14:paraId="2C670EEB" w14:textId="77777777" w:rsidTr="005B4626">
        <w:trPr>
          <w:trHeight w:val="20"/>
        </w:trPr>
        <w:tc>
          <w:tcPr>
            <w:tcW w:w="3106" w:type="dxa"/>
            <w:tcBorders>
              <w:top w:val="nil"/>
            </w:tcBorders>
            <w:shd w:val="clear" w:color="auto" w:fill="auto"/>
            <w:noWrap/>
            <w:vAlign w:val="bottom"/>
            <w:hideMark/>
          </w:tcPr>
          <w:p w14:paraId="76A9F4CC" w14:textId="77777777" w:rsidR="008B4FB4" w:rsidRPr="008B4FB4" w:rsidRDefault="008B4FB4" w:rsidP="00E02357">
            <w:pPr>
              <w:rPr>
                <w:color w:val="000000"/>
              </w:rPr>
            </w:pPr>
            <w:r w:rsidRPr="008B4FB4">
              <w:rPr>
                <w:color w:val="000000"/>
                <w:lang w:val="en"/>
              </w:rPr>
              <w:t>Risky</w:t>
            </w:r>
          </w:p>
        </w:tc>
        <w:tc>
          <w:tcPr>
            <w:tcW w:w="710" w:type="dxa"/>
            <w:tcBorders>
              <w:top w:val="nil"/>
            </w:tcBorders>
            <w:shd w:val="clear" w:color="auto" w:fill="auto"/>
            <w:noWrap/>
            <w:vAlign w:val="center"/>
            <w:hideMark/>
          </w:tcPr>
          <w:p w14:paraId="71213077" w14:textId="77777777" w:rsidR="008B4FB4" w:rsidRPr="008B4FB4" w:rsidRDefault="008B4FB4" w:rsidP="00E02357">
            <w:pPr>
              <w:jc w:val="center"/>
              <w:rPr>
                <w:color w:val="000000"/>
              </w:rPr>
            </w:pPr>
            <w:r w:rsidRPr="008B4FB4">
              <w:rPr>
                <w:color w:val="000000"/>
                <w:lang w:val="en"/>
              </w:rPr>
              <w:t>17</w:t>
            </w:r>
          </w:p>
        </w:tc>
        <w:tc>
          <w:tcPr>
            <w:tcW w:w="766" w:type="dxa"/>
            <w:tcBorders>
              <w:top w:val="nil"/>
            </w:tcBorders>
            <w:shd w:val="clear" w:color="auto" w:fill="auto"/>
            <w:noWrap/>
            <w:vAlign w:val="center"/>
            <w:hideMark/>
          </w:tcPr>
          <w:p w14:paraId="214D36E6" w14:textId="77777777" w:rsidR="008B4FB4" w:rsidRPr="008B4FB4" w:rsidRDefault="008B4FB4" w:rsidP="00E02357">
            <w:pPr>
              <w:jc w:val="center"/>
              <w:rPr>
                <w:color w:val="000000"/>
              </w:rPr>
            </w:pPr>
            <w:r w:rsidRPr="008B4FB4">
              <w:rPr>
                <w:color w:val="000000"/>
                <w:lang w:val="en"/>
              </w:rPr>
              <w:t>5.76</w:t>
            </w:r>
          </w:p>
        </w:tc>
        <w:tc>
          <w:tcPr>
            <w:tcW w:w="766" w:type="dxa"/>
            <w:tcBorders>
              <w:top w:val="nil"/>
            </w:tcBorders>
            <w:shd w:val="clear" w:color="auto" w:fill="auto"/>
            <w:noWrap/>
            <w:vAlign w:val="center"/>
            <w:hideMark/>
          </w:tcPr>
          <w:p w14:paraId="2A3FDE29" w14:textId="77777777" w:rsidR="008B4FB4" w:rsidRPr="008B4FB4" w:rsidRDefault="008B4FB4" w:rsidP="00E02357">
            <w:pPr>
              <w:jc w:val="center"/>
              <w:rPr>
                <w:color w:val="000000"/>
              </w:rPr>
            </w:pPr>
            <w:r w:rsidRPr="008B4FB4">
              <w:rPr>
                <w:color w:val="000000"/>
                <w:lang w:val="en"/>
              </w:rPr>
              <w:t>278</w:t>
            </w:r>
          </w:p>
        </w:tc>
        <w:tc>
          <w:tcPr>
            <w:tcW w:w="766" w:type="dxa"/>
            <w:tcBorders>
              <w:top w:val="nil"/>
            </w:tcBorders>
            <w:shd w:val="clear" w:color="auto" w:fill="auto"/>
            <w:noWrap/>
            <w:vAlign w:val="center"/>
            <w:hideMark/>
          </w:tcPr>
          <w:p w14:paraId="6F3AA51B" w14:textId="77777777" w:rsidR="008B4FB4" w:rsidRPr="008B4FB4" w:rsidRDefault="008B4FB4" w:rsidP="00E02357">
            <w:pPr>
              <w:jc w:val="center"/>
              <w:rPr>
                <w:color w:val="000000"/>
              </w:rPr>
            </w:pPr>
            <w:r w:rsidRPr="008B4FB4">
              <w:rPr>
                <w:color w:val="000000"/>
                <w:lang w:val="en"/>
              </w:rPr>
              <w:t>94.24</w:t>
            </w:r>
          </w:p>
        </w:tc>
        <w:tc>
          <w:tcPr>
            <w:tcW w:w="1045" w:type="dxa"/>
            <w:vMerge w:val="restart"/>
            <w:tcBorders>
              <w:top w:val="nil"/>
            </w:tcBorders>
            <w:vAlign w:val="center"/>
          </w:tcPr>
          <w:p w14:paraId="37DCF153" w14:textId="77777777" w:rsidR="008B4FB4" w:rsidRPr="008B4FB4" w:rsidRDefault="008B4FB4" w:rsidP="0090246F">
            <w:pPr>
              <w:jc w:val="center"/>
              <w:rPr>
                <w:color w:val="000000"/>
              </w:rPr>
            </w:pPr>
            <w:r w:rsidRPr="008B4FB4">
              <w:rPr>
                <w:color w:val="000000"/>
                <w:lang w:val="en"/>
              </w:rPr>
              <w:t>0.069</w:t>
            </w:r>
          </w:p>
        </w:tc>
        <w:tc>
          <w:tcPr>
            <w:tcW w:w="885" w:type="dxa"/>
            <w:vMerge w:val="restart"/>
            <w:tcBorders>
              <w:top w:val="nil"/>
            </w:tcBorders>
            <w:vAlign w:val="center"/>
          </w:tcPr>
          <w:p w14:paraId="3222C203" w14:textId="77777777" w:rsidR="008B4FB4" w:rsidRPr="008B4FB4" w:rsidRDefault="008B4FB4" w:rsidP="0090246F">
            <w:pPr>
              <w:jc w:val="center"/>
              <w:rPr>
                <w:color w:val="000000"/>
              </w:rPr>
            </w:pPr>
            <w:r w:rsidRPr="008B4FB4">
              <w:rPr>
                <w:color w:val="000000"/>
                <w:lang w:val="en"/>
              </w:rPr>
              <w:t>1.744</w:t>
            </w:r>
          </w:p>
        </w:tc>
        <w:tc>
          <w:tcPr>
            <w:tcW w:w="1843" w:type="dxa"/>
            <w:vMerge w:val="restart"/>
            <w:tcBorders>
              <w:top w:val="nil"/>
            </w:tcBorders>
            <w:vAlign w:val="center"/>
          </w:tcPr>
          <w:p w14:paraId="7A79C427" w14:textId="77777777" w:rsidR="008B4FB4" w:rsidRPr="008B4FB4" w:rsidRDefault="008B4FB4" w:rsidP="0090246F">
            <w:pPr>
              <w:jc w:val="center"/>
              <w:rPr>
                <w:color w:val="000000"/>
              </w:rPr>
            </w:pPr>
            <w:r w:rsidRPr="008B4FB4">
              <w:rPr>
                <w:color w:val="000000"/>
                <w:lang w:val="en"/>
              </w:rPr>
              <w:t>0.951 – 3.199</w:t>
            </w:r>
          </w:p>
        </w:tc>
      </w:tr>
      <w:tr w:rsidR="008B4FB4" w:rsidRPr="008B4FB4" w14:paraId="508D324F" w14:textId="77777777" w:rsidTr="005B4626">
        <w:trPr>
          <w:trHeight w:val="20"/>
        </w:trPr>
        <w:tc>
          <w:tcPr>
            <w:tcW w:w="3106" w:type="dxa"/>
            <w:tcBorders>
              <w:bottom w:val="single" w:sz="4" w:space="0" w:color="auto"/>
            </w:tcBorders>
            <w:shd w:val="clear" w:color="auto" w:fill="auto"/>
            <w:noWrap/>
            <w:vAlign w:val="bottom"/>
            <w:hideMark/>
          </w:tcPr>
          <w:p w14:paraId="08B425DD"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021D569F" w14:textId="77777777" w:rsidR="008B4FB4" w:rsidRPr="008B4FB4" w:rsidRDefault="008B4FB4" w:rsidP="00E02357">
            <w:pPr>
              <w:jc w:val="center"/>
              <w:rPr>
                <w:color w:val="000000"/>
              </w:rPr>
            </w:pPr>
            <w:r w:rsidRPr="008B4FB4">
              <w:rPr>
                <w:color w:val="000000"/>
                <w:lang w:val="en"/>
              </w:rPr>
              <w:t>31</w:t>
            </w:r>
          </w:p>
        </w:tc>
        <w:tc>
          <w:tcPr>
            <w:tcW w:w="766" w:type="dxa"/>
            <w:tcBorders>
              <w:bottom w:val="single" w:sz="4" w:space="0" w:color="auto"/>
            </w:tcBorders>
            <w:shd w:val="clear" w:color="auto" w:fill="auto"/>
            <w:noWrap/>
            <w:vAlign w:val="center"/>
            <w:hideMark/>
          </w:tcPr>
          <w:p w14:paraId="3A90C23E" w14:textId="77777777" w:rsidR="008B4FB4" w:rsidRPr="008B4FB4" w:rsidRDefault="008B4FB4" w:rsidP="00E02357">
            <w:pPr>
              <w:jc w:val="center"/>
              <w:rPr>
                <w:color w:val="000000"/>
              </w:rPr>
            </w:pPr>
            <w:r w:rsidRPr="008B4FB4">
              <w:rPr>
                <w:color w:val="000000"/>
                <w:lang w:val="en"/>
              </w:rPr>
              <w:t>3.39</w:t>
            </w:r>
          </w:p>
        </w:tc>
        <w:tc>
          <w:tcPr>
            <w:tcW w:w="766" w:type="dxa"/>
            <w:tcBorders>
              <w:bottom w:val="single" w:sz="4" w:space="0" w:color="auto"/>
            </w:tcBorders>
            <w:shd w:val="clear" w:color="auto" w:fill="auto"/>
            <w:noWrap/>
            <w:vAlign w:val="center"/>
            <w:hideMark/>
          </w:tcPr>
          <w:p w14:paraId="5E788C01" w14:textId="77777777" w:rsidR="008B4FB4" w:rsidRPr="008B4FB4" w:rsidRDefault="008B4FB4" w:rsidP="00E02357">
            <w:pPr>
              <w:jc w:val="center"/>
              <w:rPr>
                <w:color w:val="000000"/>
              </w:rPr>
            </w:pPr>
            <w:r w:rsidRPr="008B4FB4">
              <w:rPr>
                <w:color w:val="000000"/>
                <w:lang w:val="en"/>
              </w:rPr>
              <w:t>884</w:t>
            </w:r>
          </w:p>
        </w:tc>
        <w:tc>
          <w:tcPr>
            <w:tcW w:w="766" w:type="dxa"/>
            <w:tcBorders>
              <w:bottom w:val="single" w:sz="4" w:space="0" w:color="auto"/>
            </w:tcBorders>
            <w:shd w:val="clear" w:color="auto" w:fill="auto"/>
            <w:noWrap/>
            <w:vAlign w:val="center"/>
            <w:hideMark/>
          </w:tcPr>
          <w:p w14:paraId="519FFE25" w14:textId="77777777" w:rsidR="008B4FB4" w:rsidRPr="008B4FB4" w:rsidRDefault="008B4FB4" w:rsidP="00E02357">
            <w:pPr>
              <w:jc w:val="center"/>
              <w:rPr>
                <w:color w:val="000000"/>
              </w:rPr>
            </w:pPr>
            <w:r w:rsidRPr="008B4FB4">
              <w:rPr>
                <w:color w:val="000000"/>
                <w:lang w:val="en"/>
              </w:rPr>
              <w:t>96.61</w:t>
            </w:r>
          </w:p>
        </w:tc>
        <w:tc>
          <w:tcPr>
            <w:tcW w:w="1045" w:type="dxa"/>
            <w:vMerge/>
            <w:tcBorders>
              <w:bottom w:val="single" w:sz="4" w:space="0" w:color="auto"/>
            </w:tcBorders>
            <w:vAlign w:val="center"/>
          </w:tcPr>
          <w:p w14:paraId="01E5ADFB"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6350362C"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173B1479" w14:textId="77777777" w:rsidR="008B4FB4" w:rsidRPr="008B4FB4" w:rsidRDefault="008B4FB4" w:rsidP="0090246F">
            <w:pPr>
              <w:jc w:val="center"/>
              <w:rPr>
                <w:color w:val="000000"/>
              </w:rPr>
            </w:pPr>
          </w:p>
        </w:tc>
      </w:tr>
      <w:tr w:rsidR="008B4FB4" w:rsidRPr="008B4FB4" w14:paraId="1B791F7A" w14:textId="77777777" w:rsidTr="005B4626">
        <w:trPr>
          <w:trHeight w:val="20"/>
        </w:trPr>
        <w:tc>
          <w:tcPr>
            <w:tcW w:w="3106" w:type="dxa"/>
            <w:tcBorders>
              <w:top w:val="single" w:sz="4" w:space="0" w:color="auto"/>
              <w:bottom w:val="nil"/>
            </w:tcBorders>
            <w:shd w:val="clear" w:color="auto" w:fill="auto"/>
            <w:noWrap/>
            <w:vAlign w:val="bottom"/>
            <w:hideMark/>
          </w:tcPr>
          <w:p w14:paraId="53CFDE0F" w14:textId="77777777" w:rsidR="008B4FB4" w:rsidRPr="008B4FB4" w:rsidRDefault="008B4FB4" w:rsidP="00E02357">
            <w:pPr>
              <w:rPr>
                <w:b/>
                <w:bCs/>
                <w:color w:val="000000"/>
              </w:rPr>
            </w:pPr>
            <w:r w:rsidRPr="008B4FB4">
              <w:rPr>
                <w:b/>
                <w:bCs/>
                <w:color w:val="000000"/>
                <w:lang w:val="en"/>
              </w:rPr>
              <w:t>LDL levels</w:t>
            </w:r>
          </w:p>
        </w:tc>
        <w:tc>
          <w:tcPr>
            <w:tcW w:w="710" w:type="dxa"/>
            <w:tcBorders>
              <w:top w:val="single" w:sz="4" w:space="0" w:color="auto"/>
              <w:bottom w:val="nil"/>
            </w:tcBorders>
            <w:shd w:val="clear" w:color="auto" w:fill="auto"/>
            <w:noWrap/>
            <w:vAlign w:val="center"/>
            <w:hideMark/>
          </w:tcPr>
          <w:p w14:paraId="6886CBB9"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16427617"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0EB909D4"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6BBAC9B4"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77D8E75D"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5730C70E"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05515010" w14:textId="77777777" w:rsidR="008B4FB4" w:rsidRPr="008B4FB4" w:rsidRDefault="008B4FB4" w:rsidP="0090246F">
            <w:pPr>
              <w:jc w:val="center"/>
              <w:rPr>
                <w:b/>
                <w:bCs/>
                <w:color w:val="000000"/>
              </w:rPr>
            </w:pPr>
          </w:p>
        </w:tc>
      </w:tr>
      <w:tr w:rsidR="008B4FB4" w:rsidRPr="008B4FB4" w14:paraId="66FFCB87" w14:textId="77777777" w:rsidTr="005B4626">
        <w:trPr>
          <w:trHeight w:val="20"/>
        </w:trPr>
        <w:tc>
          <w:tcPr>
            <w:tcW w:w="3106" w:type="dxa"/>
            <w:tcBorders>
              <w:top w:val="nil"/>
            </w:tcBorders>
            <w:shd w:val="clear" w:color="auto" w:fill="auto"/>
            <w:noWrap/>
            <w:vAlign w:val="bottom"/>
            <w:hideMark/>
          </w:tcPr>
          <w:p w14:paraId="10B93E80" w14:textId="77777777" w:rsidR="008B4FB4" w:rsidRPr="008B4FB4" w:rsidRDefault="008B4FB4" w:rsidP="00E02357">
            <w:pPr>
              <w:rPr>
                <w:color w:val="000000"/>
              </w:rPr>
            </w:pPr>
            <w:r w:rsidRPr="008B4FB4">
              <w:rPr>
                <w:color w:val="000000"/>
                <w:lang w:val="en"/>
              </w:rPr>
              <w:t>Risky</w:t>
            </w:r>
          </w:p>
        </w:tc>
        <w:tc>
          <w:tcPr>
            <w:tcW w:w="710" w:type="dxa"/>
            <w:tcBorders>
              <w:top w:val="nil"/>
            </w:tcBorders>
            <w:shd w:val="clear" w:color="auto" w:fill="auto"/>
            <w:noWrap/>
            <w:vAlign w:val="center"/>
            <w:hideMark/>
          </w:tcPr>
          <w:p w14:paraId="2D9F6A4D" w14:textId="77777777" w:rsidR="008B4FB4" w:rsidRPr="008B4FB4" w:rsidRDefault="008B4FB4" w:rsidP="00E02357">
            <w:pPr>
              <w:jc w:val="center"/>
              <w:rPr>
                <w:color w:val="000000"/>
              </w:rPr>
            </w:pPr>
            <w:r w:rsidRPr="008B4FB4">
              <w:rPr>
                <w:color w:val="000000"/>
                <w:lang w:val="en"/>
              </w:rPr>
              <w:t>42</w:t>
            </w:r>
          </w:p>
        </w:tc>
        <w:tc>
          <w:tcPr>
            <w:tcW w:w="766" w:type="dxa"/>
            <w:tcBorders>
              <w:top w:val="nil"/>
            </w:tcBorders>
            <w:shd w:val="clear" w:color="auto" w:fill="auto"/>
            <w:noWrap/>
            <w:vAlign w:val="center"/>
            <w:hideMark/>
          </w:tcPr>
          <w:p w14:paraId="57BDCF7B" w14:textId="77777777" w:rsidR="008B4FB4" w:rsidRPr="008B4FB4" w:rsidRDefault="008B4FB4" w:rsidP="00E02357">
            <w:pPr>
              <w:jc w:val="center"/>
              <w:rPr>
                <w:color w:val="000000"/>
              </w:rPr>
            </w:pPr>
            <w:r w:rsidRPr="008B4FB4">
              <w:rPr>
                <w:color w:val="000000"/>
                <w:lang w:val="en"/>
              </w:rPr>
              <w:t>4.49</w:t>
            </w:r>
          </w:p>
        </w:tc>
        <w:tc>
          <w:tcPr>
            <w:tcW w:w="766" w:type="dxa"/>
            <w:tcBorders>
              <w:top w:val="nil"/>
            </w:tcBorders>
            <w:shd w:val="clear" w:color="auto" w:fill="auto"/>
            <w:noWrap/>
            <w:vAlign w:val="center"/>
            <w:hideMark/>
          </w:tcPr>
          <w:p w14:paraId="27CD94C6" w14:textId="77777777" w:rsidR="008B4FB4" w:rsidRPr="008B4FB4" w:rsidRDefault="008B4FB4" w:rsidP="00E02357">
            <w:pPr>
              <w:jc w:val="center"/>
              <w:rPr>
                <w:color w:val="000000"/>
              </w:rPr>
            </w:pPr>
            <w:r w:rsidRPr="008B4FB4">
              <w:rPr>
                <w:color w:val="000000"/>
                <w:lang w:val="en"/>
              </w:rPr>
              <w:t>893</w:t>
            </w:r>
          </w:p>
        </w:tc>
        <w:tc>
          <w:tcPr>
            <w:tcW w:w="766" w:type="dxa"/>
            <w:tcBorders>
              <w:top w:val="nil"/>
            </w:tcBorders>
            <w:shd w:val="clear" w:color="auto" w:fill="auto"/>
            <w:noWrap/>
            <w:vAlign w:val="center"/>
            <w:hideMark/>
          </w:tcPr>
          <w:p w14:paraId="14D149C6" w14:textId="77777777" w:rsidR="008B4FB4" w:rsidRPr="008B4FB4" w:rsidRDefault="008B4FB4" w:rsidP="00E02357">
            <w:pPr>
              <w:jc w:val="center"/>
              <w:rPr>
                <w:color w:val="000000"/>
              </w:rPr>
            </w:pPr>
            <w:r w:rsidRPr="008B4FB4">
              <w:rPr>
                <w:color w:val="000000"/>
                <w:lang w:val="en"/>
              </w:rPr>
              <w:t>95.51</w:t>
            </w:r>
          </w:p>
        </w:tc>
        <w:tc>
          <w:tcPr>
            <w:tcW w:w="1045" w:type="dxa"/>
            <w:vMerge w:val="restart"/>
            <w:tcBorders>
              <w:top w:val="nil"/>
            </w:tcBorders>
            <w:vAlign w:val="center"/>
          </w:tcPr>
          <w:p w14:paraId="3C07DC3D" w14:textId="77777777" w:rsidR="008B4FB4" w:rsidRPr="008B4FB4" w:rsidRDefault="008B4FB4" w:rsidP="0090246F">
            <w:pPr>
              <w:jc w:val="center"/>
              <w:rPr>
                <w:color w:val="000000"/>
              </w:rPr>
            </w:pPr>
            <w:r w:rsidRPr="008B4FB4">
              <w:rPr>
                <w:color w:val="000000"/>
                <w:lang w:val="en"/>
              </w:rPr>
              <w:t>0.084</w:t>
            </w:r>
          </w:p>
        </w:tc>
        <w:tc>
          <w:tcPr>
            <w:tcW w:w="885" w:type="dxa"/>
            <w:vMerge w:val="restart"/>
            <w:tcBorders>
              <w:top w:val="nil"/>
            </w:tcBorders>
            <w:vAlign w:val="center"/>
          </w:tcPr>
          <w:p w14:paraId="1498E98D" w14:textId="77777777" w:rsidR="008B4FB4" w:rsidRPr="008B4FB4" w:rsidRDefault="008B4FB4" w:rsidP="0090246F">
            <w:pPr>
              <w:jc w:val="center"/>
              <w:rPr>
                <w:color w:val="000000"/>
              </w:rPr>
            </w:pPr>
            <w:r w:rsidRPr="008B4FB4">
              <w:rPr>
                <w:color w:val="000000"/>
                <w:lang w:val="en"/>
              </w:rPr>
              <w:t>2.109</w:t>
            </w:r>
          </w:p>
        </w:tc>
        <w:tc>
          <w:tcPr>
            <w:tcW w:w="1843" w:type="dxa"/>
            <w:vMerge w:val="restart"/>
            <w:tcBorders>
              <w:top w:val="nil"/>
            </w:tcBorders>
            <w:vAlign w:val="center"/>
          </w:tcPr>
          <w:p w14:paraId="49449473" w14:textId="77777777" w:rsidR="008B4FB4" w:rsidRPr="008B4FB4" w:rsidRDefault="008B4FB4" w:rsidP="0090246F">
            <w:pPr>
              <w:jc w:val="center"/>
              <w:rPr>
                <w:color w:val="000000"/>
              </w:rPr>
            </w:pPr>
            <w:r w:rsidRPr="008B4FB4">
              <w:rPr>
                <w:color w:val="000000"/>
                <w:lang w:val="en"/>
              </w:rPr>
              <w:t>0.887 – 5.014</w:t>
            </w:r>
          </w:p>
        </w:tc>
      </w:tr>
      <w:tr w:rsidR="008B4FB4" w:rsidRPr="008B4FB4" w14:paraId="4635FD9A" w14:textId="77777777" w:rsidTr="005B4626">
        <w:trPr>
          <w:trHeight w:val="20"/>
        </w:trPr>
        <w:tc>
          <w:tcPr>
            <w:tcW w:w="3106" w:type="dxa"/>
            <w:tcBorders>
              <w:bottom w:val="single" w:sz="4" w:space="0" w:color="auto"/>
            </w:tcBorders>
            <w:shd w:val="clear" w:color="auto" w:fill="auto"/>
            <w:noWrap/>
            <w:vAlign w:val="bottom"/>
            <w:hideMark/>
          </w:tcPr>
          <w:p w14:paraId="7E2FEC61"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0F8C4C7D" w14:textId="77777777" w:rsidR="008B4FB4" w:rsidRPr="008B4FB4" w:rsidRDefault="008B4FB4" w:rsidP="00E02357">
            <w:pPr>
              <w:jc w:val="center"/>
              <w:rPr>
                <w:color w:val="000000"/>
              </w:rPr>
            </w:pPr>
            <w:r w:rsidRPr="008B4FB4">
              <w:rPr>
                <w:color w:val="000000"/>
                <w:lang w:val="en"/>
              </w:rPr>
              <w:t>6</w:t>
            </w:r>
          </w:p>
        </w:tc>
        <w:tc>
          <w:tcPr>
            <w:tcW w:w="766" w:type="dxa"/>
            <w:tcBorders>
              <w:bottom w:val="single" w:sz="4" w:space="0" w:color="auto"/>
            </w:tcBorders>
            <w:shd w:val="clear" w:color="auto" w:fill="auto"/>
            <w:noWrap/>
            <w:vAlign w:val="center"/>
            <w:hideMark/>
          </w:tcPr>
          <w:p w14:paraId="145F05A5" w14:textId="77777777" w:rsidR="008B4FB4" w:rsidRPr="008B4FB4" w:rsidRDefault="008B4FB4" w:rsidP="00E02357">
            <w:pPr>
              <w:jc w:val="center"/>
              <w:rPr>
                <w:color w:val="000000"/>
              </w:rPr>
            </w:pPr>
            <w:r w:rsidRPr="008B4FB4">
              <w:rPr>
                <w:color w:val="000000"/>
                <w:lang w:val="en"/>
              </w:rPr>
              <w:t>2.18</w:t>
            </w:r>
          </w:p>
        </w:tc>
        <w:tc>
          <w:tcPr>
            <w:tcW w:w="766" w:type="dxa"/>
            <w:tcBorders>
              <w:bottom w:val="single" w:sz="4" w:space="0" w:color="auto"/>
            </w:tcBorders>
            <w:shd w:val="clear" w:color="auto" w:fill="auto"/>
            <w:noWrap/>
            <w:vAlign w:val="center"/>
            <w:hideMark/>
          </w:tcPr>
          <w:p w14:paraId="1C684131" w14:textId="77777777" w:rsidR="008B4FB4" w:rsidRPr="008B4FB4" w:rsidRDefault="008B4FB4" w:rsidP="00E02357">
            <w:pPr>
              <w:jc w:val="center"/>
              <w:rPr>
                <w:color w:val="000000"/>
              </w:rPr>
            </w:pPr>
            <w:r w:rsidRPr="008B4FB4">
              <w:rPr>
                <w:color w:val="000000"/>
                <w:lang w:val="en"/>
              </w:rPr>
              <w:t>269</w:t>
            </w:r>
          </w:p>
        </w:tc>
        <w:tc>
          <w:tcPr>
            <w:tcW w:w="766" w:type="dxa"/>
            <w:tcBorders>
              <w:bottom w:val="single" w:sz="4" w:space="0" w:color="auto"/>
            </w:tcBorders>
            <w:shd w:val="clear" w:color="auto" w:fill="auto"/>
            <w:noWrap/>
            <w:vAlign w:val="center"/>
            <w:hideMark/>
          </w:tcPr>
          <w:p w14:paraId="6699BBC1" w14:textId="77777777" w:rsidR="008B4FB4" w:rsidRPr="008B4FB4" w:rsidRDefault="008B4FB4" w:rsidP="00E02357">
            <w:pPr>
              <w:jc w:val="center"/>
              <w:rPr>
                <w:color w:val="000000"/>
              </w:rPr>
            </w:pPr>
            <w:r w:rsidRPr="008B4FB4">
              <w:rPr>
                <w:color w:val="000000"/>
                <w:lang w:val="en"/>
              </w:rPr>
              <w:t>97.82</w:t>
            </w:r>
          </w:p>
        </w:tc>
        <w:tc>
          <w:tcPr>
            <w:tcW w:w="1045" w:type="dxa"/>
            <w:vMerge/>
            <w:tcBorders>
              <w:bottom w:val="single" w:sz="4" w:space="0" w:color="auto"/>
            </w:tcBorders>
            <w:vAlign w:val="center"/>
          </w:tcPr>
          <w:p w14:paraId="32C4DBD7"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4532A331"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42AB71B5" w14:textId="77777777" w:rsidR="008B4FB4" w:rsidRPr="008B4FB4" w:rsidRDefault="008B4FB4" w:rsidP="0090246F">
            <w:pPr>
              <w:jc w:val="center"/>
              <w:rPr>
                <w:color w:val="000000"/>
              </w:rPr>
            </w:pPr>
          </w:p>
        </w:tc>
      </w:tr>
      <w:tr w:rsidR="008B4FB4" w:rsidRPr="008B4FB4" w14:paraId="57D71B6A" w14:textId="77777777" w:rsidTr="005B4626">
        <w:trPr>
          <w:trHeight w:val="20"/>
        </w:trPr>
        <w:tc>
          <w:tcPr>
            <w:tcW w:w="3106" w:type="dxa"/>
            <w:tcBorders>
              <w:top w:val="single" w:sz="4" w:space="0" w:color="auto"/>
              <w:bottom w:val="nil"/>
            </w:tcBorders>
            <w:shd w:val="clear" w:color="auto" w:fill="auto"/>
            <w:noWrap/>
            <w:vAlign w:val="bottom"/>
            <w:hideMark/>
          </w:tcPr>
          <w:p w14:paraId="204ED669" w14:textId="77777777" w:rsidR="008B4FB4" w:rsidRPr="008B4FB4" w:rsidRDefault="008B4FB4" w:rsidP="00E02357">
            <w:pPr>
              <w:rPr>
                <w:b/>
                <w:bCs/>
                <w:color w:val="000000"/>
              </w:rPr>
            </w:pPr>
            <w:r w:rsidRPr="008B4FB4">
              <w:rPr>
                <w:b/>
                <w:bCs/>
                <w:color w:val="000000"/>
                <w:lang w:val="en"/>
              </w:rPr>
              <w:t>HDL levels</w:t>
            </w:r>
          </w:p>
        </w:tc>
        <w:tc>
          <w:tcPr>
            <w:tcW w:w="710" w:type="dxa"/>
            <w:tcBorders>
              <w:top w:val="single" w:sz="4" w:space="0" w:color="auto"/>
              <w:bottom w:val="nil"/>
            </w:tcBorders>
            <w:shd w:val="clear" w:color="auto" w:fill="auto"/>
            <w:noWrap/>
            <w:vAlign w:val="center"/>
            <w:hideMark/>
          </w:tcPr>
          <w:p w14:paraId="0B844F5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6DE4843C"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72B1E482"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2D985307"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47B5FA80"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2B57DADD"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64742C5F" w14:textId="77777777" w:rsidR="008B4FB4" w:rsidRPr="008B4FB4" w:rsidRDefault="008B4FB4" w:rsidP="0090246F">
            <w:pPr>
              <w:jc w:val="center"/>
              <w:rPr>
                <w:b/>
                <w:bCs/>
                <w:color w:val="000000"/>
              </w:rPr>
            </w:pPr>
          </w:p>
        </w:tc>
      </w:tr>
      <w:tr w:rsidR="008B4FB4" w:rsidRPr="008B4FB4" w14:paraId="52B76F10" w14:textId="77777777" w:rsidTr="005B4626">
        <w:trPr>
          <w:trHeight w:val="20"/>
        </w:trPr>
        <w:tc>
          <w:tcPr>
            <w:tcW w:w="3106" w:type="dxa"/>
            <w:tcBorders>
              <w:top w:val="nil"/>
            </w:tcBorders>
            <w:shd w:val="clear" w:color="auto" w:fill="auto"/>
            <w:noWrap/>
            <w:vAlign w:val="bottom"/>
            <w:hideMark/>
          </w:tcPr>
          <w:p w14:paraId="7243A8B7" w14:textId="77777777" w:rsidR="008B4FB4" w:rsidRPr="008B4FB4" w:rsidRDefault="008B4FB4" w:rsidP="00E02357">
            <w:pPr>
              <w:rPr>
                <w:color w:val="000000"/>
              </w:rPr>
            </w:pPr>
            <w:r w:rsidRPr="008B4FB4">
              <w:rPr>
                <w:color w:val="000000"/>
                <w:lang w:val="en"/>
              </w:rPr>
              <w:t>Risky</w:t>
            </w:r>
          </w:p>
        </w:tc>
        <w:tc>
          <w:tcPr>
            <w:tcW w:w="710" w:type="dxa"/>
            <w:tcBorders>
              <w:top w:val="nil"/>
            </w:tcBorders>
            <w:shd w:val="clear" w:color="auto" w:fill="auto"/>
            <w:noWrap/>
            <w:vAlign w:val="center"/>
            <w:hideMark/>
          </w:tcPr>
          <w:p w14:paraId="28AC744F" w14:textId="77777777" w:rsidR="008B4FB4" w:rsidRPr="008B4FB4" w:rsidRDefault="008B4FB4" w:rsidP="00E02357">
            <w:pPr>
              <w:jc w:val="center"/>
              <w:rPr>
                <w:color w:val="000000"/>
              </w:rPr>
            </w:pPr>
            <w:r w:rsidRPr="008B4FB4">
              <w:rPr>
                <w:color w:val="000000"/>
                <w:lang w:val="en"/>
              </w:rPr>
              <w:t>15</w:t>
            </w:r>
          </w:p>
        </w:tc>
        <w:tc>
          <w:tcPr>
            <w:tcW w:w="766" w:type="dxa"/>
            <w:tcBorders>
              <w:top w:val="nil"/>
            </w:tcBorders>
            <w:shd w:val="clear" w:color="auto" w:fill="auto"/>
            <w:noWrap/>
            <w:vAlign w:val="center"/>
            <w:hideMark/>
          </w:tcPr>
          <w:p w14:paraId="7AF6D00A" w14:textId="77777777" w:rsidR="008B4FB4" w:rsidRPr="008B4FB4" w:rsidRDefault="008B4FB4" w:rsidP="00E02357">
            <w:pPr>
              <w:jc w:val="center"/>
              <w:rPr>
                <w:color w:val="000000"/>
              </w:rPr>
            </w:pPr>
            <w:r w:rsidRPr="008B4FB4">
              <w:rPr>
                <w:color w:val="000000"/>
                <w:lang w:val="en"/>
              </w:rPr>
              <w:t>3.54</w:t>
            </w:r>
          </w:p>
        </w:tc>
        <w:tc>
          <w:tcPr>
            <w:tcW w:w="766" w:type="dxa"/>
            <w:tcBorders>
              <w:top w:val="nil"/>
            </w:tcBorders>
            <w:shd w:val="clear" w:color="auto" w:fill="auto"/>
            <w:noWrap/>
            <w:vAlign w:val="center"/>
            <w:hideMark/>
          </w:tcPr>
          <w:p w14:paraId="69980B90" w14:textId="77777777" w:rsidR="008B4FB4" w:rsidRPr="008B4FB4" w:rsidRDefault="008B4FB4" w:rsidP="00E02357">
            <w:pPr>
              <w:jc w:val="center"/>
              <w:rPr>
                <w:color w:val="000000"/>
              </w:rPr>
            </w:pPr>
            <w:r w:rsidRPr="008B4FB4">
              <w:rPr>
                <w:color w:val="000000"/>
                <w:lang w:val="en"/>
              </w:rPr>
              <w:t>409</w:t>
            </w:r>
          </w:p>
        </w:tc>
        <w:tc>
          <w:tcPr>
            <w:tcW w:w="766" w:type="dxa"/>
            <w:tcBorders>
              <w:top w:val="nil"/>
            </w:tcBorders>
            <w:shd w:val="clear" w:color="auto" w:fill="auto"/>
            <w:noWrap/>
            <w:vAlign w:val="center"/>
            <w:hideMark/>
          </w:tcPr>
          <w:p w14:paraId="09007DF0" w14:textId="77777777" w:rsidR="008B4FB4" w:rsidRPr="008B4FB4" w:rsidRDefault="008B4FB4" w:rsidP="00E02357">
            <w:pPr>
              <w:jc w:val="center"/>
              <w:rPr>
                <w:color w:val="000000"/>
              </w:rPr>
            </w:pPr>
            <w:r w:rsidRPr="008B4FB4">
              <w:rPr>
                <w:color w:val="000000"/>
                <w:lang w:val="en"/>
              </w:rPr>
              <w:t>96.46</w:t>
            </w:r>
          </w:p>
        </w:tc>
        <w:tc>
          <w:tcPr>
            <w:tcW w:w="1045" w:type="dxa"/>
            <w:vMerge w:val="restart"/>
            <w:tcBorders>
              <w:top w:val="nil"/>
            </w:tcBorders>
            <w:vAlign w:val="center"/>
          </w:tcPr>
          <w:p w14:paraId="72EC25DE" w14:textId="77777777" w:rsidR="008B4FB4" w:rsidRPr="008B4FB4" w:rsidRDefault="008B4FB4" w:rsidP="0090246F">
            <w:pPr>
              <w:jc w:val="center"/>
              <w:rPr>
                <w:color w:val="000000"/>
              </w:rPr>
            </w:pPr>
            <w:r w:rsidRPr="008B4FB4">
              <w:rPr>
                <w:color w:val="000000"/>
                <w:lang w:val="en"/>
              </w:rPr>
              <w:t>0.574</w:t>
            </w:r>
          </w:p>
        </w:tc>
        <w:tc>
          <w:tcPr>
            <w:tcW w:w="885" w:type="dxa"/>
            <w:vMerge w:val="restart"/>
            <w:tcBorders>
              <w:top w:val="nil"/>
            </w:tcBorders>
            <w:vAlign w:val="center"/>
          </w:tcPr>
          <w:p w14:paraId="6875B300" w14:textId="77777777" w:rsidR="008B4FB4" w:rsidRPr="008B4FB4" w:rsidRDefault="008B4FB4" w:rsidP="0090246F">
            <w:pPr>
              <w:jc w:val="center"/>
              <w:rPr>
                <w:color w:val="000000"/>
              </w:rPr>
            </w:pPr>
            <w:r w:rsidRPr="008B4FB4">
              <w:rPr>
                <w:color w:val="000000"/>
                <w:lang w:val="en"/>
              </w:rPr>
              <w:t>0.837</w:t>
            </w:r>
          </w:p>
        </w:tc>
        <w:tc>
          <w:tcPr>
            <w:tcW w:w="1843" w:type="dxa"/>
            <w:vMerge w:val="restart"/>
            <w:tcBorders>
              <w:top w:val="nil"/>
            </w:tcBorders>
            <w:vAlign w:val="center"/>
          </w:tcPr>
          <w:p w14:paraId="066102DC" w14:textId="77777777" w:rsidR="008B4FB4" w:rsidRPr="008B4FB4" w:rsidRDefault="008B4FB4" w:rsidP="0090246F">
            <w:pPr>
              <w:jc w:val="center"/>
              <w:rPr>
                <w:color w:val="000000"/>
              </w:rPr>
            </w:pPr>
            <w:r w:rsidRPr="008B4FB4">
              <w:rPr>
                <w:color w:val="000000"/>
                <w:lang w:val="en"/>
              </w:rPr>
              <w:t>0.449 – 1.559</w:t>
            </w:r>
          </w:p>
        </w:tc>
      </w:tr>
      <w:tr w:rsidR="008B4FB4" w:rsidRPr="008B4FB4" w14:paraId="02104498" w14:textId="77777777" w:rsidTr="005B4626">
        <w:trPr>
          <w:trHeight w:val="20"/>
        </w:trPr>
        <w:tc>
          <w:tcPr>
            <w:tcW w:w="3106" w:type="dxa"/>
            <w:tcBorders>
              <w:bottom w:val="single" w:sz="4" w:space="0" w:color="auto"/>
            </w:tcBorders>
            <w:shd w:val="clear" w:color="auto" w:fill="auto"/>
            <w:noWrap/>
            <w:vAlign w:val="bottom"/>
            <w:hideMark/>
          </w:tcPr>
          <w:p w14:paraId="622C9B0B"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6444D3DA" w14:textId="77777777" w:rsidR="008B4FB4" w:rsidRPr="008B4FB4" w:rsidRDefault="008B4FB4" w:rsidP="00E02357">
            <w:pPr>
              <w:jc w:val="center"/>
              <w:rPr>
                <w:color w:val="000000"/>
              </w:rPr>
            </w:pPr>
            <w:r w:rsidRPr="008B4FB4">
              <w:rPr>
                <w:color w:val="000000"/>
                <w:lang w:val="en"/>
              </w:rPr>
              <w:t>33</w:t>
            </w:r>
          </w:p>
        </w:tc>
        <w:tc>
          <w:tcPr>
            <w:tcW w:w="766" w:type="dxa"/>
            <w:tcBorders>
              <w:bottom w:val="single" w:sz="4" w:space="0" w:color="auto"/>
            </w:tcBorders>
            <w:shd w:val="clear" w:color="auto" w:fill="auto"/>
            <w:noWrap/>
            <w:vAlign w:val="center"/>
            <w:hideMark/>
          </w:tcPr>
          <w:p w14:paraId="3F8050C0" w14:textId="77777777" w:rsidR="008B4FB4" w:rsidRPr="008B4FB4" w:rsidRDefault="008B4FB4" w:rsidP="00E02357">
            <w:pPr>
              <w:jc w:val="center"/>
              <w:rPr>
                <w:color w:val="000000"/>
              </w:rPr>
            </w:pPr>
            <w:r w:rsidRPr="008B4FB4">
              <w:rPr>
                <w:color w:val="000000"/>
                <w:lang w:val="en"/>
              </w:rPr>
              <w:t>4.20</w:t>
            </w:r>
          </w:p>
        </w:tc>
        <w:tc>
          <w:tcPr>
            <w:tcW w:w="766" w:type="dxa"/>
            <w:tcBorders>
              <w:bottom w:val="single" w:sz="4" w:space="0" w:color="auto"/>
            </w:tcBorders>
            <w:shd w:val="clear" w:color="auto" w:fill="auto"/>
            <w:noWrap/>
            <w:vAlign w:val="center"/>
            <w:hideMark/>
          </w:tcPr>
          <w:p w14:paraId="38A6A793" w14:textId="77777777" w:rsidR="008B4FB4" w:rsidRPr="008B4FB4" w:rsidRDefault="008B4FB4" w:rsidP="00E02357">
            <w:pPr>
              <w:jc w:val="center"/>
              <w:rPr>
                <w:color w:val="000000"/>
              </w:rPr>
            </w:pPr>
            <w:r w:rsidRPr="008B4FB4">
              <w:rPr>
                <w:color w:val="000000"/>
                <w:lang w:val="en"/>
              </w:rPr>
              <w:t>753</w:t>
            </w:r>
          </w:p>
        </w:tc>
        <w:tc>
          <w:tcPr>
            <w:tcW w:w="766" w:type="dxa"/>
            <w:tcBorders>
              <w:bottom w:val="single" w:sz="4" w:space="0" w:color="auto"/>
            </w:tcBorders>
            <w:shd w:val="clear" w:color="auto" w:fill="auto"/>
            <w:noWrap/>
            <w:vAlign w:val="center"/>
            <w:hideMark/>
          </w:tcPr>
          <w:p w14:paraId="6C77735D" w14:textId="77777777" w:rsidR="008B4FB4" w:rsidRPr="008B4FB4" w:rsidRDefault="008B4FB4" w:rsidP="00E02357">
            <w:pPr>
              <w:jc w:val="center"/>
              <w:rPr>
                <w:color w:val="000000"/>
              </w:rPr>
            </w:pPr>
            <w:r w:rsidRPr="008B4FB4">
              <w:rPr>
                <w:color w:val="000000"/>
                <w:lang w:val="en"/>
              </w:rPr>
              <w:t>95.80</w:t>
            </w:r>
          </w:p>
        </w:tc>
        <w:tc>
          <w:tcPr>
            <w:tcW w:w="1045" w:type="dxa"/>
            <w:vMerge/>
            <w:tcBorders>
              <w:bottom w:val="single" w:sz="4" w:space="0" w:color="auto"/>
            </w:tcBorders>
            <w:vAlign w:val="center"/>
          </w:tcPr>
          <w:p w14:paraId="3D91A322"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172C1C02"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123B253D" w14:textId="77777777" w:rsidR="008B4FB4" w:rsidRPr="008B4FB4" w:rsidRDefault="008B4FB4" w:rsidP="0090246F">
            <w:pPr>
              <w:jc w:val="center"/>
              <w:rPr>
                <w:color w:val="000000"/>
              </w:rPr>
            </w:pPr>
          </w:p>
        </w:tc>
      </w:tr>
      <w:tr w:rsidR="008B4FB4" w:rsidRPr="008B4FB4" w14:paraId="2585B5CC" w14:textId="77777777" w:rsidTr="005B4626">
        <w:trPr>
          <w:trHeight w:val="20"/>
        </w:trPr>
        <w:tc>
          <w:tcPr>
            <w:tcW w:w="3106" w:type="dxa"/>
            <w:tcBorders>
              <w:top w:val="single" w:sz="4" w:space="0" w:color="auto"/>
              <w:bottom w:val="nil"/>
            </w:tcBorders>
            <w:shd w:val="clear" w:color="auto" w:fill="auto"/>
            <w:noWrap/>
            <w:vAlign w:val="bottom"/>
            <w:hideMark/>
          </w:tcPr>
          <w:p w14:paraId="45242DDF" w14:textId="77777777" w:rsidR="008B4FB4" w:rsidRPr="008B4FB4" w:rsidRDefault="008B4FB4" w:rsidP="00E02357">
            <w:pPr>
              <w:rPr>
                <w:b/>
                <w:bCs/>
                <w:color w:val="000000"/>
              </w:rPr>
            </w:pPr>
            <w:r w:rsidRPr="008B4FB4">
              <w:rPr>
                <w:b/>
                <w:bCs/>
                <w:color w:val="000000"/>
                <w:lang w:val="en"/>
              </w:rPr>
              <w:t>Systolic Blood Pressure</w:t>
            </w:r>
          </w:p>
        </w:tc>
        <w:tc>
          <w:tcPr>
            <w:tcW w:w="710" w:type="dxa"/>
            <w:tcBorders>
              <w:top w:val="single" w:sz="4" w:space="0" w:color="auto"/>
              <w:bottom w:val="nil"/>
            </w:tcBorders>
            <w:shd w:val="clear" w:color="auto" w:fill="auto"/>
            <w:noWrap/>
            <w:vAlign w:val="center"/>
            <w:hideMark/>
          </w:tcPr>
          <w:p w14:paraId="180095C3"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697E2AD6"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283E3B25"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766FC764"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39413613"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15C43C5D"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244C7DE0" w14:textId="77777777" w:rsidR="008B4FB4" w:rsidRPr="008B4FB4" w:rsidRDefault="008B4FB4" w:rsidP="0090246F">
            <w:pPr>
              <w:jc w:val="center"/>
              <w:rPr>
                <w:b/>
                <w:bCs/>
                <w:color w:val="000000"/>
              </w:rPr>
            </w:pPr>
          </w:p>
        </w:tc>
      </w:tr>
      <w:tr w:rsidR="008B4FB4" w:rsidRPr="008B4FB4" w14:paraId="1E841242" w14:textId="77777777" w:rsidTr="005B4626">
        <w:trPr>
          <w:trHeight w:val="20"/>
        </w:trPr>
        <w:tc>
          <w:tcPr>
            <w:tcW w:w="3106" w:type="dxa"/>
            <w:tcBorders>
              <w:top w:val="nil"/>
            </w:tcBorders>
            <w:shd w:val="clear" w:color="auto" w:fill="auto"/>
            <w:noWrap/>
            <w:vAlign w:val="bottom"/>
            <w:hideMark/>
          </w:tcPr>
          <w:p w14:paraId="159C0829" w14:textId="77777777" w:rsidR="008B4FB4" w:rsidRPr="008B4FB4" w:rsidRDefault="008B4FB4" w:rsidP="00E02357">
            <w:pPr>
              <w:rPr>
                <w:color w:val="000000"/>
              </w:rPr>
            </w:pPr>
            <w:bookmarkStart w:id="1" w:name="_Hlk93947742"/>
            <w:r w:rsidRPr="008B4FB4">
              <w:rPr>
                <w:color w:val="000000"/>
                <w:lang w:val="en"/>
              </w:rPr>
              <w:t>Risky</w:t>
            </w:r>
          </w:p>
        </w:tc>
        <w:tc>
          <w:tcPr>
            <w:tcW w:w="710" w:type="dxa"/>
            <w:tcBorders>
              <w:top w:val="nil"/>
            </w:tcBorders>
            <w:shd w:val="clear" w:color="auto" w:fill="auto"/>
            <w:noWrap/>
            <w:vAlign w:val="center"/>
            <w:hideMark/>
          </w:tcPr>
          <w:p w14:paraId="1DF1D773" w14:textId="77777777" w:rsidR="008B4FB4" w:rsidRPr="008B4FB4" w:rsidRDefault="008B4FB4" w:rsidP="00E02357">
            <w:pPr>
              <w:jc w:val="center"/>
              <w:rPr>
                <w:color w:val="000000"/>
              </w:rPr>
            </w:pPr>
            <w:r w:rsidRPr="008B4FB4">
              <w:rPr>
                <w:color w:val="000000"/>
                <w:lang w:val="en"/>
              </w:rPr>
              <w:t>41</w:t>
            </w:r>
          </w:p>
        </w:tc>
        <w:tc>
          <w:tcPr>
            <w:tcW w:w="766" w:type="dxa"/>
            <w:tcBorders>
              <w:top w:val="nil"/>
            </w:tcBorders>
            <w:shd w:val="clear" w:color="auto" w:fill="auto"/>
            <w:noWrap/>
            <w:vAlign w:val="center"/>
            <w:hideMark/>
          </w:tcPr>
          <w:p w14:paraId="61E32659" w14:textId="77777777" w:rsidR="008B4FB4" w:rsidRPr="008B4FB4" w:rsidRDefault="008B4FB4" w:rsidP="00E02357">
            <w:pPr>
              <w:jc w:val="center"/>
              <w:rPr>
                <w:color w:val="000000"/>
              </w:rPr>
            </w:pPr>
            <w:r w:rsidRPr="008B4FB4">
              <w:rPr>
                <w:color w:val="000000"/>
                <w:lang w:val="en"/>
              </w:rPr>
              <w:t>5.73</w:t>
            </w:r>
          </w:p>
        </w:tc>
        <w:tc>
          <w:tcPr>
            <w:tcW w:w="766" w:type="dxa"/>
            <w:tcBorders>
              <w:top w:val="nil"/>
            </w:tcBorders>
            <w:shd w:val="clear" w:color="auto" w:fill="auto"/>
            <w:noWrap/>
            <w:vAlign w:val="center"/>
            <w:hideMark/>
          </w:tcPr>
          <w:p w14:paraId="624320C9" w14:textId="77777777" w:rsidR="008B4FB4" w:rsidRPr="008B4FB4" w:rsidRDefault="008B4FB4" w:rsidP="00E02357">
            <w:pPr>
              <w:jc w:val="center"/>
              <w:rPr>
                <w:color w:val="000000"/>
              </w:rPr>
            </w:pPr>
            <w:r w:rsidRPr="008B4FB4">
              <w:rPr>
                <w:color w:val="000000"/>
                <w:lang w:val="en"/>
              </w:rPr>
              <w:t>674</w:t>
            </w:r>
          </w:p>
        </w:tc>
        <w:tc>
          <w:tcPr>
            <w:tcW w:w="766" w:type="dxa"/>
            <w:tcBorders>
              <w:top w:val="nil"/>
            </w:tcBorders>
            <w:shd w:val="clear" w:color="auto" w:fill="auto"/>
            <w:noWrap/>
            <w:vAlign w:val="center"/>
            <w:hideMark/>
          </w:tcPr>
          <w:p w14:paraId="444DB3E8" w14:textId="77777777" w:rsidR="008B4FB4" w:rsidRPr="008B4FB4" w:rsidRDefault="008B4FB4" w:rsidP="00E02357">
            <w:pPr>
              <w:jc w:val="center"/>
              <w:rPr>
                <w:color w:val="000000"/>
              </w:rPr>
            </w:pPr>
            <w:r w:rsidRPr="008B4FB4">
              <w:rPr>
                <w:color w:val="000000"/>
                <w:lang w:val="en"/>
              </w:rPr>
              <w:t>94.27</w:t>
            </w:r>
          </w:p>
        </w:tc>
        <w:tc>
          <w:tcPr>
            <w:tcW w:w="1045" w:type="dxa"/>
            <w:vMerge w:val="restart"/>
            <w:tcBorders>
              <w:top w:val="nil"/>
            </w:tcBorders>
            <w:vAlign w:val="center"/>
          </w:tcPr>
          <w:p w14:paraId="73FBB2E7" w14:textId="77777777" w:rsidR="008B4FB4" w:rsidRPr="008B4FB4" w:rsidRDefault="008B4FB4" w:rsidP="0090246F">
            <w:pPr>
              <w:jc w:val="center"/>
              <w:rPr>
                <w:color w:val="000000"/>
              </w:rPr>
            </w:pPr>
            <w:r w:rsidRPr="008B4FB4">
              <w:rPr>
                <w:color w:val="000000"/>
                <w:lang w:val="en"/>
              </w:rPr>
              <w:t>0.000</w:t>
            </w:r>
          </w:p>
        </w:tc>
        <w:tc>
          <w:tcPr>
            <w:tcW w:w="885" w:type="dxa"/>
            <w:vMerge w:val="restart"/>
            <w:tcBorders>
              <w:top w:val="nil"/>
            </w:tcBorders>
            <w:vAlign w:val="center"/>
          </w:tcPr>
          <w:p w14:paraId="1A0B5024" w14:textId="77777777" w:rsidR="008B4FB4" w:rsidRPr="008B4FB4" w:rsidRDefault="008B4FB4" w:rsidP="0090246F">
            <w:pPr>
              <w:jc w:val="center"/>
              <w:rPr>
                <w:color w:val="000000"/>
              </w:rPr>
            </w:pPr>
            <w:r w:rsidRPr="008B4FB4">
              <w:rPr>
                <w:color w:val="000000"/>
                <w:lang w:val="en"/>
              </w:rPr>
              <w:t>4.241</w:t>
            </w:r>
          </w:p>
        </w:tc>
        <w:tc>
          <w:tcPr>
            <w:tcW w:w="1843" w:type="dxa"/>
            <w:vMerge w:val="restart"/>
            <w:tcBorders>
              <w:top w:val="nil"/>
            </w:tcBorders>
            <w:vAlign w:val="center"/>
          </w:tcPr>
          <w:p w14:paraId="3F0E313F" w14:textId="77777777" w:rsidR="008B4FB4" w:rsidRPr="008B4FB4" w:rsidRDefault="008B4FB4" w:rsidP="0090246F">
            <w:pPr>
              <w:jc w:val="center"/>
              <w:rPr>
                <w:color w:val="000000"/>
              </w:rPr>
            </w:pPr>
            <w:r w:rsidRPr="008B4FB4">
              <w:rPr>
                <w:color w:val="000000"/>
                <w:lang w:val="en"/>
              </w:rPr>
              <w:t>1.887 – 9.533</w:t>
            </w:r>
          </w:p>
        </w:tc>
      </w:tr>
      <w:bookmarkEnd w:id="1"/>
      <w:tr w:rsidR="008B4FB4" w:rsidRPr="008B4FB4" w14:paraId="10C99A67" w14:textId="77777777" w:rsidTr="005B4626">
        <w:trPr>
          <w:trHeight w:val="20"/>
        </w:trPr>
        <w:tc>
          <w:tcPr>
            <w:tcW w:w="3106" w:type="dxa"/>
            <w:tcBorders>
              <w:bottom w:val="single" w:sz="4" w:space="0" w:color="auto"/>
            </w:tcBorders>
            <w:shd w:val="clear" w:color="auto" w:fill="auto"/>
            <w:noWrap/>
            <w:vAlign w:val="bottom"/>
            <w:hideMark/>
          </w:tcPr>
          <w:p w14:paraId="4BBD35AF"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34C14DE5" w14:textId="77777777" w:rsidR="008B4FB4" w:rsidRPr="008B4FB4" w:rsidRDefault="008B4FB4" w:rsidP="00E02357">
            <w:pPr>
              <w:jc w:val="center"/>
              <w:rPr>
                <w:color w:val="000000"/>
              </w:rPr>
            </w:pPr>
            <w:r w:rsidRPr="008B4FB4">
              <w:rPr>
                <w:color w:val="000000"/>
                <w:lang w:val="en"/>
              </w:rPr>
              <w:t>7</w:t>
            </w:r>
          </w:p>
        </w:tc>
        <w:tc>
          <w:tcPr>
            <w:tcW w:w="766" w:type="dxa"/>
            <w:tcBorders>
              <w:bottom w:val="single" w:sz="4" w:space="0" w:color="auto"/>
            </w:tcBorders>
            <w:shd w:val="clear" w:color="auto" w:fill="auto"/>
            <w:noWrap/>
            <w:vAlign w:val="center"/>
            <w:hideMark/>
          </w:tcPr>
          <w:p w14:paraId="76D6236E" w14:textId="77777777" w:rsidR="008B4FB4" w:rsidRPr="008B4FB4" w:rsidRDefault="008B4FB4" w:rsidP="00E02357">
            <w:pPr>
              <w:jc w:val="center"/>
              <w:rPr>
                <w:color w:val="000000"/>
              </w:rPr>
            </w:pPr>
            <w:r w:rsidRPr="008B4FB4">
              <w:rPr>
                <w:color w:val="000000"/>
                <w:lang w:val="en"/>
              </w:rPr>
              <w:t>1.41</w:t>
            </w:r>
          </w:p>
        </w:tc>
        <w:tc>
          <w:tcPr>
            <w:tcW w:w="766" w:type="dxa"/>
            <w:tcBorders>
              <w:bottom w:val="single" w:sz="4" w:space="0" w:color="auto"/>
            </w:tcBorders>
            <w:shd w:val="clear" w:color="auto" w:fill="auto"/>
            <w:noWrap/>
            <w:vAlign w:val="center"/>
            <w:hideMark/>
          </w:tcPr>
          <w:p w14:paraId="101A199E" w14:textId="77777777" w:rsidR="008B4FB4" w:rsidRPr="008B4FB4" w:rsidRDefault="008B4FB4" w:rsidP="00E02357">
            <w:pPr>
              <w:jc w:val="center"/>
              <w:rPr>
                <w:color w:val="000000"/>
              </w:rPr>
            </w:pPr>
            <w:r w:rsidRPr="008B4FB4">
              <w:rPr>
                <w:color w:val="000000"/>
                <w:lang w:val="en"/>
              </w:rPr>
              <w:t>488</w:t>
            </w:r>
          </w:p>
        </w:tc>
        <w:tc>
          <w:tcPr>
            <w:tcW w:w="766" w:type="dxa"/>
            <w:tcBorders>
              <w:bottom w:val="single" w:sz="4" w:space="0" w:color="auto"/>
            </w:tcBorders>
            <w:shd w:val="clear" w:color="auto" w:fill="auto"/>
            <w:noWrap/>
            <w:vAlign w:val="center"/>
            <w:hideMark/>
          </w:tcPr>
          <w:p w14:paraId="5455702E" w14:textId="77777777" w:rsidR="008B4FB4" w:rsidRPr="008B4FB4" w:rsidRDefault="008B4FB4" w:rsidP="00E02357">
            <w:pPr>
              <w:jc w:val="center"/>
              <w:rPr>
                <w:color w:val="000000"/>
              </w:rPr>
            </w:pPr>
            <w:r w:rsidRPr="008B4FB4">
              <w:rPr>
                <w:color w:val="000000"/>
                <w:lang w:val="en"/>
              </w:rPr>
              <w:t>98.59</w:t>
            </w:r>
          </w:p>
        </w:tc>
        <w:tc>
          <w:tcPr>
            <w:tcW w:w="1045" w:type="dxa"/>
            <w:vMerge/>
            <w:tcBorders>
              <w:bottom w:val="single" w:sz="4" w:space="0" w:color="auto"/>
            </w:tcBorders>
            <w:vAlign w:val="center"/>
          </w:tcPr>
          <w:p w14:paraId="6CBD6DE0"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3A2D0A0F"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6CE7B9A3" w14:textId="77777777" w:rsidR="008B4FB4" w:rsidRPr="008B4FB4" w:rsidRDefault="008B4FB4" w:rsidP="0090246F">
            <w:pPr>
              <w:jc w:val="center"/>
              <w:rPr>
                <w:color w:val="000000"/>
              </w:rPr>
            </w:pPr>
          </w:p>
        </w:tc>
      </w:tr>
      <w:tr w:rsidR="008B4FB4" w:rsidRPr="008B4FB4" w14:paraId="39FCB40E" w14:textId="77777777" w:rsidTr="005B4626">
        <w:trPr>
          <w:trHeight w:val="20"/>
        </w:trPr>
        <w:tc>
          <w:tcPr>
            <w:tcW w:w="3106" w:type="dxa"/>
            <w:tcBorders>
              <w:top w:val="single" w:sz="4" w:space="0" w:color="auto"/>
              <w:bottom w:val="nil"/>
            </w:tcBorders>
            <w:shd w:val="clear" w:color="auto" w:fill="auto"/>
            <w:noWrap/>
            <w:vAlign w:val="bottom"/>
            <w:hideMark/>
          </w:tcPr>
          <w:p w14:paraId="21352262" w14:textId="77777777" w:rsidR="008B4FB4" w:rsidRPr="008B4FB4" w:rsidRDefault="008B4FB4" w:rsidP="00E02357">
            <w:pPr>
              <w:rPr>
                <w:b/>
                <w:bCs/>
                <w:color w:val="000000"/>
              </w:rPr>
            </w:pPr>
            <w:r w:rsidRPr="008B4FB4">
              <w:rPr>
                <w:b/>
                <w:bCs/>
                <w:color w:val="000000"/>
                <w:lang w:val="en"/>
              </w:rPr>
              <w:t>Diastolic Blood Pressure</w:t>
            </w:r>
          </w:p>
        </w:tc>
        <w:tc>
          <w:tcPr>
            <w:tcW w:w="710" w:type="dxa"/>
            <w:tcBorders>
              <w:top w:val="single" w:sz="4" w:space="0" w:color="auto"/>
              <w:bottom w:val="nil"/>
            </w:tcBorders>
            <w:shd w:val="clear" w:color="auto" w:fill="auto"/>
            <w:noWrap/>
            <w:vAlign w:val="center"/>
            <w:hideMark/>
          </w:tcPr>
          <w:p w14:paraId="0E74CF97"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324C79FF"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3AF0F092"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4849EF13"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5765842B"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6C8C3E69"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5B432559" w14:textId="77777777" w:rsidR="008B4FB4" w:rsidRPr="008B4FB4" w:rsidRDefault="008B4FB4" w:rsidP="0090246F">
            <w:pPr>
              <w:jc w:val="center"/>
              <w:rPr>
                <w:b/>
                <w:bCs/>
                <w:color w:val="000000"/>
              </w:rPr>
            </w:pPr>
          </w:p>
        </w:tc>
      </w:tr>
      <w:tr w:rsidR="008B4FB4" w:rsidRPr="008B4FB4" w14:paraId="6E599688" w14:textId="77777777" w:rsidTr="005B4626">
        <w:trPr>
          <w:trHeight w:val="20"/>
        </w:trPr>
        <w:tc>
          <w:tcPr>
            <w:tcW w:w="3106" w:type="dxa"/>
            <w:tcBorders>
              <w:top w:val="nil"/>
            </w:tcBorders>
            <w:shd w:val="clear" w:color="auto" w:fill="auto"/>
            <w:noWrap/>
            <w:vAlign w:val="bottom"/>
            <w:hideMark/>
          </w:tcPr>
          <w:p w14:paraId="2E944611" w14:textId="77777777" w:rsidR="008B4FB4" w:rsidRPr="008B4FB4" w:rsidRDefault="008B4FB4" w:rsidP="00E02357">
            <w:pPr>
              <w:rPr>
                <w:color w:val="000000"/>
              </w:rPr>
            </w:pPr>
            <w:r w:rsidRPr="008B4FB4">
              <w:rPr>
                <w:color w:val="000000"/>
                <w:lang w:val="en"/>
              </w:rPr>
              <w:t>Risky</w:t>
            </w:r>
          </w:p>
        </w:tc>
        <w:tc>
          <w:tcPr>
            <w:tcW w:w="710" w:type="dxa"/>
            <w:tcBorders>
              <w:top w:val="nil"/>
            </w:tcBorders>
            <w:shd w:val="clear" w:color="auto" w:fill="auto"/>
            <w:noWrap/>
            <w:vAlign w:val="center"/>
            <w:hideMark/>
          </w:tcPr>
          <w:p w14:paraId="0950D0DF" w14:textId="77777777" w:rsidR="008B4FB4" w:rsidRPr="008B4FB4" w:rsidRDefault="008B4FB4" w:rsidP="00E02357">
            <w:pPr>
              <w:jc w:val="center"/>
              <w:rPr>
                <w:color w:val="000000"/>
              </w:rPr>
            </w:pPr>
            <w:r w:rsidRPr="008B4FB4">
              <w:rPr>
                <w:color w:val="000000"/>
                <w:lang w:val="en"/>
              </w:rPr>
              <w:t>36</w:t>
            </w:r>
          </w:p>
        </w:tc>
        <w:tc>
          <w:tcPr>
            <w:tcW w:w="766" w:type="dxa"/>
            <w:tcBorders>
              <w:top w:val="nil"/>
            </w:tcBorders>
            <w:shd w:val="clear" w:color="auto" w:fill="auto"/>
            <w:noWrap/>
            <w:vAlign w:val="center"/>
            <w:hideMark/>
          </w:tcPr>
          <w:p w14:paraId="7C69B48E" w14:textId="77777777" w:rsidR="008B4FB4" w:rsidRPr="008B4FB4" w:rsidRDefault="008B4FB4" w:rsidP="00E02357">
            <w:pPr>
              <w:jc w:val="center"/>
              <w:rPr>
                <w:color w:val="000000"/>
              </w:rPr>
            </w:pPr>
            <w:r w:rsidRPr="008B4FB4">
              <w:rPr>
                <w:color w:val="000000"/>
                <w:lang w:val="en"/>
              </w:rPr>
              <w:t>5.24</w:t>
            </w:r>
          </w:p>
        </w:tc>
        <w:tc>
          <w:tcPr>
            <w:tcW w:w="766" w:type="dxa"/>
            <w:tcBorders>
              <w:top w:val="nil"/>
            </w:tcBorders>
            <w:shd w:val="clear" w:color="auto" w:fill="auto"/>
            <w:noWrap/>
            <w:vAlign w:val="center"/>
            <w:hideMark/>
          </w:tcPr>
          <w:p w14:paraId="7E40989A" w14:textId="77777777" w:rsidR="008B4FB4" w:rsidRPr="008B4FB4" w:rsidRDefault="008B4FB4" w:rsidP="00E02357">
            <w:pPr>
              <w:jc w:val="center"/>
              <w:rPr>
                <w:color w:val="000000"/>
              </w:rPr>
            </w:pPr>
            <w:r w:rsidRPr="008B4FB4">
              <w:rPr>
                <w:color w:val="000000"/>
                <w:lang w:val="en"/>
              </w:rPr>
              <w:t>651</w:t>
            </w:r>
          </w:p>
        </w:tc>
        <w:tc>
          <w:tcPr>
            <w:tcW w:w="766" w:type="dxa"/>
            <w:tcBorders>
              <w:top w:val="nil"/>
            </w:tcBorders>
            <w:shd w:val="clear" w:color="auto" w:fill="auto"/>
            <w:noWrap/>
            <w:vAlign w:val="center"/>
            <w:hideMark/>
          </w:tcPr>
          <w:p w14:paraId="0F2B573E" w14:textId="77777777" w:rsidR="008B4FB4" w:rsidRPr="008B4FB4" w:rsidRDefault="008B4FB4" w:rsidP="00E02357">
            <w:pPr>
              <w:jc w:val="center"/>
              <w:rPr>
                <w:color w:val="000000"/>
              </w:rPr>
            </w:pPr>
            <w:r w:rsidRPr="008B4FB4">
              <w:rPr>
                <w:color w:val="000000"/>
                <w:lang w:val="en"/>
              </w:rPr>
              <w:t>94.76</w:t>
            </w:r>
          </w:p>
        </w:tc>
        <w:tc>
          <w:tcPr>
            <w:tcW w:w="1045" w:type="dxa"/>
            <w:vMerge w:val="restart"/>
            <w:tcBorders>
              <w:top w:val="nil"/>
            </w:tcBorders>
            <w:vAlign w:val="center"/>
          </w:tcPr>
          <w:p w14:paraId="0CBE8C6A" w14:textId="77777777" w:rsidR="008B4FB4" w:rsidRPr="008B4FB4" w:rsidRDefault="008B4FB4" w:rsidP="0090246F">
            <w:pPr>
              <w:jc w:val="center"/>
              <w:rPr>
                <w:color w:val="000000"/>
              </w:rPr>
            </w:pPr>
            <w:r w:rsidRPr="008B4FB4">
              <w:rPr>
                <w:color w:val="000000"/>
                <w:lang w:val="en"/>
              </w:rPr>
              <w:t>0.009</w:t>
            </w:r>
          </w:p>
        </w:tc>
        <w:tc>
          <w:tcPr>
            <w:tcW w:w="885" w:type="dxa"/>
            <w:vMerge w:val="restart"/>
            <w:tcBorders>
              <w:top w:val="nil"/>
            </w:tcBorders>
            <w:vAlign w:val="center"/>
          </w:tcPr>
          <w:p w14:paraId="051D7C67" w14:textId="77777777" w:rsidR="008B4FB4" w:rsidRPr="008B4FB4" w:rsidRDefault="008B4FB4" w:rsidP="0090246F">
            <w:pPr>
              <w:jc w:val="center"/>
              <w:rPr>
                <w:color w:val="000000"/>
              </w:rPr>
            </w:pPr>
            <w:r w:rsidRPr="008B4FB4">
              <w:rPr>
                <w:color w:val="000000"/>
                <w:lang w:val="en"/>
              </w:rPr>
              <w:t>2.355</w:t>
            </w:r>
          </w:p>
        </w:tc>
        <w:tc>
          <w:tcPr>
            <w:tcW w:w="1843" w:type="dxa"/>
            <w:vMerge w:val="restart"/>
            <w:tcBorders>
              <w:top w:val="nil"/>
            </w:tcBorders>
            <w:vAlign w:val="center"/>
          </w:tcPr>
          <w:p w14:paraId="573A303E" w14:textId="77777777" w:rsidR="008B4FB4" w:rsidRPr="008B4FB4" w:rsidRDefault="008B4FB4" w:rsidP="0090246F">
            <w:pPr>
              <w:jc w:val="center"/>
              <w:rPr>
                <w:color w:val="000000"/>
              </w:rPr>
            </w:pPr>
            <w:r w:rsidRPr="008B4FB4">
              <w:rPr>
                <w:color w:val="000000"/>
                <w:lang w:val="en"/>
              </w:rPr>
              <w:t>1.213 – 4.572</w:t>
            </w:r>
          </w:p>
        </w:tc>
      </w:tr>
      <w:tr w:rsidR="008B4FB4" w:rsidRPr="008B4FB4" w14:paraId="7DFE43AF" w14:textId="77777777" w:rsidTr="005B4626">
        <w:trPr>
          <w:trHeight w:val="20"/>
        </w:trPr>
        <w:tc>
          <w:tcPr>
            <w:tcW w:w="3106" w:type="dxa"/>
            <w:tcBorders>
              <w:bottom w:val="single" w:sz="4" w:space="0" w:color="auto"/>
            </w:tcBorders>
            <w:shd w:val="clear" w:color="auto" w:fill="auto"/>
            <w:noWrap/>
            <w:vAlign w:val="bottom"/>
            <w:hideMark/>
          </w:tcPr>
          <w:p w14:paraId="7DF0E1B4" w14:textId="77777777" w:rsidR="008B4FB4" w:rsidRPr="008B4FB4" w:rsidRDefault="008B4FB4" w:rsidP="00E02357">
            <w:pPr>
              <w:rPr>
                <w:color w:val="000000"/>
              </w:rPr>
            </w:pPr>
            <w:r w:rsidRPr="008B4FB4">
              <w:rPr>
                <w:color w:val="000000"/>
                <w:lang w:val="en"/>
              </w:rPr>
              <w:t>Usual</w:t>
            </w:r>
          </w:p>
        </w:tc>
        <w:tc>
          <w:tcPr>
            <w:tcW w:w="710" w:type="dxa"/>
            <w:tcBorders>
              <w:bottom w:val="single" w:sz="4" w:space="0" w:color="auto"/>
            </w:tcBorders>
            <w:shd w:val="clear" w:color="auto" w:fill="auto"/>
            <w:noWrap/>
            <w:vAlign w:val="center"/>
            <w:hideMark/>
          </w:tcPr>
          <w:p w14:paraId="1D0FB1CD" w14:textId="77777777" w:rsidR="008B4FB4" w:rsidRPr="008B4FB4" w:rsidRDefault="008B4FB4" w:rsidP="00E02357">
            <w:pPr>
              <w:jc w:val="center"/>
              <w:rPr>
                <w:color w:val="000000"/>
              </w:rPr>
            </w:pPr>
            <w:r w:rsidRPr="008B4FB4">
              <w:rPr>
                <w:color w:val="000000"/>
                <w:lang w:val="en"/>
              </w:rPr>
              <w:t>12</w:t>
            </w:r>
          </w:p>
        </w:tc>
        <w:tc>
          <w:tcPr>
            <w:tcW w:w="766" w:type="dxa"/>
            <w:tcBorders>
              <w:bottom w:val="single" w:sz="4" w:space="0" w:color="auto"/>
            </w:tcBorders>
            <w:shd w:val="clear" w:color="auto" w:fill="auto"/>
            <w:noWrap/>
            <w:vAlign w:val="center"/>
            <w:hideMark/>
          </w:tcPr>
          <w:p w14:paraId="7E24BF3D" w14:textId="77777777" w:rsidR="008B4FB4" w:rsidRPr="008B4FB4" w:rsidRDefault="008B4FB4" w:rsidP="00E02357">
            <w:pPr>
              <w:jc w:val="center"/>
              <w:rPr>
                <w:color w:val="000000"/>
              </w:rPr>
            </w:pPr>
            <w:r w:rsidRPr="008B4FB4">
              <w:rPr>
                <w:color w:val="000000"/>
                <w:lang w:val="en"/>
              </w:rPr>
              <w:t>2.29</w:t>
            </w:r>
          </w:p>
        </w:tc>
        <w:tc>
          <w:tcPr>
            <w:tcW w:w="766" w:type="dxa"/>
            <w:tcBorders>
              <w:bottom w:val="single" w:sz="4" w:space="0" w:color="auto"/>
            </w:tcBorders>
            <w:shd w:val="clear" w:color="auto" w:fill="auto"/>
            <w:noWrap/>
            <w:vAlign w:val="center"/>
            <w:hideMark/>
          </w:tcPr>
          <w:p w14:paraId="62C98916" w14:textId="77777777" w:rsidR="008B4FB4" w:rsidRPr="008B4FB4" w:rsidRDefault="008B4FB4" w:rsidP="00E02357">
            <w:pPr>
              <w:jc w:val="center"/>
              <w:rPr>
                <w:color w:val="000000"/>
              </w:rPr>
            </w:pPr>
            <w:r w:rsidRPr="008B4FB4">
              <w:rPr>
                <w:color w:val="000000"/>
                <w:lang w:val="en"/>
              </w:rPr>
              <w:t>511</w:t>
            </w:r>
          </w:p>
        </w:tc>
        <w:tc>
          <w:tcPr>
            <w:tcW w:w="766" w:type="dxa"/>
            <w:tcBorders>
              <w:bottom w:val="single" w:sz="4" w:space="0" w:color="auto"/>
            </w:tcBorders>
            <w:shd w:val="clear" w:color="auto" w:fill="auto"/>
            <w:noWrap/>
            <w:vAlign w:val="center"/>
            <w:hideMark/>
          </w:tcPr>
          <w:p w14:paraId="689CE9A1" w14:textId="77777777" w:rsidR="008B4FB4" w:rsidRPr="008B4FB4" w:rsidRDefault="008B4FB4" w:rsidP="00E02357">
            <w:pPr>
              <w:jc w:val="center"/>
              <w:rPr>
                <w:color w:val="000000"/>
              </w:rPr>
            </w:pPr>
            <w:r w:rsidRPr="008B4FB4">
              <w:rPr>
                <w:color w:val="000000"/>
                <w:lang w:val="en"/>
              </w:rPr>
              <w:t>97.71</w:t>
            </w:r>
          </w:p>
        </w:tc>
        <w:tc>
          <w:tcPr>
            <w:tcW w:w="1045" w:type="dxa"/>
            <w:vMerge/>
            <w:tcBorders>
              <w:bottom w:val="single" w:sz="4" w:space="0" w:color="auto"/>
            </w:tcBorders>
            <w:vAlign w:val="center"/>
          </w:tcPr>
          <w:p w14:paraId="66BBC11E" w14:textId="77777777" w:rsidR="008B4FB4" w:rsidRPr="008B4FB4" w:rsidRDefault="008B4FB4" w:rsidP="0090246F">
            <w:pPr>
              <w:jc w:val="center"/>
              <w:rPr>
                <w:color w:val="000000"/>
              </w:rPr>
            </w:pPr>
          </w:p>
        </w:tc>
        <w:tc>
          <w:tcPr>
            <w:tcW w:w="885" w:type="dxa"/>
            <w:vMerge/>
            <w:tcBorders>
              <w:bottom w:val="single" w:sz="4" w:space="0" w:color="auto"/>
            </w:tcBorders>
            <w:vAlign w:val="center"/>
          </w:tcPr>
          <w:p w14:paraId="4BEC90DC" w14:textId="77777777" w:rsidR="008B4FB4" w:rsidRPr="008B4FB4" w:rsidRDefault="008B4FB4" w:rsidP="0090246F">
            <w:pPr>
              <w:jc w:val="center"/>
              <w:rPr>
                <w:color w:val="000000"/>
              </w:rPr>
            </w:pPr>
          </w:p>
        </w:tc>
        <w:tc>
          <w:tcPr>
            <w:tcW w:w="1843" w:type="dxa"/>
            <w:vMerge/>
            <w:tcBorders>
              <w:bottom w:val="single" w:sz="4" w:space="0" w:color="auto"/>
            </w:tcBorders>
            <w:vAlign w:val="center"/>
          </w:tcPr>
          <w:p w14:paraId="4D7E3684" w14:textId="77777777" w:rsidR="008B4FB4" w:rsidRPr="008B4FB4" w:rsidRDefault="008B4FB4" w:rsidP="0090246F">
            <w:pPr>
              <w:jc w:val="center"/>
              <w:rPr>
                <w:color w:val="000000"/>
              </w:rPr>
            </w:pPr>
          </w:p>
        </w:tc>
      </w:tr>
      <w:tr w:rsidR="008B4FB4" w:rsidRPr="008B4FB4" w14:paraId="61AE6B2D" w14:textId="77777777" w:rsidTr="005B4626">
        <w:trPr>
          <w:trHeight w:val="20"/>
        </w:trPr>
        <w:tc>
          <w:tcPr>
            <w:tcW w:w="3106" w:type="dxa"/>
            <w:tcBorders>
              <w:top w:val="single" w:sz="4" w:space="0" w:color="auto"/>
              <w:bottom w:val="nil"/>
            </w:tcBorders>
            <w:shd w:val="clear" w:color="auto" w:fill="auto"/>
            <w:noWrap/>
            <w:vAlign w:val="bottom"/>
            <w:hideMark/>
          </w:tcPr>
          <w:p w14:paraId="1E7799B2" w14:textId="77777777" w:rsidR="008B4FB4" w:rsidRPr="008B4FB4" w:rsidRDefault="008B4FB4" w:rsidP="00E02357">
            <w:pPr>
              <w:rPr>
                <w:b/>
                <w:bCs/>
                <w:color w:val="000000"/>
              </w:rPr>
            </w:pPr>
            <w:r w:rsidRPr="008B4FB4">
              <w:rPr>
                <w:b/>
                <w:bCs/>
                <w:color w:val="000000"/>
                <w:lang w:val="en"/>
              </w:rPr>
              <w:t>BMI</w:t>
            </w:r>
          </w:p>
        </w:tc>
        <w:tc>
          <w:tcPr>
            <w:tcW w:w="710" w:type="dxa"/>
            <w:tcBorders>
              <w:top w:val="single" w:sz="4" w:space="0" w:color="auto"/>
              <w:bottom w:val="nil"/>
            </w:tcBorders>
            <w:shd w:val="clear" w:color="auto" w:fill="auto"/>
            <w:noWrap/>
            <w:vAlign w:val="center"/>
            <w:hideMark/>
          </w:tcPr>
          <w:p w14:paraId="6D5004B9"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31D21CDA" w14:textId="77777777" w:rsidR="008B4FB4" w:rsidRPr="008B4FB4" w:rsidRDefault="008B4FB4" w:rsidP="00E02357">
            <w:pPr>
              <w:jc w:val="center"/>
              <w:rPr>
                <w:b/>
                <w:bCs/>
                <w:color w:val="000000"/>
              </w:rPr>
            </w:pPr>
          </w:p>
        </w:tc>
        <w:tc>
          <w:tcPr>
            <w:tcW w:w="766" w:type="dxa"/>
            <w:tcBorders>
              <w:top w:val="single" w:sz="4" w:space="0" w:color="auto"/>
              <w:bottom w:val="nil"/>
            </w:tcBorders>
            <w:shd w:val="clear" w:color="auto" w:fill="auto"/>
            <w:noWrap/>
            <w:vAlign w:val="center"/>
            <w:hideMark/>
          </w:tcPr>
          <w:p w14:paraId="64A9A38C" w14:textId="77777777" w:rsidR="008B4FB4" w:rsidRPr="008B4FB4" w:rsidRDefault="008B4FB4" w:rsidP="00E02357">
            <w:pPr>
              <w:jc w:val="center"/>
              <w:rPr>
                <w:b/>
                <w:bCs/>
                <w:color w:val="000000"/>
              </w:rPr>
            </w:pPr>
            <w:r w:rsidRPr="008B4FB4">
              <w:rPr>
                <w:b/>
                <w:bCs/>
                <w:color w:val="000000"/>
              </w:rPr>
              <w:t> </w:t>
            </w:r>
          </w:p>
        </w:tc>
        <w:tc>
          <w:tcPr>
            <w:tcW w:w="766" w:type="dxa"/>
            <w:tcBorders>
              <w:top w:val="single" w:sz="4" w:space="0" w:color="auto"/>
              <w:bottom w:val="nil"/>
            </w:tcBorders>
            <w:shd w:val="clear" w:color="auto" w:fill="auto"/>
            <w:noWrap/>
            <w:vAlign w:val="center"/>
            <w:hideMark/>
          </w:tcPr>
          <w:p w14:paraId="5AF40F38" w14:textId="77777777" w:rsidR="008B4FB4" w:rsidRPr="008B4FB4" w:rsidRDefault="008B4FB4" w:rsidP="00E02357">
            <w:pPr>
              <w:jc w:val="center"/>
              <w:rPr>
                <w:b/>
                <w:bCs/>
                <w:color w:val="000000"/>
              </w:rPr>
            </w:pPr>
          </w:p>
        </w:tc>
        <w:tc>
          <w:tcPr>
            <w:tcW w:w="1045" w:type="dxa"/>
            <w:tcBorders>
              <w:top w:val="single" w:sz="4" w:space="0" w:color="auto"/>
              <w:bottom w:val="nil"/>
            </w:tcBorders>
            <w:vAlign w:val="center"/>
          </w:tcPr>
          <w:p w14:paraId="5FF8BD9F" w14:textId="77777777" w:rsidR="008B4FB4" w:rsidRPr="008B4FB4" w:rsidRDefault="008B4FB4" w:rsidP="0090246F">
            <w:pPr>
              <w:jc w:val="center"/>
              <w:rPr>
                <w:b/>
                <w:bCs/>
                <w:color w:val="000000"/>
              </w:rPr>
            </w:pPr>
          </w:p>
        </w:tc>
        <w:tc>
          <w:tcPr>
            <w:tcW w:w="885" w:type="dxa"/>
            <w:tcBorders>
              <w:top w:val="single" w:sz="4" w:space="0" w:color="auto"/>
              <w:bottom w:val="nil"/>
            </w:tcBorders>
            <w:vAlign w:val="center"/>
          </w:tcPr>
          <w:p w14:paraId="648F5447" w14:textId="77777777" w:rsidR="008B4FB4" w:rsidRPr="008B4FB4" w:rsidRDefault="008B4FB4" w:rsidP="0090246F">
            <w:pPr>
              <w:jc w:val="center"/>
              <w:rPr>
                <w:b/>
                <w:bCs/>
                <w:color w:val="000000"/>
              </w:rPr>
            </w:pPr>
          </w:p>
        </w:tc>
        <w:tc>
          <w:tcPr>
            <w:tcW w:w="1843" w:type="dxa"/>
            <w:tcBorders>
              <w:top w:val="single" w:sz="4" w:space="0" w:color="auto"/>
              <w:bottom w:val="nil"/>
            </w:tcBorders>
            <w:vAlign w:val="center"/>
          </w:tcPr>
          <w:p w14:paraId="69A107A0" w14:textId="77777777" w:rsidR="008B4FB4" w:rsidRPr="008B4FB4" w:rsidRDefault="008B4FB4" w:rsidP="0090246F">
            <w:pPr>
              <w:jc w:val="center"/>
              <w:rPr>
                <w:b/>
                <w:bCs/>
                <w:color w:val="000000"/>
              </w:rPr>
            </w:pPr>
          </w:p>
        </w:tc>
      </w:tr>
      <w:tr w:rsidR="008B4FB4" w:rsidRPr="008B4FB4" w14:paraId="17BA1B62" w14:textId="77777777" w:rsidTr="005B4626">
        <w:trPr>
          <w:trHeight w:val="20"/>
        </w:trPr>
        <w:tc>
          <w:tcPr>
            <w:tcW w:w="3106" w:type="dxa"/>
            <w:tcBorders>
              <w:top w:val="nil"/>
            </w:tcBorders>
            <w:shd w:val="clear" w:color="auto" w:fill="auto"/>
            <w:noWrap/>
            <w:vAlign w:val="bottom"/>
            <w:hideMark/>
          </w:tcPr>
          <w:p w14:paraId="7B528652" w14:textId="77777777" w:rsidR="008B4FB4" w:rsidRPr="008B4FB4" w:rsidRDefault="008B4FB4" w:rsidP="00E02357">
            <w:pPr>
              <w:rPr>
                <w:color w:val="000000"/>
              </w:rPr>
            </w:pPr>
            <w:r w:rsidRPr="008B4FB4">
              <w:rPr>
                <w:color w:val="000000"/>
                <w:lang w:val="en"/>
              </w:rPr>
              <w:t>Obesity</w:t>
            </w:r>
          </w:p>
        </w:tc>
        <w:tc>
          <w:tcPr>
            <w:tcW w:w="710" w:type="dxa"/>
            <w:tcBorders>
              <w:top w:val="nil"/>
            </w:tcBorders>
            <w:shd w:val="clear" w:color="auto" w:fill="auto"/>
            <w:noWrap/>
            <w:vAlign w:val="center"/>
            <w:hideMark/>
          </w:tcPr>
          <w:p w14:paraId="27F7E3FD" w14:textId="77777777" w:rsidR="008B4FB4" w:rsidRPr="008B4FB4" w:rsidRDefault="008B4FB4" w:rsidP="00E02357">
            <w:pPr>
              <w:jc w:val="center"/>
              <w:rPr>
                <w:color w:val="000000"/>
              </w:rPr>
            </w:pPr>
            <w:r w:rsidRPr="008B4FB4">
              <w:rPr>
                <w:color w:val="000000"/>
                <w:lang w:val="en"/>
              </w:rPr>
              <w:t>22</w:t>
            </w:r>
          </w:p>
        </w:tc>
        <w:tc>
          <w:tcPr>
            <w:tcW w:w="766" w:type="dxa"/>
            <w:tcBorders>
              <w:top w:val="nil"/>
            </w:tcBorders>
            <w:shd w:val="clear" w:color="auto" w:fill="auto"/>
            <w:noWrap/>
            <w:vAlign w:val="center"/>
            <w:hideMark/>
          </w:tcPr>
          <w:p w14:paraId="6BF21F79" w14:textId="77777777" w:rsidR="008B4FB4" w:rsidRPr="008B4FB4" w:rsidRDefault="008B4FB4" w:rsidP="00E02357">
            <w:pPr>
              <w:jc w:val="center"/>
              <w:rPr>
                <w:color w:val="000000"/>
              </w:rPr>
            </w:pPr>
            <w:r w:rsidRPr="008B4FB4">
              <w:rPr>
                <w:color w:val="000000"/>
                <w:lang w:val="en"/>
              </w:rPr>
              <w:t>5.13</w:t>
            </w:r>
          </w:p>
        </w:tc>
        <w:tc>
          <w:tcPr>
            <w:tcW w:w="766" w:type="dxa"/>
            <w:tcBorders>
              <w:top w:val="nil"/>
            </w:tcBorders>
            <w:shd w:val="clear" w:color="auto" w:fill="auto"/>
            <w:noWrap/>
            <w:vAlign w:val="center"/>
            <w:hideMark/>
          </w:tcPr>
          <w:p w14:paraId="42AE587F" w14:textId="77777777" w:rsidR="008B4FB4" w:rsidRPr="008B4FB4" w:rsidRDefault="008B4FB4" w:rsidP="00E02357">
            <w:pPr>
              <w:jc w:val="center"/>
              <w:rPr>
                <w:color w:val="000000"/>
              </w:rPr>
            </w:pPr>
            <w:r w:rsidRPr="008B4FB4">
              <w:rPr>
                <w:color w:val="000000"/>
                <w:lang w:val="en"/>
              </w:rPr>
              <w:t>407</w:t>
            </w:r>
          </w:p>
        </w:tc>
        <w:tc>
          <w:tcPr>
            <w:tcW w:w="766" w:type="dxa"/>
            <w:tcBorders>
              <w:top w:val="nil"/>
            </w:tcBorders>
            <w:shd w:val="clear" w:color="auto" w:fill="auto"/>
            <w:noWrap/>
            <w:vAlign w:val="center"/>
            <w:hideMark/>
          </w:tcPr>
          <w:p w14:paraId="3585DD93" w14:textId="77777777" w:rsidR="008B4FB4" w:rsidRPr="008B4FB4" w:rsidRDefault="008B4FB4" w:rsidP="00E02357">
            <w:pPr>
              <w:jc w:val="center"/>
              <w:rPr>
                <w:color w:val="000000"/>
              </w:rPr>
            </w:pPr>
            <w:r w:rsidRPr="008B4FB4">
              <w:rPr>
                <w:color w:val="000000"/>
                <w:lang w:val="en"/>
              </w:rPr>
              <w:t>94.87</w:t>
            </w:r>
          </w:p>
        </w:tc>
        <w:tc>
          <w:tcPr>
            <w:tcW w:w="1045" w:type="dxa"/>
            <w:vMerge w:val="restart"/>
            <w:tcBorders>
              <w:top w:val="nil"/>
            </w:tcBorders>
            <w:vAlign w:val="center"/>
          </w:tcPr>
          <w:p w14:paraId="6B921748" w14:textId="77777777" w:rsidR="008B4FB4" w:rsidRPr="008B4FB4" w:rsidRDefault="008B4FB4" w:rsidP="0090246F">
            <w:pPr>
              <w:jc w:val="center"/>
              <w:rPr>
                <w:color w:val="000000"/>
              </w:rPr>
            </w:pPr>
            <w:r w:rsidRPr="008B4FB4">
              <w:rPr>
                <w:color w:val="000000"/>
                <w:lang w:val="en"/>
              </w:rPr>
              <w:t>0.125</w:t>
            </w:r>
          </w:p>
        </w:tc>
        <w:tc>
          <w:tcPr>
            <w:tcW w:w="885" w:type="dxa"/>
            <w:vMerge w:val="restart"/>
            <w:tcBorders>
              <w:top w:val="nil"/>
            </w:tcBorders>
            <w:vAlign w:val="center"/>
          </w:tcPr>
          <w:p w14:paraId="5E941EEA" w14:textId="77777777" w:rsidR="008B4FB4" w:rsidRPr="008B4FB4" w:rsidRDefault="008B4FB4" w:rsidP="0090246F">
            <w:pPr>
              <w:jc w:val="center"/>
              <w:rPr>
                <w:color w:val="000000"/>
              </w:rPr>
            </w:pPr>
            <w:r w:rsidRPr="008B4FB4">
              <w:rPr>
                <w:color w:val="000000"/>
                <w:lang w:val="en"/>
              </w:rPr>
              <w:t>1.570</w:t>
            </w:r>
          </w:p>
        </w:tc>
        <w:tc>
          <w:tcPr>
            <w:tcW w:w="1843" w:type="dxa"/>
            <w:vMerge w:val="restart"/>
            <w:tcBorders>
              <w:top w:val="nil"/>
            </w:tcBorders>
            <w:vAlign w:val="center"/>
          </w:tcPr>
          <w:p w14:paraId="7372D74A" w14:textId="77777777" w:rsidR="008B4FB4" w:rsidRPr="008B4FB4" w:rsidRDefault="008B4FB4" w:rsidP="0090246F">
            <w:pPr>
              <w:jc w:val="center"/>
              <w:rPr>
                <w:color w:val="000000"/>
              </w:rPr>
            </w:pPr>
            <w:r w:rsidRPr="008B4FB4">
              <w:rPr>
                <w:color w:val="000000"/>
                <w:lang w:val="en"/>
              </w:rPr>
              <w:t>0.878 – 2.805</w:t>
            </w:r>
          </w:p>
        </w:tc>
      </w:tr>
      <w:tr w:rsidR="008B4FB4" w:rsidRPr="008B4FB4" w14:paraId="031661D6" w14:textId="77777777" w:rsidTr="005B4626">
        <w:trPr>
          <w:trHeight w:val="20"/>
        </w:trPr>
        <w:tc>
          <w:tcPr>
            <w:tcW w:w="3106" w:type="dxa"/>
            <w:shd w:val="clear" w:color="auto" w:fill="auto"/>
            <w:noWrap/>
            <w:vAlign w:val="bottom"/>
            <w:hideMark/>
          </w:tcPr>
          <w:p w14:paraId="59B94ED9" w14:textId="77777777" w:rsidR="008B4FB4" w:rsidRPr="008B4FB4" w:rsidRDefault="008B4FB4" w:rsidP="00E02357">
            <w:pPr>
              <w:rPr>
                <w:color w:val="000000"/>
              </w:rPr>
            </w:pPr>
            <w:r w:rsidRPr="008B4FB4">
              <w:rPr>
                <w:color w:val="000000"/>
                <w:lang w:val="en"/>
              </w:rPr>
              <w:t>Usual</w:t>
            </w:r>
          </w:p>
        </w:tc>
        <w:tc>
          <w:tcPr>
            <w:tcW w:w="710" w:type="dxa"/>
            <w:shd w:val="clear" w:color="auto" w:fill="auto"/>
            <w:noWrap/>
            <w:vAlign w:val="center"/>
            <w:hideMark/>
          </w:tcPr>
          <w:p w14:paraId="3512C947" w14:textId="77777777" w:rsidR="008B4FB4" w:rsidRPr="008B4FB4" w:rsidRDefault="008B4FB4" w:rsidP="00E02357">
            <w:pPr>
              <w:jc w:val="center"/>
              <w:rPr>
                <w:color w:val="000000"/>
              </w:rPr>
            </w:pPr>
            <w:r w:rsidRPr="008B4FB4">
              <w:rPr>
                <w:color w:val="000000"/>
                <w:lang w:val="en"/>
              </w:rPr>
              <w:t>26</w:t>
            </w:r>
          </w:p>
        </w:tc>
        <w:tc>
          <w:tcPr>
            <w:tcW w:w="766" w:type="dxa"/>
            <w:shd w:val="clear" w:color="auto" w:fill="auto"/>
            <w:noWrap/>
            <w:vAlign w:val="center"/>
            <w:hideMark/>
          </w:tcPr>
          <w:p w14:paraId="2CC07898" w14:textId="77777777" w:rsidR="008B4FB4" w:rsidRPr="008B4FB4" w:rsidRDefault="008B4FB4" w:rsidP="00E02357">
            <w:pPr>
              <w:jc w:val="center"/>
              <w:rPr>
                <w:color w:val="000000"/>
              </w:rPr>
            </w:pPr>
            <w:r w:rsidRPr="008B4FB4">
              <w:rPr>
                <w:color w:val="000000"/>
                <w:lang w:val="en"/>
              </w:rPr>
              <w:t>3.33</w:t>
            </w:r>
          </w:p>
        </w:tc>
        <w:tc>
          <w:tcPr>
            <w:tcW w:w="766" w:type="dxa"/>
            <w:shd w:val="clear" w:color="auto" w:fill="auto"/>
            <w:noWrap/>
            <w:vAlign w:val="center"/>
            <w:hideMark/>
          </w:tcPr>
          <w:p w14:paraId="6EDF23DA" w14:textId="77777777" w:rsidR="008B4FB4" w:rsidRPr="008B4FB4" w:rsidRDefault="008B4FB4" w:rsidP="00E02357">
            <w:pPr>
              <w:jc w:val="center"/>
              <w:rPr>
                <w:color w:val="000000"/>
              </w:rPr>
            </w:pPr>
            <w:r w:rsidRPr="008B4FB4">
              <w:rPr>
                <w:color w:val="000000"/>
                <w:lang w:val="en"/>
              </w:rPr>
              <w:t>755</w:t>
            </w:r>
          </w:p>
        </w:tc>
        <w:tc>
          <w:tcPr>
            <w:tcW w:w="766" w:type="dxa"/>
            <w:shd w:val="clear" w:color="auto" w:fill="auto"/>
            <w:noWrap/>
            <w:vAlign w:val="center"/>
            <w:hideMark/>
          </w:tcPr>
          <w:p w14:paraId="016F4AB9" w14:textId="77777777" w:rsidR="008B4FB4" w:rsidRPr="008B4FB4" w:rsidRDefault="008B4FB4" w:rsidP="00E02357">
            <w:pPr>
              <w:jc w:val="center"/>
              <w:rPr>
                <w:color w:val="000000"/>
              </w:rPr>
            </w:pPr>
            <w:r w:rsidRPr="008B4FB4">
              <w:rPr>
                <w:color w:val="000000"/>
                <w:lang w:val="en"/>
              </w:rPr>
              <w:t>96.67</w:t>
            </w:r>
          </w:p>
        </w:tc>
        <w:tc>
          <w:tcPr>
            <w:tcW w:w="1045" w:type="dxa"/>
            <w:vMerge/>
          </w:tcPr>
          <w:p w14:paraId="25925DAC" w14:textId="77777777" w:rsidR="008B4FB4" w:rsidRPr="008B4FB4" w:rsidRDefault="008B4FB4" w:rsidP="00E02357">
            <w:pPr>
              <w:jc w:val="center"/>
              <w:rPr>
                <w:color w:val="000000"/>
              </w:rPr>
            </w:pPr>
          </w:p>
        </w:tc>
        <w:tc>
          <w:tcPr>
            <w:tcW w:w="885" w:type="dxa"/>
            <w:vMerge/>
          </w:tcPr>
          <w:p w14:paraId="7B204761" w14:textId="77777777" w:rsidR="008B4FB4" w:rsidRPr="008B4FB4" w:rsidRDefault="008B4FB4" w:rsidP="00E02357">
            <w:pPr>
              <w:jc w:val="center"/>
              <w:rPr>
                <w:color w:val="000000"/>
              </w:rPr>
            </w:pPr>
          </w:p>
        </w:tc>
        <w:tc>
          <w:tcPr>
            <w:tcW w:w="1843" w:type="dxa"/>
            <w:vMerge/>
          </w:tcPr>
          <w:p w14:paraId="205F4CEA" w14:textId="77777777" w:rsidR="008B4FB4" w:rsidRPr="008B4FB4" w:rsidRDefault="008B4FB4" w:rsidP="00E02357">
            <w:pPr>
              <w:jc w:val="center"/>
              <w:rPr>
                <w:color w:val="000000"/>
              </w:rPr>
            </w:pPr>
          </w:p>
        </w:tc>
      </w:tr>
    </w:tbl>
    <w:p w14:paraId="0CB40465" w14:textId="77777777" w:rsidR="008B4FB4" w:rsidRPr="008B4FB4" w:rsidRDefault="008B4FB4" w:rsidP="0097039D">
      <w:pPr>
        <w:spacing w:line="276" w:lineRule="auto"/>
        <w:jc w:val="both"/>
        <w:rPr>
          <w:b/>
          <w:bCs/>
        </w:rPr>
      </w:pPr>
    </w:p>
    <w:p w14:paraId="71194C44" w14:textId="77777777" w:rsidR="008B4FB4" w:rsidRPr="008B4FB4" w:rsidRDefault="008B4FB4" w:rsidP="00536ABF">
      <w:pPr>
        <w:spacing w:line="276" w:lineRule="auto"/>
        <w:jc w:val="both"/>
        <w:rPr>
          <w:szCs w:val="24"/>
        </w:rPr>
      </w:pPr>
      <w:r w:rsidRPr="008B4FB4">
        <w:rPr>
          <w:szCs w:val="24"/>
          <w:lang w:val="en"/>
        </w:rPr>
        <w:tab/>
        <w:t>Table 2 shows the results of</w:t>
      </w:r>
      <w:r w:rsidRPr="008B4FB4">
        <w:rPr>
          <w:i/>
          <w:iCs/>
          <w:szCs w:val="24"/>
          <w:lang w:val="en"/>
        </w:rPr>
        <w:t xml:space="preserve"> crosstabulation</w:t>
      </w:r>
      <w:r w:rsidRPr="008B4FB4">
        <w:rPr>
          <w:lang w:val="en"/>
        </w:rPr>
        <w:t xml:space="preserve"> of </w:t>
      </w:r>
      <w:r w:rsidRPr="008B4FB4">
        <w:rPr>
          <w:szCs w:val="24"/>
          <w:lang w:val="en"/>
        </w:rPr>
        <w:t xml:space="preserve"> stroke  factors</w:t>
      </w:r>
      <w:r w:rsidRPr="008B4FB4">
        <w:rPr>
          <w:lang w:val="en"/>
        </w:rPr>
        <w:t xml:space="preserve"> </w:t>
      </w:r>
      <w:r w:rsidRPr="008B4FB4">
        <w:rPr>
          <w:szCs w:val="24"/>
          <w:lang w:val="en"/>
        </w:rPr>
        <w:t>with the incidence of stroke that diabetes mellitus (p =</w:t>
      </w:r>
      <w:r w:rsidRPr="008B4FB4">
        <w:rPr>
          <w:lang w:val="en"/>
        </w:rPr>
        <w:t xml:space="preserve"> </w:t>
      </w:r>
      <w:r w:rsidRPr="008B4FB4">
        <w:rPr>
          <w:szCs w:val="24"/>
          <w:lang w:val="en"/>
        </w:rPr>
        <w:t>0.000; OR=5,338; CI 95%=2,953–9,647), systolic blood pressure (p=0.000; OR=4.241;</w:t>
      </w:r>
      <w:r w:rsidRPr="008B4FB4">
        <w:rPr>
          <w:lang w:val="en"/>
        </w:rPr>
        <w:t xml:space="preserve"> </w:t>
      </w:r>
      <w:r w:rsidRPr="008B4FB4">
        <w:rPr>
          <w:szCs w:val="24"/>
          <w:lang w:val="en"/>
        </w:rPr>
        <w:t xml:space="preserve"> CI 95%=1,887–9,533), total cholesterol (p=0.011; OR=2,145, CI 95%=1,174–3,918), diastolic blood pressure (p=0.009; OR=2,355; CI 95%=1,213–4,572), and fasting blood sugar levels (P=0.149; OR=1,526, CI 95%=0.856–2,722) is a variable related to </w:t>
      </w:r>
      <w:r w:rsidRPr="008B4FB4">
        <w:rPr>
          <w:lang w:val="en"/>
        </w:rPr>
        <w:t xml:space="preserve"> stroke </w:t>
      </w:r>
      <w:r w:rsidRPr="008B4FB4">
        <w:rPr>
          <w:szCs w:val="24"/>
          <w:lang w:val="en"/>
        </w:rPr>
        <w:t xml:space="preserve"> incidence in Bogor City in  2018.</w:t>
      </w:r>
    </w:p>
    <w:p w14:paraId="728FB8AA" w14:textId="77777777" w:rsidR="008B4FB4" w:rsidRPr="008B4FB4" w:rsidRDefault="008B4FB4" w:rsidP="0097039D">
      <w:pPr>
        <w:spacing w:line="276" w:lineRule="auto"/>
        <w:jc w:val="both"/>
        <w:rPr>
          <w:szCs w:val="24"/>
        </w:rPr>
      </w:pPr>
    </w:p>
    <w:p w14:paraId="0EAC38F0" w14:textId="77777777" w:rsidR="008B4FB4" w:rsidRPr="008B4FB4" w:rsidRDefault="008B4FB4" w:rsidP="0097039D">
      <w:pPr>
        <w:spacing w:line="276" w:lineRule="auto"/>
        <w:jc w:val="both"/>
        <w:rPr>
          <w:b/>
          <w:bCs/>
        </w:rPr>
      </w:pPr>
      <w:r w:rsidRPr="008B4FB4">
        <w:rPr>
          <w:b/>
          <w:bCs/>
          <w:lang w:val="en"/>
        </w:rPr>
        <w:t>Table 3. Logistic Regression Risk Factors of Stroke</w:t>
      </w:r>
    </w:p>
    <w:tbl>
      <w:tblPr>
        <w:tblW w:w="9891"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351"/>
        <w:gridCol w:w="690"/>
        <w:gridCol w:w="1465"/>
        <w:gridCol w:w="690"/>
        <w:gridCol w:w="1433"/>
        <w:gridCol w:w="698"/>
        <w:gridCol w:w="1433"/>
        <w:gridCol w:w="698"/>
        <w:gridCol w:w="1433"/>
      </w:tblGrid>
      <w:tr w:rsidR="008B4FB4" w:rsidRPr="008B4FB4" w14:paraId="76CBBEC5" w14:textId="77777777" w:rsidTr="00D11B9C">
        <w:trPr>
          <w:trHeight w:val="20"/>
        </w:trPr>
        <w:tc>
          <w:tcPr>
            <w:tcW w:w="1351" w:type="dxa"/>
            <w:vMerge w:val="restart"/>
            <w:vAlign w:val="center"/>
          </w:tcPr>
          <w:p w14:paraId="00110750" w14:textId="77777777" w:rsidR="008B4FB4" w:rsidRPr="008B4FB4" w:rsidRDefault="008B4FB4" w:rsidP="00D11B9C">
            <w:pPr>
              <w:jc w:val="center"/>
              <w:rPr>
                <w:b/>
                <w:bCs/>
              </w:rPr>
            </w:pPr>
            <w:r w:rsidRPr="008B4FB4">
              <w:rPr>
                <w:b/>
                <w:bCs/>
                <w:lang w:val="en"/>
              </w:rPr>
              <w:t>Risk Factors</w:t>
            </w:r>
          </w:p>
        </w:tc>
        <w:tc>
          <w:tcPr>
            <w:tcW w:w="690" w:type="dxa"/>
          </w:tcPr>
          <w:p w14:paraId="28523D6A" w14:textId="77777777" w:rsidR="008B4FB4" w:rsidRPr="008B4FB4" w:rsidRDefault="008B4FB4" w:rsidP="00D11B9C">
            <w:pPr>
              <w:jc w:val="center"/>
              <w:rPr>
                <w:b/>
                <w:bCs/>
              </w:rPr>
            </w:pPr>
          </w:p>
        </w:tc>
        <w:tc>
          <w:tcPr>
            <w:tcW w:w="1465" w:type="dxa"/>
          </w:tcPr>
          <w:p w14:paraId="760ACB92" w14:textId="77777777" w:rsidR="008B4FB4" w:rsidRPr="008B4FB4" w:rsidRDefault="008B4FB4" w:rsidP="00D11B9C">
            <w:pPr>
              <w:jc w:val="center"/>
              <w:rPr>
                <w:b/>
                <w:bCs/>
              </w:rPr>
            </w:pPr>
            <w:r w:rsidRPr="008B4FB4">
              <w:rPr>
                <w:b/>
                <w:bCs/>
                <w:lang w:val="en"/>
              </w:rPr>
              <w:t>Model 1</w:t>
            </w:r>
          </w:p>
        </w:tc>
        <w:tc>
          <w:tcPr>
            <w:tcW w:w="690" w:type="dxa"/>
          </w:tcPr>
          <w:p w14:paraId="17309322" w14:textId="77777777" w:rsidR="008B4FB4" w:rsidRPr="008B4FB4" w:rsidRDefault="008B4FB4" w:rsidP="00D11B9C">
            <w:pPr>
              <w:jc w:val="center"/>
              <w:rPr>
                <w:b/>
                <w:bCs/>
              </w:rPr>
            </w:pPr>
          </w:p>
        </w:tc>
        <w:tc>
          <w:tcPr>
            <w:tcW w:w="1433" w:type="dxa"/>
          </w:tcPr>
          <w:p w14:paraId="3D8932D4" w14:textId="77777777" w:rsidR="008B4FB4" w:rsidRPr="008B4FB4" w:rsidRDefault="008B4FB4" w:rsidP="00D11B9C">
            <w:pPr>
              <w:jc w:val="center"/>
              <w:rPr>
                <w:b/>
                <w:bCs/>
              </w:rPr>
            </w:pPr>
            <w:r w:rsidRPr="008B4FB4">
              <w:rPr>
                <w:b/>
                <w:bCs/>
                <w:lang w:val="en"/>
              </w:rPr>
              <w:t>Model 2</w:t>
            </w:r>
          </w:p>
        </w:tc>
        <w:tc>
          <w:tcPr>
            <w:tcW w:w="698" w:type="dxa"/>
          </w:tcPr>
          <w:p w14:paraId="536FC0B0" w14:textId="77777777" w:rsidR="008B4FB4" w:rsidRPr="008B4FB4" w:rsidRDefault="008B4FB4" w:rsidP="00D11B9C">
            <w:pPr>
              <w:jc w:val="center"/>
              <w:rPr>
                <w:b/>
                <w:bCs/>
              </w:rPr>
            </w:pPr>
          </w:p>
        </w:tc>
        <w:tc>
          <w:tcPr>
            <w:tcW w:w="1433" w:type="dxa"/>
          </w:tcPr>
          <w:p w14:paraId="013FF955" w14:textId="77777777" w:rsidR="008B4FB4" w:rsidRPr="008B4FB4" w:rsidRDefault="008B4FB4" w:rsidP="00D11B9C">
            <w:pPr>
              <w:jc w:val="center"/>
              <w:rPr>
                <w:b/>
                <w:bCs/>
              </w:rPr>
            </w:pPr>
            <w:r w:rsidRPr="008B4FB4">
              <w:rPr>
                <w:b/>
                <w:bCs/>
                <w:lang w:val="en"/>
              </w:rPr>
              <w:t>Model 3</w:t>
            </w:r>
          </w:p>
        </w:tc>
        <w:tc>
          <w:tcPr>
            <w:tcW w:w="698" w:type="dxa"/>
          </w:tcPr>
          <w:p w14:paraId="0E4CD9BE" w14:textId="77777777" w:rsidR="008B4FB4" w:rsidRPr="008B4FB4" w:rsidRDefault="008B4FB4" w:rsidP="00D11B9C">
            <w:pPr>
              <w:jc w:val="center"/>
              <w:rPr>
                <w:b/>
                <w:bCs/>
              </w:rPr>
            </w:pPr>
          </w:p>
        </w:tc>
        <w:tc>
          <w:tcPr>
            <w:tcW w:w="1433" w:type="dxa"/>
          </w:tcPr>
          <w:p w14:paraId="354A19C7" w14:textId="77777777" w:rsidR="008B4FB4" w:rsidRPr="008B4FB4" w:rsidRDefault="008B4FB4" w:rsidP="00D11B9C">
            <w:pPr>
              <w:jc w:val="center"/>
              <w:rPr>
                <w:b/>
                <w:bCs/>
              </w:rPr>
            </w:pPr>
            <w:r w:rsidRPr="008B4FB4">
              <w:rPr>
                <w:b/>
                <w:bCs/>
                <w:lang w:val="en"/>
              </w:rPr>
              <w:t>Model 4</w:t>
            </w:r>
          </w:p>
        </w:tc>
      </w:tr>
      <w:tr w:rsidR="008B4FB4" w:rsidRPr="008B4FB4" w14:paraId="6D809DD9" w14:textId="77777777" w:rsidTr="00D11B9C">
        <w:trPr>
          <w:trHeight w:val="20"/>
        </w:trPr>
        <w:tc>
          <w:tcPr>
            <w:tcW w:w="1351" w:type="dxa"/>
            <w:vMerge/>
          </w:tcPr>
          <w:p w14:paraId="01627B1A" w14:textId="77777777" w:rsidR="008B4FB4" w:rsidRPr="008B4FB4" w:rsidRDefault="008B4FB4" w:rsidP="00D11B9C">
            <w:pPr>
              <w:jc w:val="center"/>
              <w:rPr>
                <w:b/>
                <w:bCs/>
              </w:rPr>
            </w:pPr>
          </w:p>
        </w:tc>
        <w:tc>
          <w:tcPr>
            <w:tcW w:w="690" w:type="dxa"/>
          </w:tcPr>
          <w:p w14:paraId="3A194320" w14:textId="77777777" w:rsidR="008B4FB4" w:rsidRPr="008B4FB4" w:rsidRDefault="008B4FB4" w:rsidP="00D11B9C">
            <w:pPr>
              <w:jc w:val="center"/>
              <w:rPr>
                <w:b/>
                <w:bCs/>
              </w:rPr>
            </w:pPr>
            <w:r w:rsidRPr="008B4FB4">
              <w:rPr>
                <w:b/>
                <w:bCs/>
                <w:lang w:val="en"/>
              </w:rPr>
              <w:t>P</w:t>
            </w:r>
          </w:p>
        </w:tc>
        <w:tc>
          <w:tcPr>
            <w:tcW w:w="1465" w:type="dxa"/>
          </w:tcPr>
          <w:p w14:paraId="763102AE" w14:textId="77777777" w:rsidR="008B4FB4" w:rsidRPr="008B4FB4" w:rsidRDefault="008B4FB4" w:rsidP="00D11B9C">
            <w:pPr>
              <w:jc w:val="center"/>
              <w:rPr>
                <w:b/>
                <w:bCs/>
              </w:rPr>
            </w:pPr>
            <w:r w:rsidRPr="008B4FB4">
              <w:rPr>
                <w:b/>
                <w:bCs/>
                <w:lang w:val="en"/>
              </w:rPr>
              <w:t>AOR</w:t>
            </w:r>
          </w:p>
          <w:p w14:paraId="5140D3A2" w14:textId="77777777" w:rsidR="008B4FB4" w:rsidRPr="008B4FB4" w:rsidRDefault="008B4FB4" w:rsidP="00D11B9C">
            <w:pPr>
              <w:jc w:val="center"/>
              <w:rPr>
                <w:b/>
                <w:bCs/>
              </w:rPr>
            </w:pPr>
            <w:r w:rsidRPr="008B4FB4">
              <w:rPr>
                <w:b/>
                <w:bCs/>
                <w:lang w:val="en"/>
              </w:rPr>
              <w:t>(95% C.I)</w:t>
            </w:r>
          </w:p>
        </w:tc>
        <w:tc>
          <w:tcPr>
            <w:tcW w:w="690" w:type="dxa"/>
          </w:tcPr>
          <w:p w14:paraId="3F03C299" w14:textId="77777777" w:rsidR="008B4FB4" w:rsidRPr="008B4FB4" w:rsidRDefault="008B4FB4" w:rsidP="00D11B9C">
            <w:pPr>
              <w:jc w:val="center"/>
              <w:rPr>
                <w:b/>
                <w:bCs/>
              </w:rPr>
            </w:pPr>
            <w:r w:rsidRPr="008B4FB4">
              <w:rPr>
                <w:b/>
                <w:bCs/>
                <w:lang w:val="en"/>
              </w:rPr>
              <w:t>P</w:t>
            </w:r>
          </w:p>
        </w:tc>
        <w:tc>
          <w:tcPr>
            <w:tcW w:w="1433" w:type="dxa"/>
          </w:tcPr>
          <w:p w14:paraId="0E4D2BC5" w14:textId="77777777" w:rsidR="008B4FB4" w:rsidRPr="008B4FB4" w:rsidRDefault="008B4FB4" w:rsidP="00D11B9C">
            <w:pPr>
              <w:jc w:val="center"/>
              <w:rPr>
                <w:b/>
                <w:bCs/>
              </w:rPr>
            </w:pPr>
            <w:r w:rsidRPr="008B4FB4">
              <w:rPr>
                <w:b/>
                <w:bCs/>
                <w:lang w:val="en"/>
              </w:rPr>
              <w:t>AOR</w:t>
            </w:r>
          </w:p>
          <w:p w14:paraId="4194E348" w14:textId="77777777" w:rsidR="008B4FB4" w:rsidRPr="008B4FB4" w:rsidRDefault="008B4FB4" w:rsidP="00D11B9C">
            <w:pPr>
              <w:jc w:val="center"/>
              <w:rPr>
                <w:b/>
                <w:bCs/>
              </w:rPr>
            </w:pPr>
            <w:r w:rsidRPr="008B4FB4">
              <w:rPr>
                <w:b/>
                <w:bCs/>
                <w:lang w:val="en"/>
              </w:rPr>
              <w:t>(95% C.I)</w:t>
            </w:r>
          </w:p>
        </w:tc>
        <w:tc>
          <w:tcPr>
            <w:tcW w:w="698" w:type="dxa"/>
          </w:tcPr>
          <w:p w14:paraId="07E01C46" w14:textId="77777777" w:rsidR="008B4FB4" w:rsidRPr="008B4FB4" w:rsidRDefault="008B4FB4" w:rsidP="00D11B9C">
            <w:pPr>
              <w:jc w:val="center"/>
              <w:rPr>
                <w:b/>
                <w:bCs/>
              </w:rPr>
            </w:pPr>
            <w:r w:rsidRPr="008B4FB4">
              <w:rPr>
                <w:b/>
                <w:bCs/>
                <w:lang w:val="en"/>
              </w:rPr>
              <w:t>P</w:t>
            </w:r>
          </w:p>
        </w:tc>
        <w:tc>
          <w:tcPr>
            <w:tcW w:w="1433" w:type="dxa"/>
          </w:tcPr>
          <w:p w14:paraId="3BA9581C" w14:textId="77777777" w:rsidR="008B4FB4" w:rsidRPr="008B4FB4" w:rsidRDefault="008B4FB4" w:rsidP="00D11B9C">
            <w:pPr>
              <w:jc w:val="center"/>
              <w:rPr>
                <w:b/>
                <w:bCs/>
              </w:rPr>
            </w:pPr>
            <w:r w:rsidRPr="008B4FB4">
              <w:rPr>
                <w:b/>
                <w:bCs/>
                <w:lang w:val="en"/>
              </w:rPr>
              <w:t>AOR</w:t>
            </w:r>
          </w:p>
          <w:p w14:paraId="6AA60A3A" w14:textId="77777777" w:rsidR="008B4FB4" w:rsidRPr="008B4FB4" w:rsidRDefault="008B4FB4" w:rsidP="00D11B9C">
            <w:pPr>
              <w:jc w:val="center"/>
              <w:rPr>
                <w:b/>
                <w:bCs/>
              </w:rPr>
            </w:pPr>
            <w:r w:rsidRPr="008B4FB4">
              <w:rPr>
                <w:b/>
                <w:bCs/>
                <w:lang w:val="en"/>
              </w:rPr>
              <w:t>(95% C.I)</w:t>
            </w:r>
          </w:p>
        </w:tc>
        <w:tc>
          <w:tcPr>
            <w:tcW w:w="698" w:type="dxa"/>
          </w:tcPr>
          <w:p w14:paraId="7EE34E06" w14:textId="77777777" w:rsidR="008B4FB4" w:rsidRPr="008B4FB4" w:rsidRDefault="008B4FB4" w:rsidP="00D11B9C">
            <w:pPr>
              <w:jc w:val="center"/>
              <w:rPr>
                <w:b/>
                <w:bCs/>
              </w:rPr>
            </w:pPr>
            <w:r w:rsidRPr="008B4FB4">
              <w:rPr>
                <w:b/>
                <w:bCs/>
                <w:lang w:val="en"/>
              </w:rPr>
              <w:t>P</w:t>
            </w:r>
          </w:p>
        </w:tc>
        <w:tc>
          <w:tcPr>
            <w:tcW w:w="1433" w:type="dxa"/>
          </w:tcPr>
          <w:p w14:paraId="71353F27" w14:textId="77777777" w:rsidR="008B4FB4" w:rsidRPr="008B4FB4" w:rsidRDefault="008B4FB4" w:rsidP="00D11B9C">
            <w:pPr>
              <w:jc w:val="center"/>
              <w:rPr>
                <w:b/>
                <w:bCs/>
              </w:rPr>
            </w:pPr>
            <w:r w:rsidRPr="008B4FB4">
              <w:rPr>
                <w:b/>
                <w:bCs/>
                <w:lang w:val="en"/>
              </w:rPr>
              <w:t>AOR</w:t>
            </w:r>
          </w:p>
          <w:p w14:paraId="22C4A87E" w14:textId="77777777" w:rsidR="008B4FB4" w:rsidRPr="008B4FB4" w:rsidRDefault="008B4FB4" w:rsidP="00D11B9C">
            <w:pPr>
              <w:jc w:val="center"/>
              <w:rPr>
                <w:b/>
                <w:bCs/>
              </w:rPr>
            </w:pPr>
            <w:r w:rsidRPr="008B4FB4">
              <w:rPr>
                <w:b/>
                <w:bCs/>
                <w:lang w:val="en"/>
              </w:rPr>
              <w:t>(95% C.I)</w:t>
            </w:r>
          </w:p>
        </w:tc>
      </w:tr>
      <w:tr w:rsidR="008B4FB4" w:rsidRPr="008B4FB4" w14:paraId="7B88EF63" w14:textId="77777777" w:rsidTr="00D11B9C">
        <w:trPr>
          <w:trHeight w:val="20"/>
        </w:trPr>
        <w:tc>
          <w:tcPr>
            <w:tcW w:w="1351" w:type="dxa"/>
          </w:tcPr>
          <w:p w14:paraId="7A3470E2" w14:textId="77777777" w:rsidR="008B4FB4" w:rsidRPr="008B4FB4" w:rsidRDefault="008B4FB4" w:rsidP="00D11B9C">
            <w:pPr>
              <w:jc w:val="both"/>
            </w:pPr>
            <w:r w:rsidRPr="008B4FB4">
              <w:rPr>
                <w:lang w:val="en"/>
              </w:rPr>
              <w:t>Diabetes Mellitus</w:t>
            </w:r>
          </w:p>
        </w:tc>
        <w:tc>
          <w:tcPr>
            <w:tcW w:w="690" w:type="dxa"/>
          </w:tcPr>
          <w:p w14:paraId="48DB9366" w14:textId="77777777" w:rsidR="008B4FB4" w:rsidRPr="008B4FB4" w:rsidRDefault="008B4FB4" w:rsidP="00D11B9C">
            <w:pPr>
              <w:jc w:val="center"/>
            </w:pPr>
            <w:r w:rsidRPr="008B4FB4">
              <w:rPr>
                <w:lang w:val="en"/>
              </w:rPr>
              <w:t>0,000</w:t>
            </w:r>
          </w:p>
        </w:tc>
        <w:tc>
          <w:tcPr>
            <w:tcW w:w="1465" w:type="dxa"/>
          </w:tcPr>
          <w:p w14:paraId="2AB28F4A" w14:textId="77777777" w:rsidR="008B4FB4" w:rsidRPr="008B4FB4" w:rsidRDefault="008B4FB4" w:rsidP="00D11B9C">
            <w:pPr>
              <w:jc w:val="center"/>
            </w:pPr>
            <w:r w:rsidRPr="008B4FB4">
              <w:rPr>
                <w:lang w:val="en"/>
              </w:rPr>
              <w:t>0.249</w:t>
            </w:r>
          </w:p>
          <w:p w14:paraId="1F2FDE8E" w14:textId="77777777" w:rsidR="008B4FB4" w:rsidRPr="008B4FB4" w:rsidRDefault="008B4FB4" w:rsidP="00D11B9C">
            <w:pPr>
              <w:jc w:val="center"/>
            </w:pPr>
            <w:r w:rsidRPr="008B4FB4">
              <w:rPr>
                <w:lang w:val="en"/>
              </w:rPr>
              <w:t>(0.124-0.502)</w:t>
            </w:r>
          </w:p>
        </w:tc>
        <w:tc>
          <w:tcPr>
            <w:tcW w:w="690" w:type="dxa"/>
          </w:tcPr>
          <w:p w14:paraId="0A79AACE" w14:textId="77777777" w:rsidR="008B4FB4" w:rsidRPr="008B4FB4" w:rsidRDefault="008B4FB4" w:rsidP="00D11B9C">
            <w:pPr>
              <w:jc w:val="center"/>
            </w:pPr>
            <w:r w:rsidRPr="008B4FB4">
              <w:rPr>
                <w:lang w:val="en"/>
              </w:rPr>
              <w:t>0.000</w:t>
            </w:r>
          </w:p>
        </w:tc>
        <w:tc>
          <w:tcPr>
            <w:tcW w:w="1433" w:type="dxa"/>
          </w:tcPr>
          <w:p w14:paraId="789A63AB" w14:textId="77777777" w:rsidR="008B4FB4" w:rsidRPr="008B4FB4" w:rsidRDefault="008B4FB4" w:rsidP="00D11B9C">
            <w:pPr>
              <w:jc w:val="center"/>
            </w:pPr>
            <w:r w:rsidRPr="008B4FB4">
              <w:rPr>
                <w:lang w:val="en"/>
              </w:rPr>
              <w:t xml:space="preserve">0.237 </w:t>
            </w:r>
          </w:p>
          <w:p w14:paraId="55EE9839" w14:textId="77777777" w:rsidR="008B4FB4" w:rsidRPr="008B4FB4" w:rsidRDefault="008B4FB4" w:rsidP="00D11B9C">
            <w:pPr>
              <w:jc w:val="center"/>
            </w:pPr>
            <w:r w:rsidRPr="008B4FB4">
              <w:rPr>
                <w:lang w:val="en"/>
              </w:rPr>
              <w:t>(0.129-0.435)</w:t>
            </w:r>
          </w:p>
        </w:tc>
        <w:tc>
          <w:tcPr>
            <w:tcW w:w="698" w:type="dxa"/>
          </w:tcPr>
          <w:p w14:paraId="3D529B59" w14:textId="77777777" w:rsidR="008B4FB4" w:rsidRPr="008B4FB4" w:rsidRDefault="008B4FB4" w:rsidP="00D11B9C">
            <w:pPr>
              <w:jc w:val="center"/>
            </w:pPr>
            <w:r w:rsidRPr="008B4FB4">
              <w:rPr>
                <w:lang w:val="en"/>
              </w:rPr>
              <w:t>0.000</w:t>
            </w:r>
          </w:p>
        </w:tc>
        <w:tc>
          <w:tcPr>
            <w:tcW w:w="1433" w:type="dxa"/>
          </w:tcPr>
          <w:p w14:paraId="251E7A9A" w14:textId="77777777" w:rsidR="008B4FB4" w:rsidRPr="008B4FB4" w:rsidRDefault="008B4FB4" w:rsidP="00D11B9C">
            <w:pPr>
              <w:jc w:val="center"/>
            </w:pPr>
            <w:r w:rsidRPr="008B4FB4">
              <w:rPr>
                <w:lang w:val="en"/>
              </w:rPr>
              <w:t xml:space="preserve">0.238 </w:t>
            </w:r>
          </w:p>
          <w:p w14:paraId="1D52348C" w14:textId="77777777" w:rsidR="008B4FB4" w:rsidRPr="008B4FB4" w:rsidRDefault="008B4FB4" w:rsidP="00D11B9C">
            <w:pPr>
              <w:jc w:val="center"/>
            </w:pPr>
            <w:r w:rsidRPr="008B4FB4">
              <w:rPr>
                <w:lang w:val="en"/>
              </w:rPr>
              <w:t>(0.130-0.436)</w:t>
            </w:r>
          </w:p>
        </w:tc>
        <w:tc>
          <w:tcPr>
            <w:tcW w:w="698" w:type="dxa"/>
          </w:tcPr>
          <w:p w14:paraId="75B6A716" w14:textId="77777777" w:rsidR="008B4FB4" w:rsidRPr="008B4FB4" w:rsidRDefault="008B4FB4" w:rsidP="00D11B9C">
            <w:pPr>
              <w:jc w:val="center"/>
            </w:pPr>
            <w:r w:rsidRPr="008B4FB4">
              <w:rPr>
                <w:lang w:val="en"/>
              </w:rPr>
              <w:t>0.000</w:t>
            </w:r>
          </w:p>
        </w:tc>
        <w:tc>
          <w:tcPr>
            <w:tcW w:w="1433" w:type="dxa"/>
          </w:tcPr>
          <w:p w14:paraId="7B34FB16" w14:textId="77777777" w:rsidR="008B4FB4" w:rsidRPr="008B4FB4" w:rsidRDefault="008B4FB4" w:rsidP="00D11B9C">
            <w:pPr>
              <w:jc w:val="center"/>
            </w:pPr>
            <w:r w:rsidRPr="008B4FB4">
              <w:rPr>
                <w:lang w:val="en"/>
              </w:rPr>
              <w:t xml:space="preserve">0.222 </w:t>
            </w:r>
          </w:p>
          <w:p w14:paraId="3A918430" w14:textId="77777777" w:rsidR="008B4FB4" w:rsidRPr="008B4FB4" w:rsidRDefault="008B4FB4" w:rsidP="00D11B9C">
            <w:pPr>
              <w:jc w:val="center"/>
            </w:pPr>
            <w:r w:rsidRPr="008B4FB4">
              <w:rPr>
                <w:lang w:val="en"/>
              </w:rPr>
              <w:t>(0.122-0.405)</w:t>
            </w:r>
          </w:p>
        </w:tc>
      </w:tr>
      <w:tr w:rsidR="008B4FB4" w:rsidRPr="008B4FB4" w14:paraId="128C1372" w14:textId="77777777" w:rsidTr="00D11B9C">
        <w:trPr>
          <w:trHeight w:val="20"/>
        </w:trPr>
        <w:tc>
          <w:tcPr>
            <w:tcW w:w="1351" w:type="dxa"/>
          </w:tcPr>
          <w:p w14:paraId="4F54B3E2" w14:textId="77777777" w:rsidR="008B4FB4" w:rsidRPr="008B4FB4" w:rsidRDefault="008B4FB4" w:rsidP="00D11B9C">
            <w:pPr>
              <w:jc w:val="both"/>
            </w:pPr>
            <w:r w:rsidRPr="008B4FB4">
              <w:rPr>
                <w:lang w:val="en"/>
              </w:rPr>
              <w:t>Systolic Blood Pressure</w:t>
            </w:r>
          </w:p>
        </w:tc>
        <w:tc>
          <w:tcPr>
            <w:tcW w:w="690" w:type="dxa"/>
          </w:tcPr>
          <w:p w14:paraId="7F85B5F2" w14:textId="77777777" w:rsidR="008B4FB4" w:rsidRPr="008B4FB4" w:rsidRDefault="008B4FB4" w:rsidP="00D11B9C">
            <w:pPr>
              <w:jc w:val="center"/>
            </w:pPr>
            <w:r w:rsidRPr="008B4FB4">
              <w:rPr>
                <w:lang w:val="en"/>
              </w:rPr>
              <w:t>0.333</w:t>
            </w:r>
          </w:p>
        </w:tc>
        <w:tc>
          <w:tcPr>
            <w:tcW w:w="1465" w:type="dxa"/>
          </w:tcPr>
          <w:p w14:paraId="47A204BE" w14:textId="77777777" w:rsidR="008B4FB4" w:rsidRPr="008B4FB4" w:rsidRDefault="008B4FB4" w:rsidP="00D11B9C">
            <w:pPr>
              <w:jc w:val="center"/>
            </w:pPr>
            <w:r w:rsidRPr="008B4FB4">
              <w:rPr>
                <w:lang w:val="en"/>
              </w:rPr>
              <w:t>0.333</w:t>
            </w:r>
          </w:p>
          <w:p w14:paraId="2D9CC25E" w14:textId="77777777" w:rsidR="008B4FB4" w:rsidRPr="008B4FB4" w:rsidRDefault="008B4FB4" w:rsidP="00D11B9C">
            <w:pPr>
              <w:jc w:val="center"/>
            </w:pPr>
            <w:r w:rsidRPr="008B4FB4">
              <w:rPr>
                <w:lang w:val="en"/>
              </w:rPr>
              <w:t>(0.127-0.876)</w:t>
            </w:r>
          </w:p>
        </w:tc>
        <w:tc>
          <w:tcPr>
            <w:tcW w:w="690" w:type="dxa"/>
          </w:tcPr>
          <w:p w14:paraId="71D965B7" w14:textId="77777777" w:rsidR="008B4FB4" w:rsidRPr="008B4FB4" w:rsidRDefault="008B4FB4" w:rsidP="00D11B9C">
            <w:pPr>
              <w:jc w:val="center"/>
            </w:pPr>
            <w:r w:rsidRPr="008B4FB4">
              <w:rPr>
                <w:lang w:val="en"/>
              </w:rPr>
              <w:t>0.025</w:t>
            </w:r>
          </w:p>
        </w:tc>
        <w:tc>
          <w:tcPr>
            <w:tcW w:w="1433" w:type="dxa"/>
          </w:tcPr>
          <w:p w14:paraId="3C2007F4" w14:textId="77777777" w:rsidR="008B4FB4" w:rsidRPr="008B4FB4" w:rsidRDefault="008B4FB4" w:rsidP="00D11B9C">
            <w:pPr>
              <w:jc w:val="center"/>
            </w:pPr>
            <w:r w:rsidRPr="008B4FB4">
              <w:rPr>
                <w:lang w:val="en"/>
              </w:rPr>
              <w:t>0.331</w:t>
            </w:r>
          </w:p>
          <w:p w14:paraId="33DDF9D4" w14:textId="77777777" w:rsidR="008B4FB4" w:rsidRPr="008B4FB4" w:rsidRDefault="008B4FB4" w:rsidP="00D11B9C">
            <w:pPr>
              <w:jc w:val="center"/>
            </w:pPr>
            <w:r w:rsidRPr="008B4FB4">
              <w:rPr>
                <w:lang w:val="en"/>
              </w:rPr>
              <w:t>(0.126-0.868)</w:t>
            </w:r>
          </w:p>
        </w:tc>
        <w:tc>
          <w:tcPr>
            <w:tcW w:w="698" w:type="dxa"/>
          </w:tcPr>
          <w:p w14:paraId="65C5F9DA" w14:textId="77777777" w:rsidR="008B4FB4" w:rsidRPr="008B4FB4" w:rsidRDefault="008B4FB4" w:rsidP="00D11B9C">
            <w:pPr>
              <w:jc w:val="center"/>
            </w:pPr>
            <w:r w:rsidRPr="008B4FB4">
              <w:rPr>
                <w:lang w:val="en"/>
              </w:rPr>
              <w:t>0.005</w:t>
            </w:r>
          </w:p>
        </w:tc>
        <w:tc>
          <w:tcPr>
            <w:tcW w:w="1433" w:type="dxa"/>
          </w:tcPr>
          <w:p w14:paraId="770F171A" w14:textId="77777777" w:rsidR="008B4FB4" w:rsidRPr="008B4FB4" w:rsidRDefault="008B4FB4" w:rsidP="00D11B9C">
            <w:pPr>
              <w:jc w:val="center"/>
            </w:pPr>
            <w:r w:rsidRPr="008B4FB4">
              <w:rPr>
                <w:lang w:val="en"/>
              </w:rPr>
              <w:t xml:space="preserve">0.308 </w:t>
            </w:r>
          </w:p>
          <w:p w14:paraId="18F64AC4" w14:textId="77777777" w:rsidR="008B4FB4" w:rsidRPr="008B4FB4" w:rsidRDefault="008B4FB4" w:rsidP="00D11B9C">
            <w:pPr>
              <w:jc w:val="center"/>
            </w:pPr>
            <w:r w:rsidRPr="008B4FB4">
              <w:rPr>
                <w:lang w:val="en"/>
              </w:rPr>
              <w:t>(0.135-0.702)</w:t>
            </w:r>
          </w:p>
        </w:tc>
        <w:tc>
          <w:tcPr>
            <w:tcW w:w="698" w:type="dxa"/>
          </w:tcPr>
          <w:p w14:paraId="3B9F00AB" w14:textId="77777777" w:rsidR="008B4FB4" w:rsidRPr="008B4FB4" w:rsidRDefault="008B4FB4" w:rsidP="00D11B9C">
            <w:pPr>
              <w:jc w:val="center"/>
            </w:pPr>
            <w:r w:rsidRPr="008B4FB4">
              <w:rPr>
                <w:lang w:val="en"/>
              </w:rPr>
              <w:t>0.003</w:t>
            </w:r>
          </w:p>
        </w:tc>
        <w:tc>
          <w:tcPr>
            <w:tcW w:w="1433" w:type="dxa"/>
          </w:tcPr>
          <w:p w14:paraId="5DE97430" w14:textId="77777777" w:rsidR="008B4FB4" w:rsidRPr="008B4FB4" w:rsidRDefault="008B4FB4" w:rsidP="00D11B9C">
            <w:pPr>
              <w:jc w:val="center"/>
            </w:pPr>
            <w:r w:rsidRPr="008B4FB4">
              <w:rPr>
                <w:lang w:val="en"/>
              </w:rPr>
              <w:t xml:space="preserve">0.291 </w:t>
            </w:r>
          </w:p>
          <w:p w14:paraId="601B4DFF" w14:textId="77777777" w:rsidR="008B4FB4" w:rsidRPr="008B4FB4" w:rsidRDefault="008B4FB4" w:rsidP="00D11B9C">
            <w:pPr>
              <w:jc w:val="center"/>
            </w:pPr>
            <w:r w:rsidRPr="008B4FB4">
              <w:rPr>
                <w:lang w:val="en"/>
              </w:rPr>
              <w:t>(0.128-0.662)</w:t>
            </w:r>
          </w:p>
        </w:tc>
      </w:tr>
      <w:tr w:rsidR="008B4FB4" w:rsidRPr="008B4FB4" w14:paraId="423177B1" w14:textId="77777777" w:rsidTr="00D11B9C">
        <w:trPr>
          <w:trHeight w:val="20"/>
        </w:trPr>
        <w:tc>
          <w:tcPr>
            <w:tcW w:w="1351" w:type="dxa"/>
          </w:tcPr>
          <w:p w14:paraId="22D2ADCB" w14:textId="77777777" w:rsidR="008B4FB4" w:rsidRPr="008B4FB4" w:rsidRDefault="008B4FB4" w:rsidP="00D11B9C">
            <w:pPr>
              <w:jc w:val="both"/>
            </w:pPr>
            <w:r w:rsidRPr="008B4FB4">
              <w:rPr>
                <w:lang w:val="en"/>
              </w:rPr>
              <w:t>Total Cholesterol</w:t>
            </w:r>
          </w:p>
        </w:tc>
        <w:tc>
          <w:tcPr>
            <w:tcW w:w="690" w:type="dxa"/>
          </w:tcPr>
          <w:p w14:paraId="07621320" w14:textId="77777777" w:rsidR="008B4FB4" w:rsidRPr="008B4FB4" w:rsidRDefault="008B4FB4" w:rsidP="00D11B9C">
            <w:pPr>
              <w:jc w:val="center"/>
            </w:pPr>
            <w:r w:rsidRPr="008B4FB4">
              <w:rPr>
                <w:lang w:val="en"/>
              </w:rPr>
              <w:t>0.116</w:t>
            </w:r>
          </w:p>
        </w:tc>
        <w:tc>
          <w:tcPr>
            <w:tcW w:w="1465" w:type="dxa"/>
          </w:tcPr>
          <w:p w14:paraId="588465F3" w14:textId="77777777" w:rsidR="008B4FB4" w:rsidRPr="008B4FB4" w:rsidRDefault="008B4FB4" w:rsidP="00D11B9C">
            <w:pPr>
              <w:jc w:val="center"/>
            </w:pPr>
            <w:r w:rsidRPr="008B4FB4">
              <w:rPr>
                <w:lang w:val="en"/>
              </w:rPr>
              <w:t>0.608</w:t>
            </w:r>
          </w:p>
          <w:p w14:paraId="6A480560" w14:textId="77777777" w:rsidR="008B4FB4" w:rsidRPr="008B4FB4" w:rsidRDefault="008B4FB4" w:rsidP="00D11B9C">
            <w:pPr>
              <w:jc w:val="center"/>
            </w:pPr>
            <w:r w:rsidRPr="008B4FB4">
              <w:rPr>
                <w:lang w:val="en"/>
              </w:rPr>
              <w:t>(0.327-1.131)</w:t>
            </w:r>
          </w:p>
        </w:tc>
        <w:tc>
          <w:tcPr>
            <w:tcW w:w="690" w:type="dxa"/>
          </w:tcPr>
          <w:p w14:paraId="68031581" w14:textId="77777777" w:rsidR="008B4FB4" w:rsidRPr="008B4FB4" w:rsidRDefault="008B4FB4" w:rsidP="00D11B9C">
            <w:pPr>
              <w:jc w:val="center"/>
            </w:pPr>
            <w:r w:rsidRPr="008B4FB4">
              <w:rPr>
                <w:lang w:val="en"/>
              </w:rPr>
              <w:t>0.114</w:t>
            </w:r>
          </w:p>
        </w:tc>
        <w:tc>
          <w:tcPr>
            <w:tcW w:w="1433" w:type="dxa"/>
          </w:tcPr>
          <w:p w14:paraId="595CE9B4" w14:textId="77777777" w:rsidR="008B4FB4" w:rsidRPr="008B4FB4" w:rsidRDefault="008B4FB4" w:rsidP="00D11B9C">
            <w:pPr>
              <w:jc w:val="center"/>
            </w:pPr>
            <w:r w:rsidRPr="008B4FB4">
              <w:rPr>
                <w:lang w:val="en"/>
              </w:rPr>
              <w:t xml:space="preserve">0.606 </w:t>
            </w:r>
          </w:p>
          <w:p w14:paraId="5C7E712F" w14:textId="77777777" w:rsidR="008B4FB4" w:rsidRPr="008B4FB4" w:rsidRDefault="008B4FB4" w:rsidP="00D11B9C">
            <w:pPr>
              <w:jc w:val="center"/>
            </w:pPr>
            <w:r w:rsidRPr="008B4FB4">
              <w:rPr>
                <w:lang w:val="en"/>
              </w:rPr>
              <w:t>(0.326-1.127)</w:t>
            </w:r>
          </w:p>
        </w:tc>
        <w:tc>
          <w:tcPr>
            <w:tcW w:w="698" w:type="dxa"/>
          </w:tcPr>
          <w:p w14:paraId="79C90D42" w14:textId="77777777" w:rsidR="008B4FB4" w:rsidRPr="008B4FB4" w:rsidRDefault="008B4FB4" w:rsidP="00D11B9C">
            <w:pPr>
              <w:jc w:val="center"/>
            </w:pPr>
            <w:r w:rsidRPr="008B4FB4">
              <w:rPr>
                <w:lang w:val="en"/>
              </w:rPr>
              <w:t>0.110</w:t>
            </w:r>
          </w:p>
        </w:tc>
        <w:tc>
          <w:tcPr>
            <w:tcW w:w="1433" w:type="dxa"/>
          </w:tcPr>
          <w:p w14:paraId="310EA07A" w14:textId="77777777" w:rsidR="008B4FB4" w:rsidRPr="008B4FB4" w:rsidRDefault="008B4FB4" w:rsidP="00D11B9C">
            <w:pPr>
              <w:jc w:val="center"/>
            </w:pPr>
            <w:r w:rsidRPr="008B4FB4">
              <w:rPr>
                <w:lang w:val="en"/>
              </w:rPr>
              <w:t xml:space="preserve">0.604 </w:t>
            </w:r>
          </w:p>
          <w:p w14:paraId="192F39C5" w14:textId="77777777" w:rsidR="008B4FB4" w:rsidRPr="008B4FB4" w:rsidRDefault="008B4FB4" w:rsidP="00D11B9C">
            <w:pPr>
              <w:jc w:val="center"/>
            </w:pPr>
            <w:r w:rsidRPr="008B4FB4">
              <w:rPr>
                <w:lang w:val="en"/>
              </w:rPr>
              <w:t>(0.325-1.122)</w:t>
            </w:r>
          </w:p>
        </w:tc>
        <w:tc>
          <w:tcPr>
            <w:tcW w:w="698" w:type="dxa"/>
          </w:tcPr>
          <w:p w14:paraId="43C7FF0D" w14:textId="77777777" w:rsidR="008B4FB4" w:rsidRPr="008B4FB4" w:rsidRDefault="008B4FB4" w:rsidP="00D11B9C">
            <w:pPr>
              <w:jc w:val="center"/>
            </w:pPr>
          </w:p>
        </w:tc>
        <w:tc>
          <w:tcPr>
            <w:tcW w:w="1433" w:type="dxa"/>
          </w:tcPr>
          <w:p w14:paraId="6A90704F" w14:textId="77777777" w:rsidR="008B4FB4" w:rsidRPr="008B4FB4" w:rsidRDefault="008B4FB4" w:rsidP="00D11B9C">
            <w:pPr>
              <w:jc w:val="center"/>
            </w:pPr>
          </w:p>
        </w:tc>
      </w:tr>
      <w:tr w:rsidR="008B4FB4" w:rsidRPr="008B4FB4" w14:paraId="1B47F5B3" w14:textId="77777777" w:rsidTr="00D11B9C">
        <w:trPr>
          <w:trHeight w:val="20"/>
        </w:trPr>
        <w:tc>
          <w:tcPr>
            <w:tcW w:w="1351" w:type="dxa"/>
          </w:tcPr>
          <w:p w14:paraId="7EC997D7" w14:textId="77777777" w:rsidR="008B4FB4" w:rsidRPr="008B4FB4" w:rsidRDefault="008B4FB4" w:rsidP="00D11B9C">
            <w:pPr>
              <w:jc w:val="both"/>
            </w:pPr>
            <w:r w:rsidRPr="008B4FB4">
              <w:rPr>
                <w:lang w:val="en"/>
              </w:rPr>
              <w:t>Diastolic Blood Pressure</w:t>
            </w:r>
          </w:p>
        </w:tc>
        <w:tc>
          <w:tcPr>
            <w:tcW w:w="690" w:type="dxa"/>
          </w:tcPr>
          <w:p w14:paraId="16D30B71" w14:textId="77777777" w:rsidR="008B4FB4" w:rsidRPr="008B4FB4" w:rsidRDefault="008B4FB4" w:rsidP="00D11B9C">
            <w:pPr>
              <w:jc w:val="center"/>
            </w:pPr>
            <w:r w:rsidRPr="008B4FB4">
              <w:rPr>
                <w:lang w:val="en"/>
              </w:rPr>
              <w:t>0.883</w:t>
            </w:r>
          </w:p>
        </w:tc>
        <w:tc>
          <w:tcPr>
            <w:tcW w:w="1465" w:type="dxa"/>
          </w:tcPr>
          <w:p w14:paraId="396ABD1A" w14:textId="77777777" w:rsidR="008B4FB4" w:rsidRPr="008B4FB4" w:rsidRDefault="008B4FB4" w:rsidP="00D11B9C">
            <w:pPr>
              <w:jc w:val="center"/>
            </w:pPr>
            <w:r w:rsidRPr="008B4FB4">
              <w:rPr>
                <w:lang w:val="en"/>
              </w:rPr>
              <w:t>0.333</w:t>
            </w:r>
          </w:p>
          <w:p w14:paraId="4EE55A1F" w14:textId="77777777" w:rsidR="008B4FB4" w:rsidRPr="008B4FB4" w:rsidRDefault="008B4FB4" w:rsidP="00D11B9C">
            <w:pPr>
              <w:jc w:val="center"/>
            </w:pPr>
            <w:r w:rsidRPr="008B4FB4">
              <w:rPr>
                <w:lang w:val="en"/>
              </w:rPr>
              <w:t>0.397-1.962)</w:t>
            </w:r>
          </w:p>
        </w:tc>
        <w:tc>
          <w:tcPr>
            <w:tcW w:w="690" w:type="dxa"/>
          </w:tcPr>
          <w:p w14:paraId="4FBF42A2" w14:textId="77777777" w:rsidR="008B4FB4" w:rsidRPr="008B4FB4" w:rsidRDefault="008B4FB4" w:rsidP="00D11B9C">
            <w:pPr>
              <w:jc w:val="center"/>
            </w:pPr>
            <w:r w:rsidRPr="008B4FB4">
              <w:rPr>
                <w:lang w:val="en"/>
              </w:rPr>
              <w:t>0.782</w:t>
            </w:r>
          </w:p>
        </w:tc>
        <w:tc>
          <w:tcPr>
            <w:tcW w:w="1433" w:type="dxa"/>
          </w:tcPr>
          <w:p w14:paraId="776C25DA" w14:textId="77777777" w:rsidR="008B4FB4" w:rsidRPr="008B4FB4" w:rsidRDefault="008B4FB4" w:rsidP="00D11B9C">
            <w:pPr>
              <w:jc w:val="center"/>
            </w:pPr>
            <w:r w:rsidRPr="008B4FB4">
              <w:rPr>
                <w:lang w:val="en"/>
              </w:rPr>
              <w:t xml:space="preserve">0.894 </w:t>
            </w:r>
          </w:p>
          <w:p w14:paraId="0AF516B5" w14:textId="77777777" w:rsidR="008B4FB4" w:rsidRPr="008B4FB4" w:rsidRDefault="008B4FB4" w:rsidP="00D11B9C">
            <w:pPr>
              <w:jc w:val="center"/>
            </w:pPr>
            <w:r w:rsidRPr="008B4FB4">
              <w:rPr>
                <w:lang w:val="en"/>
              </w:rPr>
              <w:t>(0.404-1.978)</w:t>
            </w:r>
          </w:p>
        </w:tc>
        <w:tc>
          <w:tcPr>
            <w:tcW w:w="698" w:type="dxa"/>
          </w:tcPr>
          <w:p w14:paraId="7774D0A1" w14:textId="77777777" w:rsidR="008B4FB4" w:rsidRPr="008B4FB4" w:rsidRDefault="008B4FB4" w:rsidP="00D11B9C">
            <w:pPr>
              <w:jc w:val="center"/>
            </w:pPr>
          </w:p>
        </w:tc>
        <w:tc>
          <w:tcPr>
            <w:tcW w:w="1433" w:type="dxa"/>
          </w:tcPr>
          <w:p w14:paraId="57749724" w14:textId="77777777" w:rsidR="008B4FB4" w:rsidRPr="008B4FB4" w:rsidRDefault="008B4FB4" w:rsidP="00D11B9C">
            <w:pPr>
              <w:jc w:val="center"/>
            </w:pPr>
          </w:p>
        </w:tc>
        <w:tc>
          <w:tcPr>
            <w:tcW w:w="698" w:type="dxa"/>
          </w:tcPr>
          <w:p w14:paraId="2ED71439" w14:textId="77777777" w:rsidR="008B4FB4" w:rsidRPr="008B4FB4" w:rsidRDefault="008B4FB4" w:rsidP="00D11B9C">
            <w:pPr>
              <w:jc w:val="center"/>
            </w:pPr>
          </w:p>
        </w:tc>
        <w:tc>
          <w:tcPr>
            <w:tcW w:w="1433" w:type="dxa"/>
          </w:tcPr>
          <w:p w14:paraId="0C2FA7E0" w14:textId="77777777" w:rsidR="008B4FB4" w:rsidRPr="008B4FB4" w:rsidRDefault="008B4FB4" w:rsidP="00D11B9C">
            <w:pPr>
              <w:jc w:val="center"/>
            </w:pPr>
          </w:p>
        </w:tc>
      </w:tr>
      <w:tr w:rsidR="008B4FB4" w:rsidRPr="008B4FB4" w14:paraId="0D67F202" w14:textId="77777777" w:rsidTr="00D11B9C">
        <w:trPr>
          <w:trHeight w:val="20"/>
        </w:trPr>
        <w:tc>
          <w:tcPr>
            <w:tcW w:w="1351" w:type="dxa"/>
          </w:tcPr>
          <w:p w14:paraId="32A985C8" w14:textId="77777777" w:rsidR="008B4FB4" w:rsidRPr="008B4FB4" w:rsidRDefault="008B4FB4" w:rsidP="00D11B9C">
            <w:pPr>
              <w:jc w:val="both"/>
            </w:pPr>
            <w:r w:rsidRPr="008B4FB4">
              <w:rPr>
                <w:lang w:val="en"/>
              </w:rPr>
              <w:t>Fasting Blood Sugar Levels</w:t>
            </w:r>
          </w:p>
        </w:tc>
        <w:tc>
          <w:tcPr>
            <w:tcW w:w="690" w:type="dxa"/>
          </w:tcPr>
          <w:p w14:paraId="2C7E1483" w14:textId="77777777" w:rsidR="008B4FB4" w:rsidRPr="008B4FB4" w:rsidRDefault="008B4FB4" w:rsidP="00D11B9C">
            <w:pPr>
              <w:jc w:val="center"/>
            </w:pPr>
            <w:r w:rsidRPr="008B4FB4">
              <w:rPr>
                <w:lang w:val="en"/>
              </w:rPr>
              <w:t>0.774</w:t>
            </w:r>
          </w:p>
        </w:tc>
        <w:tc>
          <w:tcPr>
            <w:tcW w:w="1465" w:type="dxa"/>
          </w:tcPr>
          <w:p w14:paraId="7BE5AAAC" w14:textId="77777777" w:rsidR="008B4FB4" w:rsidRPr="008B4FB4" w:rsidRDefault="008B4FB4" w:rsidP="00D11B9C">
            <w:pPr>
              <w:jc w:val="center"/>
            </w:pPr>
            <w:r w:rsidRPr="008B4FB4">
              <w:rPr>
                <w:lang w:val="en"/>
              </w:rPr>
              <w:t>0.901</w:t>
            </w:r>
          </w:p>
          <w:p w14:paraId="34D17475" w14:textId="77777777" w:rsidR="008B4FB4" w:rsidRPr="008B4FB4" w:rsidRDefault="008B4FB4" w:rsidP="00D11B9C">
            <w:pPr>
              <w:jc w:val="center"/>
            </w:pPr>
            <w:r w:rsidRPr="008B4FB4">
              <w:rPr>
                <w:lang w:val="en"/>
              </w:rPr>
              <w:t>(0.443-1.833)</w:t>
            </w:r>
          </w:p>
        </w:tc>
        <w:tc>
          <w:tcPr>
            <w:tcW w:w="690" w:type="dxa"/>
          </w:tcPr>
          <w:p w14:paraId="626D7C9A" w14:textId="77777777" w:rsidR="008B4FB4" w:rsidRPr="008B4FB4" w:rsidRDefault="008B4FB4" w:rsidP="00D11B9C">
            <w:pPr>
              <w:jc w:val="center"/>
            </w:pPr>
          </w:p>
        </w:tc>
        <w:tc>
          <w:tcPr>
            <w:tcW w:w="1433" w:type="dxa"/>
          </w:tcPr>
          <w:p w14:paraId="1D520075" w14:textId="77777777" w:rsidR="008B4FB4" w:rsidRPr="008B4FB4" w:rsidRDefault="008B4FB4" w:rsidP="00D11B9C">
            <w:pPr>
              <w:jc w:val="center"/>
            </w:pPr>
          </w:p>
        </w:tc>
        <w:tc>
          <w:tcPr>
            <w:tcW w:w="698" w:type="dxa"/>
          </w:tcPr>
          <w:p w14:paraId="6DE83A2E" w14:textId="77777777" w:rsidR="008B4FB4" w:rsidRPr="008B4FB4" w:rsidRDefault="008B4FB4" w:rsidP="00D11B9C">
            <w:pPr>
              <w:jc w:val="center"/>
            </w:pPr>
          </w:p>
        </w:tc>
        <w:tc>
          <w:tcPr>
            <w:tcW w:w="1433" w:type="dxa"/>
          </w:tcPr>
          <w:p w14:paraId="010CE0F7" w14:textId="77777777" w:rsidR="008B4FB4" w:rsidRPr="008B4FB4" w:rsidRDefault="008B4FB4" w:rsidP="00D11B9C">
            <w:pPr>
              <w:jc w:val="center"/>
            </w:pPr>
          </w:p>
        </w:tc>
        <w:tc>
          <w:tcPr>
            <w:tcW w:w="698" w:type="dxa"/>
          </w:tcPr>
          <w:p w14:paraId="661F06B8" w14:textId="77777777" w:rsidR="008B4FB4" w:rsidRPr="008B4FB4" w:rsidRDefault="008B4FB4" w:rsidP="00D11B9C">
            <w:pPr>
              <w:jc w:val="center"/>
            </w:pPr>
          </w:p>
        </w:tc>
        <w:tc>
          <w:tcPr>
            <w:tcW w:w="1433" w:type="dxa"/>
          </w:tcPr>
          <w:p w14:paraId="4F51BA61" w14:textId="77777777" w:rsidR="008B4FB4" w:rsidRPr="008B4FB4" w:rsidRDefault="008B4FB4" w:rsidP="00D11B9C">
            <w:pPr>
              <w:jc w:val="center"/>
            </w:pPr>
          </w:p>
        </w:tc>
      </w:tr>
      <w:tr w:rsidR="008B4FB4" w:rsidRPr="008B4FB4" w14:paraId="00D5F4AF" w14:textId="77777777" w:rsidTr="00D11B9C">
        <w:trPr>
          <w:trHeight w:val="20"/>
        </w:trPr>
        <w:tc>
          <w:tcPr>
            <w:tcW w:w="1351" w:type="dxa"/>
          </w:tcPr>
          <w:p w14:paraId="67BBF73D" w14:textId="77777777" w:rsidR="008B4FB4" w:rsidRPr="008B4FB4" w:rsidRDefault="008B4FB4" w:rsidP="00D11B9C">
            <w:pPr>
              <w:jc w:val="both"/>
            </w:pPr>
            <w:r w:rsidRPr="008B4FB4">
              <w:rPr>
                <w:lang w:val="en"/>
              </w:rPr>
              <w:t>Constant</w:t>
            </w:r>
          </w:p>
        </w:tc>
        <w:tc>
          <w:tcPr>
            <w:tcW w:w="690" w:type="dxa"/>
          </w:tcPr>
          <w:p w14:paraId="3108C810" w14:textId="77777777" w:rsidR="008B4FB4" w:rsidRPr="008B4FB4" w:rsidRDefault="008B4FB4" w:rsidP="00D11B9C">
            <w:pPr>
              <w:jc w:val="center"/>
            </w:pPr>
            <w:r w:rsidRPr="008B4FB4">
              <w:rPr>
                <w:lang w:val="en"/>
              </w:rPr>
              <w:t>0.000</w:t>
            </w:r>
          </w:p>
        </w:tc>
        <w:tc>
          <w:tcPr>
            <w:tcW w:w="1465" w:type="dxa"/>
          </w:tcPr>
          <w:p w14:paraId="38EFCCAE" w14:textId="77777777" w:rsidR="008B4FB4" w:rsidRPr="008B4FB4" w:rsidRDefault="008B4FB4" w:rsidP="00D11B9C">
            <w:pPr>
              <w:jc w:val="center"/>
            </w:pPr>
            <w:r w:rsidRPr="008B4FB4">
              <w:rPr>
                <w:lang w:val="en"/>
              </w:rPr>
              <w:t>117.326</w:t>
            </w:r>
          </w:p>
        </w:tc>
        <w:tc>
          <w:tcPr>
            <w:tcW w:w="690" w:type="dxa"/>
          </w:tcPr>
          <w:p w14:paraId="628BF1E5" w14:textId="77777777" w:rsidR="008B4FB4" w:rsidRPr="008B4FB4" w:rsidRDefault="008B4FB4" w:rsidP="00D11B9C">
            <w:pPr>
              <w:jc w:val="center"/>
            </w:pPr>
            <w:r w:rsidRPr="008B4FB4">
              <w:rPr>
                <w:lang w:val="en"/>
              </w:rPr>
              <w:t>0.000</w:t>
            </w:r>
          </w:p>
        </w:tc>
        <w:tc>
          <w:tcPr>
            <w:tcW w:w="1433" w:type="dxa"/>
          </w:tcPr>
          <w:p w14:paraId="2DCBD15C" w14:textId="77777777" w:rsidR="008B4FB4" w:rsidRPr="008B4FB4" w:rsidRDefault="008B4FB4" w:rsidP="00D11B9C">
            <w:pPr>
              <w:jc w:val="center"/>
            </w:pPr>
            <w:r w:rsidRPr="008B4FB4">
              <w:rPr>
                <w:lang w:val="en"/>
              </w:rPr>
              <w:t>115.277</w:t>
            </w:r>
          </w:p>
        </w:tc>
        <w:tc>
          <w:tcPr>
            <w:tcW w:w="698" w:type="dxa"/>
          </w:tcPr>
          <w:p w14:paraId="7F2B70DD" w14:textId="77777777" w:rsidR="008B4FB4" w:rsidRPr="008B4FB4" w:rsidRDefault="008B4FB4" w:rsidP="00D11B9C">
            <w:pPr>
              <w:jc w:val="center"/>
            </w:pPr>
            <w:r w:rsidRPr="008B4FB4">
              <w:rPr>
                <w:lang w:val="en"/>
              </w:rPr>
              <w:t>0.000</w:t>
            </w:r>
          </w:p>
        </w:tc>
        <w:tc>
          <w:tcPr>
            <w:tcW w:w="1433" w:type="dxa"/>
          </w:tcPr>
          <w:p w14:paraId="4095C233" w14:textId="77777777" w:rsidR="008B4FB4" w:rsidRPr="008B4FB4" w:rsidRDefault="008B4FB4" w:rsidP="00D11B9C">
            <w:pPr>
              <w:jc w:val="center"/>
            </w:pPr>
            <w:r w:rsidRPr="008B4FB4">
              <w:rPr>
                <w:lang w:val="en"/>
              </w:rPr>
              <w:t>112.855</w:t>
            </w:r>
          </w:p>
        </w:tc>
        <w:tc>
          <w:tcPr>
            <w:tcW w:w="698" w:type="dxa"/>
          </w:tcPr>
          <w:p w14:paraId="4C47F85E" w14:textId="77777777" w:rsidR="008B4FB4" w:rsidRPr="008B4FB4" w:rsidRDefault="008B4FB4" w:rsidP="00D11B9C">
            <w:pPr>
              <w:jc w:val="center"/>
            </w:pPr>
            <w:r w:rsidRPr="008B4FB4">
              <w:rPr>
                <w:lang w:val="en"/>
              </w:rPr>
              <w:t>0.000</w:t>
            </w:r>
          </w:p>
        </w:tc>
        <w:tc>
          <w:tcPr>
            <w:tcW w:w="1433" w:type="dxa"/>
          </w:tcPr>
          <w:p w14:paraId="000FFFD3" w14:textId="77777777" w:rsidR="008B4FB4" w:rsidRPr="008B4FB4" w:rsidRDefault="008B4FB4" w:rsidP="00D11B9C">
            <w:pPr>
              <w:jc w:val="center"/>
            </w:pPr>
            <w:r w:rsidRPr="008B4FB4">
              <w:rPr>
                <w:lang w:val="en"/>
              </w:rPr>
              <w:t>90.648</w:t>
            </w:r>
          </w:p>
        </w:tc>
      </w:tr>
    </w:tbl>
    <w:p w14:paraId="2B188570" w14:textId="77777777" w:rsidR="008B4FB4" w:rsidRPr="008B4FB4" w:rsidRDefault="008B4FB4" w:rsidP="00301154">
      <w:pPr>
        <w:spacing w:line="276" w:lineRule="auto"/>
        <w:jc w:val="both"/>
        <w:rPr>
          <w:sz w:val="20"/>
        </w:rPr>
      </w:pPr>
      <w:r w:rsidRPr="008B4FB4">
        <w:rPr>
          <w:sz w:val="20"/>
          <w:lang w:val="en"/>
        </w:rPr>
        <w:t xml:space="preserve">Notes. Model 4: Hosmer and </w:t>
      </w:r>
      <w:proofErr w:type="spellStart"/>
      <w:r w:rsidRPr="008B4FB4">
        <w:rPr>
          <w:sz w:val="20"/>
          <w:lang w:val="en"/>
        </w:rPr>
        <w:t>Lemeshow</w:t>
      </w:r>
      <w:proofErr w:type="spellEnd"/>
      <w:r w:rsidRPr="008B4FB4">
        <w:rPr>
          <w:sz w:val="20"/>
          <w:lang w:val="en"/>
        </w:rPr>
        <w:t xml:space="preserve"> test: χ2 = 38,281, P = 0.000, </w:t>
      </w:r>
      <w:proofErr w:type="spellStart"/>
      <w:r w:rsidRPr="008B4FB4">
        <w:rPr>
          <w:sz w:val="20"/>
          <w:lang w:val="en"/>
        </w:rPr>
        <w:t>Nagelkerke</w:t>
      </w:r>
      <w:proofErr w:type="spellEnd"/>
      <w:r w:rsidRPr="008B4FB4">
        <w:rPr>
          <w:lang w:val="en"/>
        </w:rPr>
        <w:t xml:space="preserve"> </w:t>
      </w:r>
      <w:r w:rsidRPr="008B4FB4">
        <w:rPr>
          <w:sz w:val="20"/>
          <w:vertAlign w:val="superscript"/>
          <w:lang w:val="en"/>
        </w:rPr>
        <w:t>R2</w:t>
      </w:r>
      <w:r w:rsidRPr="008B4FB4">
        <w:rPr>
          <w:sz w:val="20"/>
          <w:lang w:val="en"/>
        </w:rPr>
        <w:t xml:space="preserve"> = 11%; </w:t>
      </w:r>
    </w:p>
    <w:p w14:paraId="66C3F318" w14:textId="77777777" w:rsidR="008B4FB4" w:rsidRPr="008B4FB4" w:rsidRDefault="008B4FB4" w:rsidP="00301154">
      <w:pPr>
        <w:spacing w:line="276" w:lineRule="auto"/>
        <w:jc w:val="both"/>
        <w:rPr>
          <w:szCs w:val="24"/>
        </w:rPr>
      </w:pPr>
      <w:r w:rsidRPr="008B4FB4">
        <w:rPr>
          <w:szCs w:val="24"/>
        </w:rPr>
        <w:tab/>
      </w:r>
    </w:p>
    <w:p w14:paraId="0651C0FB" w14:textId="77777777" w:rsidR="008B4FB4" w:rsidRPr="008B4FB4" w:rsidRDefault="008B4FB4" w:rsidP="002C0A60">
      <w:pPr>
        <w:spacing w:line="276" w:lineRule="auto"/>
        <w:ind w:firstLine="720"/>
        <w:jc w:val="both"/>
        <w:rPr>
          <w:szCs w:val="24"/>
        </w:rPr>
      </w:pPr>
      <w:r w:rsidRPr="008B4FB4">
        <w:rPr>
          <w:szCs w:val="24"/>
          <w:lang w:val="en"/>
        </w:rPr>
        <w:t>The results of the logistic</w:t>
      </w:r>
      <w:r w:rsidRPr="008B4FB4">
        <w:rPr>
          <w:lang w:val="en"/>
        </w:rPr>
        <w:t xml:space="preserve"> </w:t>
      </w:r>
      <w:r w:rsidRPr="008B4FB4">
        <w:rPr>
          <w:szCs w:val="24"/>
          <w:lang w:val="en"/>
        </w:rPr>
        <w:t>regression</w:t>
      </w:r>
      <w:r w:rsidRPr="008B4FB4">
        <w:rPr>
          <w:lang w:val="en"/>
        </w:rPr>
        <w:t xml:space="preserve"> test</w:t>
      </w:r>
      <w:r w:rsidRPr="008B4FB4">
        <w:rPr>
          <w:szCs w:val="24"/>
          <w:lang w:val="en"/>
        </w:rPr>
        <w:t xml:space="preserve"> in table 4 showed that diabetes</w:t>
      </w:r>
      <w:bookmarkStart w:id="2" w:name="_Hlk93980696"/>
      <w:r w:rsidRPr="008B4FB4">
        <w:rPr>
          <w:szCs w:val="24"/>
          <w:lang w:val="en"/>
        </w:rPr>
        <w:t xml:space="preserve"> mellitus and systolic blood pressure were the main factors for stroke with p-value, AOR, and (95% C.I) respectively</w:t>
      </w:r>
      <w:r w:rsidRPr="008B4FB4">
        <w:rPr>
          <w:lang w:val="en"/>
        </w:rPr>
        <w:t xml:space="preserve"> </w:t>
      </w:r>
      <w:r w:rsidRPr="008B4FB4">
        <w:rPr>
          <w:szCs w:val="24"/>
          <w:lang w:val="en"/>
        </w:rPr>
        <w:t>at 0.000, 0.222. (0.122-0.405)</w:t>
      </w:r>
      <w:r w:rsidRPr="008B4FB4">
        <w:rPr>
          <w:lang w:val="en"/>
        </w:rPr>
        <w:t>,</w:t>
      </w:r>
      <w:r w:rsidRPr="008B4FB4">
        <w:rPr>
          <w:szCs w:val="24"/>
          <w:lang w:val="en"/>
        </w:rPr>
        <w:t xml:space="preserve"> 0.003, 0.291 (0.128-0.662).</w:t>
      </w:r>
    </w:p>
    <w:bookmarkEnd w:id="2"/>
    <w:p w14:paraId="096507D2" w14:textId="77777777" w:rsidR="008B4FB4" w:rsidRPr="008B4FB4" w:rsidRDefault="008B4FB4" w:rsidP="002C0A60">
      <w:pPr>
        <w:spacing w:line="276" w:lineRule="auto"/>
        <w:ind w:firstLine="720"/>
        <w:jc w:val="both"/>
        <w:rPr>
          <w:szCs w:val="24"/>
        </w:rPr>
      </w:pPr>
    </w:p>
    <w:p w14:paraId="03E9C455" w14:textId="77777777" w:rsidR="008B4FB4" w:rsidRPr="008B4FB4" w:rsidRDefault="008B4FB4" w:rsidP="00301154">
      <w:pPr>
        <w:spacing w:line="276" w:lineRule="auto"/>
        <w:jc w:val="both"/>
        <w:rPr>
          <w:b/>
          <w:bCs/>
        </w:rPr>
      </w:pPr>
      <w:r w:rsidRPr="008B4FB4">
        <w:rPr>
          <w:b/>
          <w:bCs/>
          <w:lang w:val="en"/>
        </w:rPr>
        <w:t>Table 4.</w:t>
      </w:r>
      <w:r w:rsidRPr="008B4FB4">
        <w:rPr>
          <w:lang w:val="en"/>
        </w:rPr>
        <w:t xml:space="preserve"> </w:t>
      </w:r>
      <w:r w:rsidRPr="008B4FB4">
        <w:rPr>
          <w:b/>
          <w:bCs/>
          <w:lang w:val="en"/>
        </w:rPr>
        <w:t>Differences in Biomarkers of Metabolic</w:t>
      </w:r>
      <w:r w:rsidRPr="008B4FB4">
        <w:rPr>
          <w:lang w:val="en"/>
        </w:rPr>
        <w:t xml:space="preserve"> </w:t>
      </w:r>
      <w:r w:rsidRPr="008B4FB4">
        <w:rPr>
          <w:b/>
          <w:bCs/>
          <w:lang w:val="en"/>
        </w:rPr>
        <w:t>Syndrome a year before being diagnosed with stroke</w:t>
      </w:r>
    </w:p>
    <w:tbl>
      <w:tblPr>
        <w:tblW w:w="9854" w:type="dxa"/>
        <w:tblBorders>
          <w:top w:val="single" w:sz="4" w:space="0" w:color="auto"/>
          <w:bottom w:val="single" w:sz="4" w:space="0" w:color="auto"/>
          <w:insideH w:val="single" w:sz="4" w:space="0" w:color="auto"/>
        </w:tblBorders>
        <w:tblLook w:val="04A0" w:firstRow="1" w:lastRow="0" w:firstColumn="1" w:lastColumn="0" w:noHBand="0" w:noVBand="1"/>
      </w:tblPr>
      <w:tblGrid>
        <w:gridCol w:w="4504"/>
        <w:gridCol w:w="1819"/>
        <w:gridCol w:w="1936"/>
        <w:gridCol w:w="1595"/>
      </w:tblGrid>
      <w:tr w:rsidR="008B4FB4" w:rsidRPr="008B4FB4" w14:paraId="160E8F1A" w14:textId="77777777" w:rsidTr="00960F01">
        <w:trPr>
          <w:trHeight w:val="20"/>
        </w:trPr>
        <w:tc>
          <w:tcPr>
            <w:tcW w:w="4504" w:type="dxa"/>
            <w:shd w:val="clear" w:color="auto" w:fill="auto"/>
            <w:noWrap/>
            <w:vAlign w:val="center"/>
            <w:hideMark/>
          </w:tcPr>
          <w:p w14:paraId="3A1D9778" w14:textId="77777777" w:rsidR="008B4FB4" w:rsidRPr="008B4FB4" w:rsidRDefault="008B4FB4" w:rsidP="005E6CC7">
            <w:pPr>
              <w:jc w:val="center"/>
              <w:rPr>
                <w:b/>
                <w:bCs/>
              </w:rPr>
            </w:pPr>
            <w:r w:rsidRPr="008B4FB4">
              <w:rPr>
                <w:b/>
                <w:bCs/>
                <w:lang w:val="en"/>
              </w:rPr>
              <w:t>Biomarkers of Metabolic Syndrome</w:t>
            </w:r>
          </w:p>
        </w:tc>
        <w:tc>
          <w:tcPr>
            <w:tcW w:w="1819" w:type="dxa"/>
            <w:shd w:val="clear" w:color="auto" w:fill="auto"/>
            <w:noWrap/>
            <w:vAlign w:val="center"/>
            <w:hideMark/>
          </w:tcPr>
          <w:p w14:paraId="1C489EFA" w14:textId="77777777" w:rsidR="008B4FB4" w:rsidRPr="008B4FB4" w:rsidRDefault="008B4FB4" w:rsidP="005E6CC7">
            <w:pPr>
              <w:jc w:val="center"/>
              <w:rPr>
                <w:b/>
                <w:bCs/>
              </w:rPr>
            </w:pPr>
            <w:r w:rsidRPr="008B4FB4">
              <w:rPr>
                <w:b/>
                <w:bCs/>
                <w:lang w:val="en"/>
              </w:rPr>
              <w:t>2017</w:t>
            </w:r>
          </w:p>
          <w:p w14:paraId="2907A221" w14:textId="77777777" w:rsidR="008B4FB4" w:rsidRPr="008B4FB4" w:rsidRDefault="008B4FB4" w:rsidP="005E6CC7">
            <w:pPr>
              <w:jc w:val="center"/>
            </w:pPr>
            <w:r w:rsidRPr="008B4FB4">
              <w:rPr>
                <w:lang w:val="en"/>
              </w:rPr>
              <w:t>Mean; ± SD</w:t>
            </w:r>
          </w:p>
        </w:tc>
        <w:tc>
          <w:tcPr>
            <w:tcW w:w="1936" w:type="dxa"/>
            <w:shd w:val="clear" w:color="auto" w:fill="auto"/>
            <w:noWrap/>
            <w:vAlign w:val="center"/>
            <w:hideMark/>
          </w:tcPr>
          <w:p w14:paraId="24E3A681" w14:textId="77777777" w:rsidR="008B4FB4" w:rsidRPr="008B4FB4" w:rsidRDefault="008B4FB4" w:rsidP="005E6CC7">
            <w:pPr>
              <w:jc w:val="center"/>
              <w:rPr>
                <w:b/>
                <w:bCs/>
              </w:rPr>
            </w:pPr>
            <w:r w:rsidRPr="008B4FB4">
              <w:rPr>
                <w:b/>
                <w:bCs/>
                <w:lang w:val="en"/>
              </w:rPr>
              <w:t>2018</w:t>
            </w:r>
          </w:p>
          <w:p w14:paraId="4C776686" w14:textId="77777777" w:rsidR="008B4FB4" w:rsidRPr="008B4FB4" w:rsidRDefault="008B4FB4" w:rsidP="005E6CC7">
            <w:pPr>
              <w:jc w:val="center"/>
            </w:pPr>
            <w:r w:rsidRPr="008B4FB4">
              <w:rPr>
                <w:lang w:val="en"/>
              </w:rPr>
              <w:t>Mean; ± SD</w:t>
            </w:r>
          </w:p>
          <w:p w14:paraId="1BA4FD58" w14:textId="77777777" w:rsidR="008B4FB4" w:rsidRPr="008B4FB4" w:rsidRDefault="008B4FB4" w:rsidP="005E6CC7">
            <w:pPr>
              <w:jc w:val="center"/>
              <w:rPr>
                <w:b/>
                <w:bCs/>
              </w:rPr>
            </w:pPr>
          </w:p>
        </w:tc>
        <w:tc>
          <w:tcPr>
            <w:tcW w:w="1595" w:type="dxa"/>
            <w:shd w:val="clear" w:color="auto" w:fill="auto"/>
            <w:noWrap/>
            <w:vAlign w:val="center"/>
            <w:hideMark/>
          </w:tcPr>
          <w:p w14:paraId="2397EA91" w14:textId="77777777" w:rsidR="008B4FB4" w:rsidRPr="008B4FB4" w:rsidRDefault="008B4FB4" w:rsidP="005E6CC7">
            <w:pPr>
              <w:jc w:val="center"/>
              <w:rPr>
                <w:b/>
                <w:bCs/>
              </w:rPr>
            </w:pPr>
            <w:r w:rsidRPr="008B4FB4">
              <w:rPr>
                <w:b/>
                <w:bCs/>
                <w:lang w:val="en"/>
              </w:rPr>
              <w:t>Z; p-value</w:t>
            </w:r>
          </w:p>
        </w:tc>
      </w:tr>
      <w:tr w:rsidR="008B4FB4" w:rsidRPr="008B4FB4" w14:paraId="51925D78" w14:textId="77777777" w:rsidTr="00960F01">
        <w:trPr>
          <w:trHeight w:val="20"/>
        </w:trPr>
        <w:tc>
          <w:tcPr>
            <w:tcW w:w="4504" w:type="dxa"/>
            <w:shd w:val="clear" w:color="auto" w:fill="auto"/>
            <w:noWrap/>
            <w:vAlign w:val="bottom"/>
            <w:hideMark/>
          </w:tcPr>
          <w:p w14:paraId="4794846E" w14:textId="77777777" w:rsidR="008B4FB4" w:rsidRPr="008B4FB4" w:rsidRDefault="008B4FB4" w:rsidP="005E6CC7">
            <w:pPr>
              <w:rPr>
                <w:color w:val="000000"/>
              </w:rPr>
            </w:pPr>
            <w:r w:rsidRPr="008B4FB4">
              <w:rPr>
                <w:color w:val="000000"/>
                <w:lang w:val="en"/>
              </w:rPr>
              <w:t xml:space="preserve">Fasting blood sugar levels (mg/dL) </w:t>
            </w:r>
          </w:p>
        </w:tc>
        <w:tc>
          <w:tcPr>
            <w:tcW w:w="1819" w:type="dxa"/>
            <w:shd w:val="clear" w:color="auto" w:fill="auto"/>
            <w:noWrap/>
            <w:hideMark/>
          </w:tcPr>
          <w:p w14:paraId="27A93B57" w14:textId="77777777" w:rsidR="008B4FB4" w:rsidRPr="008B4FB4" w:rsidRDefault="008B4FB4" w:rsidP="006E574E">
            <w:pPr>
              <w:jc w:val="center"/>
            </w:pPr>
            <w:r w:rsidRPr="008B4FB4">
              <w:rPr>
                <w:lang w:val="en"/>
              </w:rPr>
              <w:t xml:space="preserve">101.13; ± </w:t>
            </w:r>
            <w:r w:rsidRPr="008B4FB4">
              <w:rPr>
                <w:color w:val="000000"/>
                <w:lang w:val="en"/>
              </w:rPr>
              <w:t>10:70 p.m.</w:t>
            </w:r>
          </w:p>
        </w:tc>
        <w:tc>
          <w:tcPr>
            <w:tcW w:w="1936" w:type="dxa"/>
            <w:shd w:val="clear" w:color="auto" w:fill="auto"/>
            <w:noWrap/>
            <w:hideMark/>
          </w:tcPr>
          <w:p w14:paraId="2256481B" w14:textId="77777777" w:rsidR="008B4FB4" w:rsidRPr="008B4FB4" w:rsidRDefault="008B4FB4" w:rsidP="00AB7FED">
            <w:pPr>
              <w:jc w:val="center"/>
            </w:pPr>
            <w:r w:rsidRPr="008B4FB4">
              <w:rPr>
                <w:lang w:val="en"/>
              </w:rPr>
              <w:t>129.08; ±</w:t>
            </w:r>
            <w:r w:rsidRPr="008B4FB4">
              <w:rPr>
                <w:color w:val="000000"/>
                <w:lang w:val="en"/>
              </w:rPr>
              <w:t xml:space="preserve"> 68.52</w:t>
            </w:r>
          </w:p>
        </w:tc>
        <w:tc>
          <w:tcPr>
            <w:tcW w:w="1595" w:type="dxa"/>
            <w:shd w:val="clear" w:color="auto" w:fill="auto"/>
            <w:noWrap/>
            <w:hideMark/>
          </w:tcPr>
          <w:p w14:paraId="631902EE" w14:textId="77777777" w:rsidR="008B4FB4" w:rsidRPr="008B4FB4" w:rsidRDefault="008B4FB4" w:rsidP="005E6CC7">
            <w:pPr>
              <w:jc w:val="center"/>
            </w:pPr>
            <w:r w:rsidRPr="008B4FB4">
              <w:rPr>
                <w:lang w:val="en"/>
              </w:rPr>
              <w:t>-2,163; 0.031</w:t>
            </w:r>
          </w:p>
        </w:tc>
      </w:tr>
      <w:tr w:rsidR="008B4FB4" w:rsidRPr="008B4FB4" w14:paraId="41495143" w14:textId="77777777" w:rsidTr="00960F01">
        <w:trPr>
          <w:trHeight w:val="20"/>
        </w:trPr>
        <w:tc>
          <w:tcPr>
            <w:tcW w:w="4504" w:type="dxa"/>
            <w:shd w:val="clear" w:color="auto" w:fill="auto"/>
            <w:noWrap/>
            <w:vAlign w:val="bottom"/>
            <w:hideMark/>
          </w:tcPr>
          <w:p w14:paraId="7718ABD8" w14:textId="77777777" w:rsidR="008B4FB4" w:rsidRPr="008B4FB4" w:rsidRDefault="008B4FB4" w:rsidP="005E6CC7">
            <w:pPr>
              <w:rPr>
                <w:color w:val="000000"/>
              </w:rPr>
            </w:pPr>
            <w:r w:rsidRPr="008B4FB4">
              <w:rPr>
                <w:color w:val="000000"/>
                <w:lang w:val="en"/>
              </w:rPr>
              <w:t>Post-loading blood sugar levels (mg/dL)</w:t>
            </w:r>
          </w:p>
        </w:tc>
        <w:tc>
          <w:tcPr>
            <w:tcW w:w="1819" w:type="dxa"/>
            <w:shd w:val="clear" w:color="auto" w:fill="auto"/>
            <w:noWrap/>
            <w:hideMark/>
          </w:tcPr>
          <w:p w14:paraId="088562DA" w14:textId="77777777" w:rsidR="008B4FB4" w:rsidRPr="008B4FB4" w:rsidRDefault="008B4FB4" w:rsidP="006E574E">
            <w:pPr>
              <w:jc w:val="center"/>
              <w:rPr>
                <w:color w:val="000000"/>
              </w:rPr>
            </w:pPr>
            <w:r w:rsidRPr="008B4FB4">
              <w:rPr>
                <w:lang w:val="en"/>
              </w:rPr>
              <w:t>146.69; ±</w:t>
            </w:r>
            <w:r w:rsidRPr="008B4FB4">
              <w:rPr>
                <w:color w:val="000000"/>
                <w:lang w:val="en"/>
              </w:rPr>
              <w:t xml:space="preserve"> 67.98</w:t>
            </w:r>
          </w:p>
        </w:tc>
        <w:tc>
          <w:tcPr>
            <w:tcW w:w="1936" w:type="dxa"/>
            <w:shd w:val="clear" w:color="auto" w:fill="auto"/>
            <w:noWrap/>
            <w:hideMark/>
          </w:tcPr>
          <w:p w14:paraId="002DEF89" w14:textId="77777777" w:rsidR="008B4FB4" w:rsidRPr="008B4FB4" w:rsidRDefault="008B4FB4" w:rsidP="00AB7FED">
            <w:pPr>
              <w:jc w:val="center"/>
            </w:pPr>
            <w:r w:rsidRPr="008B4FB4">
              <w:rPr>
                <w:lang w:val="en"/>
              </w:rPr>
              <w:t>183.08; ±</w:t>
            </w:r>
            <w:r w:rsidRPr="008B4FB4">
              <w:rPr>
                <w:color w:val="000000"/>
                <w:lang w:val="en"/>
              </w:rPr>
              <w:t xml:space="preserve"> 110.17</w:t>
            </w:r>
          </w:p>
        </w:tc>
        <w:tc>
          <w:tcPr>
            <w:tcW w:w="1595" w:type="dxa"/>
            <w:shd w:val="clear" w:color="auto" w:fill="auto"/>
            <w:noWrap/>
            <w:hideMark/>
          </w:tcPr>
          <w:p w14:paraId="7D4AFFEE" w14:textId="77777777" w:rsidR="008B4FB4" w:rsidRPr="008B4FB4" w:rsidRDefault="008B4FB4" w:rsidP="005E6CC7">
            <w:pPr>
              <w:jc w:val="center"/>
            </w:pPr>
            <w:r w:rsidRPr="008B4FB4">
              <w:rPr>
                <w:lang w:val="en"/>
              </w:rPr>
              <w:t>-1.07; 0.285</w:t>
            </w:r>
          </w:p>
        </w:tc>
      </w:tr>
      <w:tr w:rsidR="008B4FB4" w:rsidRPr="008B4FB4" w14:paraId="293C9D1D" w14:textId="77777777" w:rsidTr="00960F01">
        <w:trPr>
          <w:trHeight w:val="20"/>
        </w:trPr>
        <w:tc>
          <w:tcPr>
            <w:tcW w:w="4504" w:type="dxa"/>
            <w:shd w:val="clear" w:color="auto" w:fill="auto"/>
            <w:noWrap/>
            <w:vAlign w:val="bottom"/>
            <w:hideMark/>
          </w:tcPr>
          <w:p w14:paraId="34BF4CAF" w14:textId="77777777" w:rsidR="008B4FB4" w:rsidRPr="008B4FB4" w:rsidRDefault="008B4FB4" w:rsidP="005E6CC7">
            <w:pPr>
              <w:rPr>
                <w:color w:val="000000"/>
              </w:rPr>
            </w:pPr>
            <w:r w:rsidRPr="008B4FB4">
              <w:rPr>
                <w:color w:val="000000"/>
                <w:lang w:val="en"/>
              </w:rPr>
              <w:t>Total Cholesterol Levels (mg/dL)</w:t>
            </w:r>
          </w:p>
        </w:tc>
        <w:tc>
          <w:tcPr>
            <w:tcW w:w="1819" w:type="dxa"/>
            <w:shd w:val="clear" w:color="auto" w:fill="auto"/>
            <w:noWrap/>
            <w:hideMark/>
          </w:tcPr>
          <w:p w14:paraId="29EDAB25" w14:textId="77777777" w:rsidR="008B4FB4" w:rsidRPr="008B4FB4" w:rsidRDefault="008B4FB4" w:rsidP="006E574E">
            <w:pPr>
              <w:jc w:val="center"/>
              <w:rPr>
                <w:color w:val="000000"/>
              </w:rPr>
            </w:pPr>
            <w:r w:rsidRPr="008B4FB4">
              <w:rPr>
                <w:lang w:val="en"/>
              </w:rPr>
              <w:t>211.77; ±</w:t>
            </w:r>
            <w:r w:rsidRPr="008B4FB4">
              <w:rPr>
                <w:color w:val="000000"/>
                <w:lang w:val="en"/>
              </w:rPr>
              <w:t xml:space="preserve"> 37.22</w:t>
            </w:r>
          </w:p>
        </w:tc>
        <w:tc>
          <w:tcPr>
            <w:tcW w:w="1936" w:type="dxa"/>
            <w:shd w:val="clear" w:color="auto" w:fill="auto"/>
            <w:noWrap/>
            <w:hideMark/>
          </w:tcPr>
          <w:p w14:paraId="1DCB6E8E" w14:textId="77777777" w:rsidR="008B4FB4" w:rsidRPr="008B4FB4" w:rsidRDefault="008B4FB4" w:rsidP="00AB7FED">
            <w:pPr>
              <w:jc w:val="center"/>
            </w:pPr>
            <w:r w:rsidRPr="008B4FB4">
              <w:rPr>
                <w:lang w:val="en"/>
              </w:rPr>
              <w:t>216.88; ±</w:t>
            </w:r>
            <w:r w:rsidRPr="008B4FB4">
              <w:rPr>
                <w:color w:val="000000"/>
                <w:lang w:val="en"/>
              </w:rPr>
              <w:t xml:space="preserve"> 40.02</w:t>
            </w:r>
          </w:p>
        </w:tc>
        <w:tc>
          <w:tcPr>
            <w:tcW w:w="1595" w:type="dxa"/>
            <w:shd w:val="clear" w:color="auto" w:fill="auto"/>
            <w:noWrap/>
            <w:hideMark/>
          </w:tcPr>
          <w:p w14:paraId="205CF556" w14:textId="77777777" w:rsidR="008B4FB4" w:rsidRPr="008B4FB4" w:rsidRDefault="008B4FB4" w:rsidP="005E6CC7">
            <w:pPr>
              <w:jc w:val="center"/>
            </w:pPr>
            <w:r w:rsidRPr="008B4FB4">
              <w:rPr>
                <w:lang w:val="en"/>
              </w:rPr>
              <w:t>-0.612; 0.541</w:t>
            </w:r>
          </w:p>
        </w:tc>
      </w:tr>
      <w:tr w:rsidR="008B4FB4" w:rsidRPr="008B4FB4" w14:paraId="3DB25B9D" w14:textId="77777777" w:rsidTr="00960F01">
        <w:trPr>
          <w:trHeight w:val="20"/>
        </w:trPr>
        <w:tc>
          <w:tcPr>
            <w:tcW w:w="4504" w:type="dxa"/>
            <w:shd w:val="clear" w:color="auto" w:fill="auto"/>
            <w:noWrap/>
            <w:vAlign w:val="bottom"/>
            <w:hideMark/>
          </w:tcPr>
          <w:p w14:paraId="15643635" w14:textId="77777777" w:rsidR="008B4FB4" w:rsidRPr="008B4FB4" w:rsidRDefault="008B4FB4" w:rsidP="005E6CC7">
            <w:pPr>
              <w:rPr>
                <w:color w:val="000000"/>
              </w:rPr>
            </w:pPr>
            <w:r w:rsidRPr="008B4FB4">
              <w:rPr>
                <w:color w:val="000000"/>
                <w:lang w:val="en"/>
              </w:rPr>
              <w:t>Triglyceride Levels (mg/dL)</w:t>
            </w:r>
          </w:p>
        </w:tc>
        <w:tc>
          <w:tcPr>
            <w:tcW w:w="1819" w:type="dxa"/>
            <w:shd w:val="clear" w:color="auto" w:fill="auto"/>
            <w:noWrap/>
            <w:hideMark/>
          </w:tcPr>
          <w:p w14:paraId="40804C78" w14:textId="77777777" w:rsidR="008B4FB4" w:rsidRPr="008B4FB4" w:rsidRDefault="008B4FB4" w:rsidP="006E574E">
            <w:pPr>
              <w:jc w:val="center"/>
              <w:rPr>
                <w:color w:val="000000"/>
              </w:rPr>
            </w:pPr>
            <w:r w:rsidRPr="008B4FB4">
              <w:rPr>
                <w:lang w:val="en"/>
              </w:rPr>
              <w:t>119.02; ±</w:t>
            </w:r>
            <w:r w:rsidRPr="008B4FB4">
              <w:rPr>
                <w:color w:val="000000"/>
                <w:lang w:val="en"/>
              </w:rPr>
              <w:t xml:space="preserve"> 61.25</w:t>
            </w:r>
          </w:p>
        </w:tc>
        <w:tc>
          <w:tcPr>
            <w:tcW w:w="1936" w:type="dxa"/>
            <w:shd w:val="clear" w:color="auto" w:fill="auto"/>
            <w:noWrap/>
            <w:hideMark/>
          </w:tcPr>
          <w:p w14:paraId="150280CC" w14:textId="77777777" w:rsidR="008B4FB4" w:rsidRPr="008B4FB4" w:rsidRDefault="008B4FB4" w:rsidP="00AB7FED">
            <w:pPr>
              <w:jc w:val="center"/>
            </w:pPr>
            <w:r w:rsidRPr="008B4FB4">
              <w:rPr>
                <w:lang w:val="en"/>
              </w:rPr>
              <w:t>159.21; ±</w:t>
            </w:r>
            <w:r w:rsidRPr="008B4FB4">
              <w:rPr>
                <w:color w:val="000000"/>
                <w:lang w:val="en"/>
              </w:rPr>
              <w:t xml:space="preserve"> 106.14</w:t>
            </w:r>
          </w:p>
        </w:tc>
        <w:tc>
          <w:tcPr>
            <w:tcW w:w="1595" w:type="dxa"/>
            <w:shd w:val="clear" w:color="auto" w:fill="auto"/>
            <w:noWrap/>
            <w:hideMark/>
          </w:tcPr>
          <w:p w14:paraId="1C13C67D" w14:textId="77777777" w:rsidR="008B4FB4" w:rsidRPr="008B4FB4" w:rsidRDefault="008B4FB4" w:rsidP="005E6CC7">
            <w:pPr>
              <w:jc w:val="center"/>
            </w:pPr>
            <w:r w:rsidRPr="008B4FB4">
              <w:rPr>
                <w:lang w:val="en"/>
              </w:rPr>
              <w:t>-1.8; 0.058</w:t>
            </w:r>
          </w:p>
        </w:tc>
      </w:tr>
      <w:tr w:rsidR="008B4FB4" w:rsidRPr="008B4FB4" w14:paraId="6E3235BF" w14:textId="77777777" w:rsidTr="00960F01">
        <w:trPr>
          <w:trHeight w:val="20"/>
        </w:trPr>
        <w:tc>
          <w:tcPr>
            <w:tcW w:w="4504" w:type="dxa"/>
            <w:shd w:val="clear" w:color="auto" w:fill="auto"/>
            <w:noWrap/>
            <w:vAlign w:val="bottom"/>
            <w:hideMark/>
          </w:tcPr>
          <w:p w14:paraId="7E716455" w14:textId="77777777" w:rsidR="008B4FB4" w:rsidRPr="008B4FB4" w:rsidRDefault="008B4FB4" w:rsidP="005E6CC7">
            <w:pPr>
              <w:rPr>
                <w:color w:val="000000"/>
              </w:rPr>
            </w:pPr>
            <w:r w:rsidRPr="008B4FB4">
              <w:rPr>
                <w:color w:val="000000"/>
                <w:lang w:val="en"/>
              </w:rPr>
              <w:t>LDL (mg/dL)</w:t>
            </w:r>
          </w:p>
        </w:tc>
        <w:tc>
          <w:tcPr>
            <w:tcW w:w="1819" w:type="dxa"/>
            <w:shd w:val="clear" w:color="auto" w:fill="auto"/>
            <w:noWrap/>
            <w:hideMark/>
          </w:tcPr>
          <w:p w14:paraId="5F2309F6" w14:textId="77777777" w:rsidR="008B4FB4" w:rsidRPr="008B4FB4" w:rsidRDefault="008B4FB4" w:rsidP="006E574E">
            <w:pPr>
              <w:jc w:val="center"/>
              <w:rPr>
                <w:color w:val="000000"/>
              </w:rPr>
            </w:pPr>
            <w:r w:rsidRPr="008B4FB4">
              <w:rPr>
                <w:lang w:val="en"/>
              </w:rPr>
              <w:t>142.67; ±</w:t>
            </w:r>
            <w:r w:rsidRPr="008B4FB4">
              <w:rPr>
                <w:color w:val="000000"/>
                <w:lang w:val="en"/>
              </w:rPr>
              <w:t xml:space="preserve"> 32.74</w:t>
            </w:r>
          </w:p>
        </w:tc>
        <w:tc>
          <w:tcPr>
            <w:tcW w:w="1936" w:type="dxa"/>
            <w:shd w:val="clear" w:color="auto" w:fill="auto"/>
            <w:noWrap/>
            <w:hideMark/>
          </w:tcPr>
          <w:p w14:paraId="5E421096" w14:textId="77777777" w:rsidR="008B4FB4" w:rsidRPr="008B4FB4" w:rsidRDefault="008B4FB4" w:rsidP="00AB7FED">
            <w:pPr>
              <w:jc w:val="center"/>
            </w:pPr>
            <w:r w:rsidRPr="008B4FB4">
              <w:rPr>
                <w:lang w:val="en"/>
              </w:rPr>
              <w:t>138.58; ±</w:t>
            </w:r>
            <w:r w:rsidRPr="008B4FB4">
              <w:rPr>
                <w:color w:val="000000"/>
                <w:lang w:val="en"/>
              </w:rPr>
              <w:t xml:space="preserve"> 35.64</w:t>
            </w:r>
          </w:p>
        </w:tc>
        <w:tc>
          <w:tcPr>
            <w:tcW w:w="1595" w:type="dxa"/>
            <w:shd w:val="clear" w:color="auto" w:fill="auto"/>
            <w:noWrap/>
            <w:hideMark/>
          </w:tcPr>
          <w:p w14:paraId="27832BC0" w14:textId="77777777" w:rsidR="008B4FB4" w:rsidRPr="008B4FB4" w:rsidRDefault="008B4FB4" w:rsidP="005E6CC7">
            <w:pPr>
              <w:jc w:val="center"/>
            </w:pPr>
            <w:r w:rsidRPr="008B4FB4">
              <w:rPr>
                <w:lang w:val="en"/>
              </w:rPr>
              <w:t>-0.608; 0.543</w:t>
            </w:r>
          </w:p>
        </w:tc>
      </w:tr>
      <w:tr w:rsidR="008B4FB4" w:rsidRPr="008B4FB4" w14:paraId="4A55F3D6" w14:textId="77777777" w:rsidTr="00960F01">
        <w:trPr>
          <w:trHeight w:val="20"/>
        </w:trPr>
        <w:tc>
          <w:tcPr>
            <w:tcW w:w="4504" w:type="dxa"/>
            <w:shd w:val="clear" w:color="auto" w:fill="auto"/>
            <w:noWrap/>
            <w:vAlign w:val="bottom"/>
            <w:hideMark/>
          </w:tcPr>
          <w:p w14:paraId="1744C7CA" w14:textId="77777777" w:rsidR="008B4FB4" w:rsidRPr="008B4FB4" w:rsidRDefault="008B4FB4" w:rsidP="005E6CC7">
            <w:pPr>
              <w:rPr>
                <w:color w:val="000000"/>
              </w:rPr>
            </w:pPr>
            <w:r w:rsidRPr="008B4FB4">
              <w:rPr>
                <w:color w:val="000000"/>
                <w:lang w:val="en"/>
              </w:rPr>
              <w:t>HDL (mg/dL)</w:t>
            </w:r>
          </w:p>
        </w:tc>
        <w:tc>
          <w:tcPr>
            <w:tcW w:w="1819" w:type="dxa"/>
            <w:shd w:val="clear" w:color="auto" w:fill="auto"/>
            <w:noWrap/>
            <w:hideMark/>
          </w:tcPr>
          <w:p w14:paraId="44B15D56" w14:textId="77777777" w:rsidR="008B4FB4" w:rsidRPr="008B4FB4" w:rsidRDefault="008B4FB4" w:rsidP="006E574E">
            <w:pPr>
              <w:jc w:val="center"/>
              <w:rPr>
                <w:color w:val="000000"/>
              </w:rPr>
            </w:pPr>
            <w:r w:rsidRPr="008B4FB4">
              <w:rPr>
                <w:lang w:val="en"/>
              </w:rPr>
              <w:t>49.19; ±</w:t>
            </w:r>
            <w:r w:rsidRPr="008B4FB4">
              <w:rPr>
                <w:color w:val="000000"/>
                <w:lang w:val="en"/>
              </w:rPr>
              <w:t xml:space="preserve"> 11.95</w:t>
            </w:r>
          </w:p>
        </w:tc>
        <w:tc>
          <w:tcPr>
            <w:tcW w:w="1936" w:type="dxa"/>
            <w:shd w:val="clear" w:color="auto" w:fill="auto"/>
            <w:noWrap/>
            <w:hideMark/>
          </w:tcPr>
          <w:p w14:paraId="6356749F" w14:textId="77777777" w:rsidR="008B4FB4" w:rsidRPr="008B4FB4" w:rsidRDefault="008B4FB4" w:rsidP="00AB7FED">
            <w:pPr>
              <w:jc w:val="center"/>
            </w:pPr>
            <w:r w:rsidRPr="008B4FB4">
              <w:rPr>
                <w:lang w:val="en"/>
              </w:rPr>
              <w:t>49.83; ±</w:t>
            </w:r>
            <w:r w:rsidRPr="008B4FB4">
              <w:rPr>
                <w:color w:val="000000"/>
                <w:lang w:val="en"/>
              </w:rPr>
              <w:t xml:space="preserve"> 11:00</w:t>
            </w:r>
          </w:p>
        </w:tc>
        <w:tc>
          <w:tcPr>
            <w:tcW w:w="1595" w:type="dxa"/>
            <w:shd w:val="clear" w:color="auto" w:fill="auto"/>
            <w:noWrap/>
            <w:hideMark/>
          </w:tcPr>
          <w:p w14:paraId="06C4E370" w14:textId="77777777" w:rsidR="008B4FB4" w:rsidRPr="008B4FB4" w:rsidRDefault="008B4FB4" w:rsidP="005E6CC7">
            <w:pPr>
              <w:jc w:val="center"/>
            </w:pPr>
            <w:r w:rsidRPr="008B4FB4">
              <w:rPr>
                <w:lang w:val="en"/>
              </w:rPr>
              <w:t>-0.458; 0.647</w:t>
            </w:r>
          </w:p>
        </w:tc>
      </w:tr>
      <w:tr w:rsidR="008B4FB4" w:rsidRPr="008B4FB4" w14:paraId="49A5450C" w14:textId="77777777" w:rsidTr="00960F01">
        <w:trPr>
          <w:trHeight w:val="20"/>
        </w:trPr>
        <w:tc>
          <w:tcPr>
            <w:tcW w:w="4504" w:type="dxa"/>
            <w:shd w:val="clear" w:color="auto" w:fill="auto"/>
            <w:noWrap/>
            <w:vAlign w:val="bottom"/>
            <w:hideMark/>
          </w:tcPr>
          <w:p w14:paraId="5E7842C4" w14:textId="77777777" w:rsidR="008B4FB4" w:rsidRPr="008B4FB4" w:rsidRDefault="008B4FB4" w:rsidP="005E6CC7">
            <w:pPr>
              <w:rPr>
                <w:color w:val="000000"/>
              </w:rPr>
            </w:pPr>
            <w:r w:rsidRPr="008B4FB4">
              <w:rPr>
                <w:color w:val="000000"/>
                <w:lang w:val="en"/>
              </w:rPr>
              <w:t xml:space="preserve">Systolic Blood Pressure (mmHg) </w:t>
            </w:r>
          </w:p>
        </w:tc>
        <w:tc>
          <w:tcPr>
            <w:tcW w:w="1819" w:type="dxa"/>
            <w:shd w:val="clear" w:color="auto" w:fill="auto"/>
            <w:noWrap/>
            <w:hideMark/>
          </w:tcPr>
          <w:p w14:paraId="46A633DE" w14:textId="77777777" w:rsidR="008B4FB4" w:rsidRPr="008B4FB4" w:rsidRDefault="008B4FB4" w:rsidP="006E574E">
            <w:pPr>
              <w:jc w:val="center"/>
              <w:rPr>
                <w:color w:val="000000"/>
              </w:rPr>
            </w:pPr>
            <w:r w:rsidRPr="008B4FB4">
              <w:rPr>
                <w:lang w:val="en"/>
              </w:rPr>
              <w:t>157.31; ±</w:t>
            </w:r>
            <w:r w:rsidRPr="008B4FB4">
              <w:rPr>
                <w:color w:val="000000"/>
                <w:lang w:val="en"/>
              </w:rPr>
              <w:t xml:space="preserve"> 36.12</w:t>
            </w:r>
          </w:p>
        </w:tc>
        <w:tc>
          <w:tcPr>
            <w:tcW w:w="1936" w:type="dxa"/>
            <w:shd w:val="clear" w:color="auto" w:fill="auto"/>
            <w:noWrap/>
            <w:hideMark/>
          </w:tcPr>
          <w:p w14:paraId="71209D3E" w14:textId="77777777" w:rsidR="008B4FB4" w:rsidRPr="008B4FB4" w:rsidRDefault="008B4FB4" w:rsidP="00AB7FED">
            <w:pPr>
              <w:jc w:val="center"/>
            </w:pPr>
            <w:r w:rsidRPr="008B4FB4">
              <w:rPr>
                <w:lang w:val="en"/>
              </w:rPr>
              <w:t>140.69; ±</w:t>
            </w:r>
            <w:r w:rsidRPr="008B4FB4">
              <w:rPr>
                <w:color w:val="000000"/>
                <w:lang w:val="en"/>
              </w:rPr>
              <w:t xml:space="preserve"> 10:15 p.m.</w:t>
            </w:r>
          </w:p>
        </w:tc>
        <w:tc>
          <w:tcPr>
            <w:tcW w:w="1595" w:type="dxa"/>
            <w:shd w:val="clear" w:color="auto" w:fill="auto"/>
            <w:noWrap/>
            <w:hideMark/>
          </w:tcPr>
          <w:p w14:paraId="0B3D4C50" w14:textId="77777777" w:rsidR="008B4FB4" w:rsidRPr="008B4FB4" w:rsidRDefault="008B4FB4" w:rsidP="005E6CC7">
            <w:pPr>
              <w:jc w:val="center"/>
            </w:pPr>
            <w:r w:rsidRPr="008B4FB4">
              <w:rPr>
                <w:lang w:val="en"/>
              </w:rPr>
              <w:t>-2,177; 0.029</w:t>
            </w:r>
          </w:p>
        </w:tc>
      </w:tr>
      <w:tr w:rsidR="008B4FB4" w:rsidRPr="008B4FB4" w14:paraId="3773061F" w14:textId="77777777" w:rsidTr="00960F01">
        <w:trPr>
          <w:trHeight w:val="20"/>
        </w:trPr>
        <w:tc>
          <w:tcPr>
            <w:tcW w:w="4504" w:type="dxa"/>
            <w:shd w:val="clear" w:color="auto" w:fill="auto"/>
            <w:noWrap/>
            <w:vAlign w:val="bottom"/>
            <w:hideMark/>
          </w:tcPr>
          <w:p w14:paraId="6456A8BC" w14:textId="77777777" w:rsidR="008B4FB4" w:rsidRPr="008B4FB4" w:rsidRDefault="008B4FB4" w:rsidP="005E6CC7">
            <w:pPr>
              <w:rPr>
                <w:color w:val="000000"/>
              </w:rPr>
            </w:pPr>
            <w:r w:rsidRPr="008B4FB4">
              <w:rPr>
                <w:color w:val="000000"/>
                <w:lang w:val="en"/>
              </w:rPr>
              <w:t xml:space="preserve">Diastolic Blood Pressure (mmHg) </w:t>
            </w:r>
          </w:p>
        </w:tc>
        <w:tc>
          <w:tcPr>
            <w:tcW w:w="1819" w:type="dxa"/>
            <w:shd w:val="clear" w:color="auto" w:fill="auto"/>
            <w:noWrap/>
            <w:hideMark/>
          </w:tcPr>
          <w:p w14:paraId="6B942A28" w14:textId="77777777" w:rsidR="008B4FB4" w:rsidRPr="008B4FB4" w:rsidRDefault="008B4FB4" w:rsidP="00AB7FED">
            <w:pPr>
              <w:jc w:val="center"/>
              <w:rPr>
                <w:color w:val="000000"/>
              </w:rPr>
            </w:pPr>
            <w:r w:rsidRPr="008B4FB4">
              <w:rPr>
                <w:lang w:val="en"/>
              </w:rPr>
              <w:t>95.19; ±</w:t>
            </w:r>
            <w:r w:rsidRPr="008B4FB4">
              <w:rPr>
                <w:color w:val="000000"/>
                <w:lang w:val="en"/>
              </w:rPr>
              <w:t xml:space="preserve"> 6:57 p.m.</w:t>
            </w:r>
          </w:p>
        </w:tc>
        <w:tc>
          <w:tcPr>
            <w:tcW w:w="1936" w:type="dxa"/>
            <w:shd w:val="clear" w:color="auto" w:fill="auto"/>
            <w:noWrap/>
            <w:hideMark/>
          </w:tcPr>
          <w:p w14:paraId="2E223605" w14:textId="77777777" w:rsidR="008B4FB4" w:rsidRPr="008B4FB4" w:rsidRDefault="008B4FB4" w:rsidP="00AB7FED">
            <w:pPr>
              <w:jc w:val="center"/>
            </w:pPr>
            <w:r w:rsidRPr="008B4FB4">
              <w:rPr>
                <w:lang w:val="en"/>
              </w:rPr>
              <w:t>90.31; ±</w:t>
            </w:r>
            <w:r w:rsidRPr="008B4FB4">
              <w:rPr>
                <w:color w:val="000000"/>
                <w:lang w:val="en"/>
              </w:rPr>
              <w:t xml:space="preserve"> 13.78</w:t>
            </w:r>
          </w:p>
        </w:tc>
        <w:tc>
          <w:tcPr>
            <w:tcW w:w="1595" w:type="dxa"/>
            <w:shd w:val="clear" w:color="auto" w:fill="auto"/>
            <w:noWrap/>
            <w:hideMark/>
          </w:tcPr>
          <w:p w14:paraId="717F3076" w14:textId="77777777" w:rsidR="008B4FB4" w:rsidRPr="008B4FB4" w:rsidRDefault="008B4FB4" w:rsidP="005E6CC7">
            <w:pPr>
              <w:jc w:val="center"/>
            </w:pPr>
            <w:r w:rsidRPr="008B4FB4">
              <w:rPr>
                <w:lang w:val="en"/>
              </w:rPr>
              <w:t>-1,389; 0.165</w:t>
            </w:r>
          </w:p>
        </w:tc>
      </w:tr>
      <w:tr w:rsidR="008B4FB4" w:rsidRPr="008B4FB4" w14:paraId="4E3C776F" w14:textId="77777777" w:rsidTr="00960F01">
        <w:trPr>
          <w:trHeight w:val="20"/>
        </w:trPr>
        <w:tc>
          <w:tcPr>
            <w:tcW w:w="4504" w:type="dxa"/>
            <w:shd w:val="clear" w:color="auto" w:fill="auto"/>
            <w:noWrap/>
            <w:vAlign w:val="bottom"/>
            <w:hideMark/>
          </w:tcPr>
          <w:p w14:paraId="52BE926D" w14:textId="77777777" w:rsidR="008B4FB4" w:rsidRPr="008B4FB4" w:rsidRDefault="008B4FB4" w:rsidP="005E6CC7">
            <w:pPr>
              <w:rPr>
                <w:color w:val="000000"/>
              </w:rPr>
            </w:pPr>
            <w:r w:rsidRPr="008B4FB4">
              <w:rPr>
                <w:color w:val="000000"/>
                <w:lang w:val="en"/>
              </w:rPr>
              <w:t>IMT</w:t>
            </w:r>
          </w:p>
        </w:tc>
        <w:tc>
          <w:tcPr>
            <w:tcW w:w="1819" w:type="dxa"/>
            <w:shd w:val="clear" w:color="auto" w:fill="auto"/>
            <w:noWrap/>
            <w:hideMark/>
          </w:tcPr>
          <w:p w14:paraId="74043E28" w14:textId="77777777" w:rsidR="008B4FB4" w:rsidRPr="008B4FB4" w:rsidRDefault="008B4FB4" w:rsidP="006E574E">
            <w:pPr>
              <w:jc w:val="center"/>
              <w:rPr>
                <w:color w:val="000000"/>
              </w:rPr>
            </w:pPr>
            <w:r w:rsidRPr="008B4FB4">
              <w:rPr>
                <w:lang w:val="en"/>
              </w:rPr>
              <w:t>27.13; ±</w:t>
            </w:r>
            <w:r w:rsidRPr="008B4FB4">
              <w:rPr>
                <w:color w:val="000000"/>
                <w:lang w:val="en"/>
              </w:rPr>
              <w:t xml:space="preserve"> 4.09</w:t>
            </w:r>
          </w:p>
        </w:tc>
        <w:tc>
          <w:tcPr>
            <w:tcW w:w="1936" w:type="dxa"/>
            <w:shd w:val="clear" w:color="auto" w:fill="auto"/>
            <w:noWrap/>
            <w:hideMark/>
          </w:tcPr>
          <w:p w14:paraId="61D16736" w14:textId="77777777" w:rsidR="008B4FB4" w:rsidRPr="008B4FB4" w:rsidRDefault="008B4FB4" w:rsidP="00AB7FED">
            <w:pPr>
              <w:jc w:val="center"/>
            </w:pPr>
            <w:r w:rsidRPr="008B4FB4">
              <w:rPr>
                <w:lang w:val="en"/>
              </w:rPr>
              <w:t>27.42; ±</w:t>
            </w:r>
            <w:r w:rsidRPr="008B4FB4">
              <w:rPr>
                <w:color w:val="000000"/>
                <w:lang w:val="en"/>
              </w:rPr>
              <w:t xml:space="preserve"> 4.66</w:t>
            </w:r>
          </w:p>
        </w:tc>
        <w:tc>
          <w:tcPr>
            <w:tcW w:w="1595" w:type="dxa"/>
            <w:shd w:val="clear" w:color="auto" w:fill="auto"/>
            <w:noWrap/>
            <w:hideMark/>
          </w:tcPr>
          <w:p w14:paraId="39716500" w14:textId="77777777" w:rsidR="008B4FB4" w:rsidRPr="008B4FB4" w:rsidRDefault="008B4FB4" w:rsidP="005E6CC7">
            <w:pPr>
              <w:jc w:val="center"/>
            </w:pPr>
            <w:r w:rsidRPr="008B4FB4">
              <w:rPr>
                <w:lang w:val="en"/>
              </w:rPr>
              <w:t>-0.166; 0.869</w:t>
            </w:r>
          </w:p>
        </w:tc>
      </w:tr>
    </w:tbl>
    <w:p w14:paraId="00BEAD47" w14:textId="77777777" w:rsidR="008B4FB4" w:rsidRPr="008B4FB4" w:rsidRDefault="008B4FB4" w:rsidP="00301154">
      <w:pPr>
        <w:spacing w:line="276" w:lineRule="auto"/>
        <w:jc w:val="both"/>
        <w:rPr>
          <w:b/>
          <w:bCs/>
        </w:rPr>
      </w:pPr>
      <w:r w:rsidRPr="008B4FB4">
        <w:rPr>
          <w:i/>
          <w:iCs/>
          <w:szCs w:val="24"/>
          <w:lang w:val="en"/>
        </w:rPr>
        <w:t>Mann-Whitney Test</w:t>
      </w:r>
    </w:p>
    <w:p w14:paraId="2E0A2901" w14:textId="77777777" w:rsidR="008B4FB4" w:rsidRPr="008B4FB4" w:rsidRDefault="008B4FB4" w:rsidP="009B41D6">
      <w:pPr>
        <w:spacing w:line="276" w:lineRule="auto"/>
        <w:jc w:val="both"/>
        <w:rPr>
          <w:szCs w:val="24"/>
        </w:rPr>
      </w:pPr>
      <w:r w:rsidRPr="008B4FB4">
        <w:rPr>
          <w:szCs w:val="24"/>
          <w:lang w:val="en"/>
        </w:rPr>
        <w:tab/>
        <w:t>The average biomarker of metabolic syndrome a year before the diagnosis of stroke and the year when diagnosed stroke showed results that did not differ significantly, only fasting blood sugar levels and systolic blood pressure, where fasting blood sugar levels in the year diagnosed stroke were higher than the year before the stroke was diagnosed, while the average systolic blood pressure in the year before diagnosis was higher, p-values 0.031, and 0.029, respectively.</w:t>
      </w:r>
    </w:p>
    <w:p w14:paraId="56D3C548" w14:textId="77777777" w:rsidR="008B4FB4" w:rsidRPr="008B4FB4" w:rsidRDefault="008B4FB4" w:rsidP="009B41D6">
      <w:pPr>
        <w:spacing w:line="276" w:lineRule="auto"/>
        <w:jc w:val="both"/>
        <w:rPr>
          <w:szCs w:val="24"/>
        </w:rPr>
      </w:pPr>
    </w:p>
    <w:p w14:paraId="15445029" w14:textId="77777777" w:rsidR="008B4FB4" w:rsidRPr="008B4FB4" w:rsidRDefault="008B4FB4" w:rsidP="008B4FB4">
      <w:pPr>
        <w:pStyle w:val="Heading1"/>
      </w:pPr>
      <w:r w:rsidRPr="008B4FB4">
        <w:t>DISCUSSION</w:t>
      </w:r>
    </w:p>
    <w:p w14:paraId="78C3ED63" w14:textId="25921BB6" w:rsidR="008B4FB4" w:rsidRPr="008B4FB4" w:rsidRDefault="008B4FB4" w:rsidP="006C171B">
      <w:pPr>
        <w:spacing w:line="276" w:lineRule="auto"/>
        <w:ind w:firstLine="720"/>
        <w:jc w:val="both"/>
        <w:rPr>
          <w:szCs w:val="24"/>
        </w:rPr>
      </w:pPr>
      <w:r w:rsidRPr="008B4FB4">
        <w:rPr>
          <w:szCs w:val="24"/>
          <w:lang w:val="en"/>
        </w:rPr>
        <w:t>The incidence of stroke during 2018 amounted to 48 cases (3.9%).</w:t>
      </w:r>
      <w:r w:rsidRPr="008B4FB4">
        <w:rPr>
          <w:lang w:val="en"/>
        </w:rPr>
        <w:t xml:space="preserve"> </w:t>
      </w:r>
      <w:r w:rsidRPr="008B4FB4">
        <w:rPr>
          <w:szCs w:val="24"/>
          <w:lang w:val="en"/>
        </w:rPr>
        <w:t>Based on this study, the most important risk factors for stroke in this population of diabetes mellitus and systolic blood pressure, especially in male</w:t>
      </w:r>
      <w:r w:rsidRPr="008B4FB4">
        <w:rPr>
          <w:lang w:val="en"/>
        </w:rPr>
        <w:t xml:space="preserve"> patients</w:t>
      </w:r>
      <w:r w:rsidRPr="008B4FB4">
        <w:rPr>
          <w:szCs w:val="24"/>
          <w:lang w:val="en"/>
        </w:rPr>
        <w:t xml:space="preserve"> with an average age of 43 years, a 2013 study in</w:t>
      </w:r>
      <w:r w:rsidRPr="008B4FB4">
        <w:rPr>
          <w:lang w:val="en"/>
        </w:rPr>
        <w:t xml:space="preserve"> the</w:t>
      </w:r>
      <w:r w:rsidRPr="008B4FB4">
        <w:rPr>
          <w:szCs w:val="24"/>
          <w:lang w:val="en"/>
        </w:rPr>
        <w:t xml:space="preserve"> same population showed p A stroke was found at 49 (2.</w:t>
      </w:r>
      <w:r w:rsidRPr="008B4FB4">
        <w:rPr>
          <w:lang w:val="en"/>
        </w:rPr>
        <w:t xml:space="preserve"> </w:t>
      </w:r>
      <w:r w:rsidRPr="008B4FB4">
        <w:rPr>
          <w:szCs w:val="24"/>
          <w:lang w:val="en"/>
        </w:rPr>
        <w:t xml:space="preserve">6%) of the people from 1912 subjects studied </w:t>
      </w:r>
      <w:r w:rsidRPr="008B4FB4">
        <w:rPr>
          <w:szCs w:val="24"/>
          <w:lang w:val="en"/>
        </w:rPr>
        <w:fldChar w:fldCharType="begin" w:fldLock="1"/>
      </w:r>
      <w:r w:rsidR="009715F9">
        <w:rPr>
          <w:szCs w:val="24"/>
          <w:lang w:val="en"/>
        </w:rPr>
        <w:instrText>ADDIN CSL_CITATION {"citationItems":[{"id":"ITEM-1","itemData":{"DOI":"10.21109/kesmas.v7i7.31","ISSN":"1907-7505","abstract":"Penyakit stroke merupakan penyebab kematian dan kecacatan kronik yang paling tinggi pada kelompok umur diatas usia 45 tahun terbanyak di Indonesia. Tujuan penelitian ini untuk mengidentifikasi determinan utama yang berhubungan dengan penyakit stroke pada masyarakat di kelurahan Kebon Kalapa Bogor. Analisis lanjut terhadap 1.912 responden subset baseline data penelitian “Studi Kohort Faktor Risiko Penyakit Tidak Menular” Data dikumpulkan dengan metode wawancara pada penduduk tetap di kelurahan Kebon Kalapa, Kecamatan Bogor Tengah, Bogor tahun 2012. Diagnosis stroke berdasarkan anamnesis dan pemeriksaan dokter spesialis syaraf. Variabel independen meliputi karakteristik sosiodemografi, status kesehatan dan perilaku berisiko. Data dianalisis dengan uji regresi logistik ganda. Penyakit stroke ditemukan pada 49 (2,6%) orang. Determinan utama stroke meliputi hipertensi (OR = 4,20; IK 95% = 2,20 – 8,03), penyakit jantung koroner (OR = 2,74; IK 95% = 1,51 – 4,99), diabetes melitus (OR = 2,89; IK 95% = 1,47 – 5,64), dan status ekonomi miskin (OR = 1,83 ; IK 95% = 1,03 – 3,33). Pencegahan penyakit stroke dilakukan dengan peningkatan edukasi (kampanye/penyuluhan) melalui pengendalian faktor risiko utama yaitu hipertensi dan pencegahan terjadinya penyakit degeneratif lain yaitu penyakit jantung koroner dan diabetes melitus.Stroke disease is the leading cause of death and chronic disabi lity in most over the age of 45 years in Indonesia. The aim of study was to identify the major determinants of stroke disease in Kebon Kalapa community in Bogor. A deep analyze was conducted in 1.912 respondents based on the subset of baseline data “Risk Factors Cohort Study of Non Communicable Diseases.” Data was collected by interviews on Kebon Kalapa community, Bogor in 2012. Stroke diagnosis was determined by anamnesis and neu-rological examination with specialist. Independent variables were sociodemographic characteristics, health status and risk behavior. Data analysis was performed by multiple logistic regression test. This study revealed that stroke disease was found in 49 people (2.6%). The main determinant of stroke included hypertension (OR = 4.20; 95% CI = 2.20 – 8.03), coronary heart disease (OR = 2.74; 95% CI = 1.51 – 4.99), diabetes mellitus (OR = 2.89; 95% CI = 1.47 – 5.64), and low economic status (OR = 1.83; 95% CI = 1.03 – 3.33). Prevention of stroke should be done by increasing education (campaign) through the control of major risk factors of hypertension and prev…","author":[{"dropping-particle":"","family":"Riyadina","given":"Woro","non-dropping-particle":"","parse-names":false,"suffix":""},{"dropping-particle":"","family":"Rahajeng","given":"Ekowati","non-dropping-particle":"","parse-names":false,"suffix":""}],"container-title":"Kesmas: National Public Health Journal","id":"ITEM-1","issue":"7","issued":{"date-parts":[["2013"]]},"page":"324","title":"Determinan Penyakit Stroke","type":"article-journal","volume":"7"},"uris":["http://www.mendeley.com/documents/?uuid=f283c2b6-2418-49c4-8412-8a2dea0272d8"]}],"mendeley":{"formattedCitation":"(Riyadina &amp; Rahajeng, 2013)","plainTextFormattedCitation":"(Riyadina &amp; Rahajeng, 2013)","previouslyFormattedCitation":"(Riyadina &amp; Rahajeng, 2013)"},"properties":{"noteIndex":0},"schema":"https://github.com/citation-style-language/schema/raw/master/csl-citation.json"}</w:instrText>
      </w:r>
      <w:r w:rsidRPr="008B4FB4">
        <w:rPr>
          <w:szCs w:val="24"/>
          <w:lang w:val="en"/>
        </w:rPr>
        <w:fldChar w:fldCharType="separate"/>
      </w:r>
      <w:r w:rsidRPr="008B4FB4">
        <w:rPr>
          <w:noProof/>
          <w:szCs w:val="24"/>
          <w:lang w:val="en"/>
        </w:rPr>
        <w:t>(Riyadina &amp; Rahajeng, 2013)</w:t>
      </w:r>
      <w:r w:rsidRPr="008B4FB4">
        <w:rPr>
          <w:szCs w:val="24"/>
          <w:lang w:val="en"/>
        </w:rPr>
        <w:fldChar w:fldCharType="end"/>
      </w:r>
      <w:r w:rsidRPr="008B4FB4">
        <w:rPr>
          <w:szCs w:val="24"/>
          <w:lang w:val="en"/>
        </w:rPr>
        <w:t>. This is a 1.3% increase</w:t>
      </w:r>
      <w:r w:rsidRPr="008B4FB4">
        <w:rPr>
          <w:lang w:val="en"/>
        </w:rPr>
        <w:t xml:space="preserve"> </w:t>
      </w:r>
      <w:r w:rsidRPr="008B4FB4">
        <w:rPr>
          <w:szCs w:val="24"/>
          <w:lang w:val="en"/>
        </w:rPr>
        <w:t>over five years.</w:t>
      </w:r>
      <w:r w:rsidRPr="008B4FB4">
        <w:rPr>
          <w:lang w:val="en"/>
        </w:rPr>
        <w:t xml:space="preserve"> </w:t>
      </w:r>
      <w:r w:rsidRPr="008B4FB4">
        <w:rPr>
          <w:szCs w:val="24"/>
          <w:lang w:val="en"/>
        </w:rPr>
        <w:t xml:space="preserve">While the incidence of stroke nationally in  2018 reached 10.9% </w:t>
      </w:r>
      <w:r w:rsidRPr="008B4FB4">
        <w:rPr>
          <w:szCs w:val="24"/>
          <w:lang w:val="en"/>
        </w:rPr>
        <w:fldChar w:fldCharType="begin" w:fldLock="1"/>
      </w:r>
      <w:r w:rsidR="009715F9">
        <w:rPr>
          <w:szCs w:val="24"/>
          <w:lang w:val="en"/>
        </w:rPr>
        <w:instrText>ADDIN CSL_CITATION {"citationItems":[{"id":"ITEM-1","itemData":{"author":[{"dropping-particle":"","family":"Badan Penelitian dan Pengembangan Kesehatan","given":"","non-dropping-particle":"","parse-names":false,"suffix":""}],"container-title":"Badan Penelitian dan Pengembangan Kesehatan","id":"ITEM-1","issued":{"date-parts":[["2018"]]},"page":"198","title":"Laporan Nasional Riskesdas 2018","type":"article"},"uris":["http://www.mendeley.com/documents/?uuid=e9fb8890-fe7e-4282-862c-e7c880b15d39"]}],"mendeley":{"formattedCitation":"(Badan Penelitian dan Pengembangan Kesehatan, 2018)","plainTextFormattedCitation":"(Badan Penelitian dan Pengembangan Kesehatan, 2018)","previouslyFormattedCitation":"(Badan Penelitian dan Pengembangan Kesehatan, 2018)"},"properties":{"noteIndex":0},"schema":"https://github.com/citation-style-language/schema/raw/master/csl-citation.json"}</w:instrText>
      </w:r>
      <w:r w:rsidRPr="008B4FB4">
        <w:rPr>
          <w:szCs w:val="24"/>
          <w:lang w:val="en"/>
        </w:rPr>
        <w:fldChar w:fldCharType="separate"/>
      </w:r>
      <w:r w:rsidRPr="008B4FB4">
        <w:rPr>
          <w:noProof/>
          <w:szCs w:val="24"/>
          <w:lang w:val="en"/>
        </w:rPr>
        <w:t>(Badan Penelitian dan Pengembangan Kesehatan, 2018)</w:t>
      </w:r>
      <w:r w:rsidRPr="008B4FB4">
        <w:rPr>
          <w:szCs w:val="24"/>
          <w:lang w:val="en"/>
        </w:rPr>
        <w:fldChar w:fldCharType="end"/>
      </w:r>
      <w:r w:rsidRPr="008B4FB4">
        <w:rPr>
          <w:szCs w:val="24"/>
          <w:lang w:val="en"/>
        </w:rPr>
        <w:t>.</w:t>
      </w:r>
    </w:p>
    <w:p w14:paraId="0F76ED86" w14:textId="3C484B7D" w:rsidR="008B4FB4" w:rsidRPr="008B4FB4" w:rsidRDefault="008B4FB4" w:rsidP="00AD0EE3">
      <w:pPr>
        <w:spacing w:line="276" w:lineRule="auto"/>
        <w:ind w:firstLine="720"/>
        <w:jc w:val="both"/>
        <w:rPr>
          <w:szCs w:val="24"/>
        </w:rPr>
      </w:pPr>
      <w:r w:rsidRPr="008B4FB4">
        <w:rPr>
          <w:szCs w:val="24"/>
          <w:lang w:val="en"/>
        </w:rPr>
        <w:t>The proportion of strokes in</w:t>
      </w:r>
      <w:r w:rsidRPr="008B4FB4">
        <w:rPr>
          <w:lang w:val="en"/>
        </w:rPr>
        <w:t xml:space="preserve"> this </w:t>
      </w:r>
      <w:r w:rsidRPr="008B4FB4">
        <w:rPr>
          <w:szCs w:val="24"/>
          <w:lang w:val="en"/>
        </w:rPr>
        <w:t xml:space="preserve">population was more common in men Zhang Y </w:t>
      </w:r>
      <w:r w:rsidRPr="008B4FB4">
        <w:rPr>
          <w:i/>
          <w:iCs/>
          <w:szCs w:val="24"/>
          <w:lang w:val="en"/>
        </w:rPr>
        <w:t xml:space="preserve">et al. </w:t>
      </w:r>
      <w:r w:rsidRPr="008B4FB4">
        <w:rPr>
          <w:i/>
          <w:iCs/>
          <w:szCs w:val="24"/>
          <w:lang w:val="en"/>
        </w:rPr>
        <w:fldChar w:fldCharType="begin" w:fldLock="1"/>
      </w:r>
      <w:r w:rsidR="009715F9">
        <w:rPr>
          <w:i/>
          <w:iCs/>
          <w:szCs w:val="24"/>
          <w:lang w:val="en"/>
        </w:rPr>
        <w:instrText>ADDIN CSL_CITATION {"citationItems":[{"id":"ITEM-1","itemData":{"DOI":"10.1155/2012/436125","ISSN":"2042-0056 (Electronic)","PMID":"22550614","abstract":"Background. Although the burden of stroke in terms of mortality and disability has  been well documented in previous years, data after 2000 are limited. Therefore, the aim of this paper was to identify the epidemiology of stroke in the US and EU5 nations from data published in 2000 and later. Methods. Data from literature databases and online sources were collated to identify information relating to the incidence, prevalence, and mortality of stroke from the year 2000 onwards. Results and Conclusions. Twenty-three data sources were identified. The incidence of and mortality due to stroke both increase with age and are greater in males compared to females. Stroke is a common problem and likely to worsen in the US and EU5 as their populations age. However, pre-2000 trends of decreasing stroke mortality over time have continued after 2000, reflecting a consistent improvement in the treatment and care of patients with stroke.","author":[{"dropping-particle":"","family":"Zhang","given":"Younan","non-dropping-particle":"","parse-names":false,"suffix":""},{"dropping-particle":"","family":"Chapman","given":"Ann-Marie","non-dropping-particle":"","parse-names":false,"suffix":""},{"dropping-particle":"","family":"Plested","given":"Melanie","non-dropping-particle":"","parse-names":false,"suffix":""},{"dropping-particle":"","family":"Jackson","given":"Daniel","non-dropping-particle":"","parse-names":false,"suffix":""},{"dropping-particle":"","family":"Purroy","given":"Francisco","non-dropping-particle":"","parse-names":false,"suffix":""}],"container-title":"Stroke research and treatment","id":"ITEM-1","issued":{"date-parts":[["2012"]]},"language":"eng","page":"436125","title":"The Incidence, Prevalence, and Mortality of Stroke in France, Germany, Italy, Spain,  the UK, and the US: A Literature Review.","type":"article-journal","volume":"2012"},"uris":["http://www.mendeley.com/documents/?uuid=26b60c3a-f052-44a8-b1a8-d559f86fd0b1"]}],"mendeley":{"formattedCitation":"(Y. Zhang et al., 2012)","plainTextFormattedCitation":"(Y. Zhang et al., 2012)","previouslyFormattedCitation":"(Y. Zhang et al., 2012)"},"properties":{"noteIndex":0},"schema":"https://github.com/citation-style-language/schema/raw/master/csl-citation.json"}</w:instrText>
      </w:r>
      <w:r w:rsidRPr="008B4FB4">
        <w:rPr>
          <w:i/>
          <w:iCs/>
          <w:szCs w:val="24"/>
          <w:lang w:val="en"/>
        </w:rPr>
        <w:fldChar w:fldCharType="separate"/>
      </w:r>
      <w:r w:rsidRPr="008B4FB4">
        <w:rPr>
          <w:iCs/>
          <w:noProof/>
          <w:szCs w:val="24"/>
          <w:lang w:val="en"/>
        </w:rPr>
        <w:t>(Y. Zhang et al., 2012)</w:t>
      </w:r>
      <w:r w:rsidRPr="008B4FB4">
        <w:rPr>
          <w:i/>
          <w:iCs/>
          <w:szCs w:val="24"/>
          <w:lang w:val="en"/>
        </w:rPr>
        <w:fldChar w:fldCharType="end"/>
      </w:r>
      <w:r w:rsidRPr="008B4FB4">
        <w:rPr>
          <w:szCs w:val="24"/>
          <w:lang w:val="en"/>
        </w:rPr>
        <w:t>. The incidence of Stroke in the United States, England, France, Germany, Italy, and Spain increased with age, greater in men than women. Stroke is already present in the young age group of 15-24 years with a prevalence of 0.3% and 25 - 34 years by 0.4%, increasing sharply at the age of 45 years and above. The National Health and Nutrition Examination Survey 2009-2012 in the United States found the prevalence of stroke in women ages 20-39 at 0.2% and men by 0.7%</w:t>
      </w:r>
      <w:r w:rsidRPr="008B4FB4">
        <w:rPr>
          <w:szCs w:val="24"/>
          <w:lang w:val="en"/>
        </w:rPr>
        <w:fldChar w:fldCharType="begin" w:fldLock="1"/>
      </w:r>
      <w:r w:rsidR="009715F9">
        <w:rPr>
          <w:szCs w:val="24"/>
          <w:lang w:val="en"/>
        </w:rPr>
        <w:instrText>ADDIN CSL_CITATION {"citationItems":[{"id":"ITEM-1","itemData":{"DOI":"10.1161/CIR.0000000000000152","ISSN":"1524-4539 (Electronic)","PMID":"25520374","author":[{"dropping-particle":"","family":"Mozaffarian","given":"Dariush","non-dropping-particle":"","parse-names":false,"suffix":""},{"dropping-particle":"","family":"Benjamin","given":"Emelia J","non-dropping-particle":"","parse-names":false,"suffix":""},{"dropping-particle":"","family":"Go","given":"Alan S","non-dropping-particle":"","parse-names":false,"suffix":""},{"dropping-particle":"","family":"Arnett","given":"Donna K","non-dropping-particle":"","parse-names":false,"suffix":""},{"dropping-particle":"","family":"Blaha","given":"Michael J","non-dropping-particle":"","parse-names":false,"suffix":""},{"dropping-particle":"","family":"Cushman","given":"Mary","non-dropping-particle":"","parse-names":false,"suffix":""},{"dropping-particle":"","family":"Ferranti","given":"Sarah","non-dropping-particle":"de","parse-names":false,"suffix":""},{"dropping-particle":"","family":"Després","given":"Jean-Pierre","non-dropping-particle":"","parse-names":false,"suffix":""},{"dropping-particle":"","family":"Fullerton","given":"Heather J","non-dropping-particle":"","parse-names":false,"suffix":""},{"dropping-particle":"","family":"Howard","given":"Virginia J","non-dropping-particle":"","parse-names":false,"suffix":""},{"dropping-particle":"","family":"Huffman","given":"Mark D","non-dropping-particle":"","parse-names":false,"suffix":""},{"dropping-particle":"","family":"Judd","given":"Suzanne E","non-dropping-particle":"","parse-names":false,"suffix":""},{"dropping-particle":"","family":"Kissela","given":"Brett M","non-dropping-particle":"","parse-names":false,"suffix":""},{"dropping-particle":"","family":"Lackland","given":"Daniel T","non-dropping-particle":"","parse-names":false,"suffix":""},{"dropping-particle":"","family":"Lichtman","given":"Judith H","non-dropping-particle":"","parse-names":false,"suffix":""},{"dropping-particle":"","family":"Lisabeth","given":"Lynda D","non-dropping-particle":"","parse-names":false,"suffix":""},{"dropping-particle":"","family":"Liu","given":"Simin","non-dropping-particle":"","parse-names":false,"suffix":""},{"dropping-particle":"","family":"Mackey","given":"Rachel H","non-dropping-particle":"","parse-names":false,"suffix":""},{"dropping-particle":"","family":"Matchar","given":"David B","non-dropping-particle":"","parse-names":false,"suffix":""},{"dropping-particle":"","family":"McGuire","given":"Darren K","non-dropping-particle":"","parse-names":false,"suffix":""},{"dropping-particle":"","family":"Mohler","given":"Emile R 3rd","non-dropping-particle":"","parse-names":false,"suffix":""},{"dropping-particle":"","family":"Moy","given":"Claudia S","non-dropping-particle":"","parse-names":false,"suffix":""},{"dropping-particle":"","family":"Muntner","given":"Paul","non-dropping-particle":"","parse-names":false,"suffix":""},{"dropping-particle":"","family":"Mussolino","given":"Michael E","non-dropping-particle":"","parse-names":false,"suffix":""},{"dropping-particle":"","family":"Nasir","given":"Khurram","non-dropping-particle":"","parse-names":false,"suffix":""},{"dropping-particle":"","family":"Neumar","given":"Robert W","non-dropping-particle":"","parse-names":false,"suffix":""},{"dropping-particle":"","family":"Nichol","given":"Graham","non-dropping-particle":"","parse-names":false,"suffix":""},{"dropping-particle":"","family":"Palaniappan","given":"Latha","non-dropping-particle":"","parse-names":false,"suffix":""},{"dropping-particle":"","family":"Pandey","given":"Dilip K","non-dropping-particle":"","parse-names":false,"suffix":""},{"dropping-particle":"","family":"Reeves","given":"Mathew J","non-dropping-particle":"","parse-names":false,"suffix":""},{"dropping-particle":"","family":"Rodriguez","given":"Carlos J","non-dropping-particle":"","parse-names":false,"suffix":""},{"dropping-particle":"","family":"Sorlie","given":"Paul D","non-dropping-particle":"","parse-names":false,"suffix":""},{"dropping-particle":"","family":"Stein","given":"Joel","non-dropping-particle":"","parse-names":false,"suffix":""},{"dropping-particle":"","family":"Towfighi","given":"Amytis","non-dropping-particle":"","parse-names":false,"suffix":""},{"dropping-particle":"","family":"Turan","given":"Tanya N","non-dropping-particle":"","parse-names":false,"suffix":""},{"dropping-particle":"","family":"Virani","given":"Salim S","non-dropping-particle":"","parse-names":false,"suffix":""},{"dropping-particle":"","family":"Willey","given":"Joshua Z","non-dropping-particle":"","parse-names":false,"suffix":""},{"dropping-particle":"","family":"Woo","given":"Daniel","non-dropping-particle":"","parse-names":false,"suffix":""},{"dropping-particle":"","family":"Yeh","given":"Robert W","non-dropping-particle":"","parse-names":false,"suffix":""},{"dropping-particle":"","family":"Turner","given":"Melanie B","non-dropping-particle":"","parse-names":false,"suffix":""}],"container-title":"Circulation","id":"ITEM-1","issue":"4","issued":{"date-parts":[["2015","1"]]},"language":"eng","page":"e29-322","publisher-place":"United States","title":"Heart disease and stroke statistics--2015 update: a report from the American Heart  Association.","type":"article-journal","volume":"131"},"uris":["http://www.mendeley.com/documents/?uuid=a8333008-2634-4a63-bc8c-e49e10562df8"]}],"mendeley":{"formattedCitation":"(Mozaffarian et al., 2015)","plainTextFormattedCitation":"(Mozaffarian et al., 2015)","previouslyFormattedCitation":"(Mozaffarian et al., 2015)"},"properties":{"noteIndex":0},"schema":"https://github.com/citation-style-language/schema/raw/master/csl-citation.json"}</w:instrText>
      </w:r>
      <w:r w:rsidRPr="008B4FB4">
        <w:rPr>
          <w:szCs w:val="24"/>
          <w:lang w:val="en"/>
        </w:rPr>
        <w:fldChar w:fldCharType="separate"/>
      </w:r>
      <w:r w:rsidRPr="008B4FB4">
        <w:rPr>
          <w:noProof/>
          <w:szCs w:val="24"/>
          <w:lang w:val="en"/>
        </w:rPr>
        <w:t>(Mozaffarian et al., 2015)</w:t>
      </w:r>
      <w:r w:rsidRPr="008B4FB4">
        <w:rPr>
          <w:szCs w:val="24"/>
          <w:lang w:val="en"/>
        </w:rPr>
        <w:fldChar w:fldCharType="end"/>
      </w:r>
      <w:r w:rsidRPr="008B4FB4">
        <w:rPr>
          <w:szCs w:val="24"/>
          <w:lang w:val="en"/>
        </w:rPr>
        <w:t>. Stroke was higher in groups with low education (not high school)</w:t>
      </w:r>
      <w:r w:rsidRPr="008B4FB4">
        <w:rPr>
          <w:lang w:val="en"/>
        </w:rPr>
        <w:t xml:space="preserve">. This was </w:t>
      </w:r>
      <w:r w:rsidRPr="008B4FB4">
        <w:rPr>
          <w:szCs w:val="24"/>
          <w:lang w:val="en"/>
        </w:rPr>
        <w:t>closely related to less knowledge due to low education, so less knowing the consequences of the wrong lifestyle such as eating high-fat and others will facilitate the onset of degenerative</w:t>
      </w:r>
      <w:r w:rsidRPr="008B4FB4">
        <w:rPr>
          <w:lang w:val="en"/>
        </w:rPr>
        <w:t xml:space="preserve"> diseases </w:t>
      </w:r>
      <w:r w:rsidRPr="008B4FB4">
        <w:rPr>
          <w:szCs w:val="24"/>
          <w:lang w:val="en"/>
        </w:rPr>
        <w:fldChar w:fldCharType="begin" w:fldLock="1"/>
      </w:r>
      <w:r w:rsidR="009715F9">
        <w:rPr>
          <w:szCs w:val="24"/>
          <w:lang w:val="en"/>
        </w:rPr>
        <w:instrText>ADDIN CSL_CITATION {"citationItems":[{"id":"ITEM-1","itemData":{"DOI":"10.1161/STR.0000000000000046","ISBN":"0000000000000","ISSN":"15244628","PMID":"25355838","abstract":"The aim of this updated statement is to provide comprehensive and timely evidence-based recommendations on the prevention of stroke among individuals who have not previously experienced a stroke or transient ischemic attack. Evidencebased recommendations are included for the control of risk factors, interventional approaches to atherosclerotic disease of the cervicocephalic circulation, and antithrombotic treatments for preventing thrombotic and thromboembolic stroke. Further recommendations are provided for genetic and pharmacogenetic testing and for the prevention of stroke in a variety of other specific circumstances, including sickle cell disease and patent foramen ovale.","author":[{"dropping-particle":"","family":"Meschia","given":"James F.","non-dropping-particle":"","parse-names":false,"suffix":""},{"dropping-particle":"","family":"Bushnell","given":"Cheryl","non-dropping-particle":"","parse-names":false,"suffix":""},{"dropping-particle":"","family":"Boden-Albala","given":"Bernadette","non-dropping-particle":"","parse-names":false,"suffix":""},{"dropping-particle":"","family":"Braun","given":"Lynne T.","non-dropping-particle":"","parse-names":false,"suffix":""},{"dropping-particle":"","family":"Bravata","given":"Dawn M.","non-dropping-particle":"","parse-names":false,"suffix":""},{"dropping-particle":"","family":"Chaturvedi","given":"Seemant","non-dropping-particle":"","parse-names":false,"suffix":""},{"dropping-particle":"","family":"Creager","given":"Mark A.","non-dropping-particle":"","parse-names":false,"suffix":""},{"dropping-particle":"","family":"Eckel","given":"Robert H.","non-dropping-particle":"","parse-names":false,"suffix":""},{"dropping-particle":"","family":"Elkind","given":"Mitchell S.V.","non-dropping-particle":"","parse-names":false,"suffix":""},{"dropping-particle":"","family":"Fornage","given":"Myriam","non-dropping-particle":"","parse-names":false,"suffix":""},{"dropping-particle":"","family":"Goldstein","given":"Larry B.","non-dropping-particle":"","parse-names":false,"suffix":""},{"dropping-particle":"","family":"Greenberg","given":"Steven M.","non-dropping-particle":"","parse-names":false,"suffix":""},{"dropping-particle":"","family":"Horvath","given":"Susanna E.","non-dropping-particle":"","parse-names":false,"suffix":""},{"dropping-particle":"","family":"Iadecola","given":"Costantino","non-dropping-particle":"","parse-names":false,"suffix":""},{"dropping-particle":"","family":"Jauch","given":"Edward C.","non-dropping-particle":"","parse-names":false,"suffix":""},{"dropping-particle":"","family":"Moore","given":"Wesley S.","non-dropping-particle":"","parse-names":false,"suffix":""},{"dropping-particle":"","family":"Wilson","given":"John A.","non-dropping-particle":"","parse-names":false,"suffix":""}],"container-title":"Stroke","id":"ITEM-1","issue":"12","issued":{"date-parts":[["2014"]]},"number-of-pages":"3754-3832","title":"Guidelines for the primary prevention of stroke: A statement for healthcare professionals from the American heart association/American stroke association","type":"book","volume":"45"},"uris":["http://www.mendeley.com/documents/?uuid=67624a71-66e1-4719-9bd3-920824b89aa8"]}],"mendeley":{"formattedCitation":"(Meschia et al., 2014)","plainTextFormattedCitation":"(Meschia et al., 2014)","previouslyFormattedCitation":"(Meschia et al., 2014)"},"properties":{"noteIndex":0},"schema":"https://github.com/citation-style-language/schema/raw/master/csl-citation.json"}</w:instrText>
      </w:r>
      <w:r w:rsidRPr="008B4FB4">
        <w:rPr>
          <w:szCs w:val="24"/>
          <w:lang w:val="en"/>
        </w:rPr>
        <w:fldChar w:fldCharType="separate"/>
      </w:r>
      <w:r w:rsidRPr="008B4FB4">
        <w:rPr>
          <w:noProof/>
          <w:szCs w:val="24"/>
          <w:lang w:val="en"/>
        </w:rPr>
        <w:t>(Meschia et al., 2014)</w:t>
      </w:r>
      <w:r w:rsidRPr="008B4FB4">
        <w:rPr>
          <w:szCs w:val="24"/>
          <w:lang w:val="en"/>
        </w:rPr>
        <w:fldChar w:fldCharType="end"/>
      </w:r>
      <w:r w:rsidRPr="008B4FB4">
        <w:rPr>
          <w:szCs w:val="24"/>
          <w:lang w:val="en"/>
        </w:rPr>
        <w:t>. It is necessary to counsel stroke prevention methods for a poorly educated specificity society. The appearance of stroke at a young age indicates that stroke prevention interventions should begin early.</w:t>
      </w:r>
    </w:p>
    <w:p w14:paraId="6082D936" w14:textId="313F3CDB" w:rsidR="008B4FB4" w:rsidRPr="008B4FB4" w:rsidRDefault="008B4FB4" w:rsidP="00AD0EE3">
      <w:pPr>
        <w:spacing w:line="276" w:lineRule="auto"/>
        <w:ind w:firstLine="720"/>
        <w:jc w:val="both"/>
        <w:rPr>
          <w:szCs w:val="24"/>
        </w:rPr>
      </w:pPr>
      <w:r w:rsidRPr="008B4FB4">
        <w:rPr>
          <w:szCs w:val="24"/>
          <w:lang w:val="en"/>
        </w:rPr>
        <w:t>The results of this</w:t>
      </w:r>
      <w:r w:rsidRPr="008B4FB4">
        <w:rPr>
          <w:lang w:val="en"/>
        </w:rPr>
        <w:t xml:space="preserve"> </w:t>
      </w:r>
      <w:r w:rsidRPr="008B4FB4">
        <w:rPr>
          <w:szCs w:val="24"/>
          <w:lang w:val="en"/>
        </w:rPr>
        <w:t>study show that DM was a major factor in the occurrence of stroke, although statistically multivariate shows a negative direction,</w:t>
      </w:r>
      <w:r w:rsidRPr="008B4FB4">
        <w:rPr>
          <w:lang w:val="en"/>
        </w:rPr>
        <w:t xml:space="preserve"> </w:t>
      </w:r>
      <w:r w:rsidRPr="008B4FB4">
        <w:rPr>
          <w:szCs w:val="24"/>
          <w:lang w:val="en"/>
        </w:rPr>
        <w:t>but some previous studies have proven a lot. DM increases the risk of stroke because excess glucose in the blood causes vasculopathy, making it more likely to develop hypertension and atherosclerosis. In addition, diabetes increases the risk of blood clots, which can lead to heart attacks and strokes</w:t>
      </w:r>
      <w:r w:rsidR="009715F9">
        <w:rPr>
          <w:szCs w:val="24"/>
          <w:lang w:val="en"/>
        </w:rPr>
        <w:t xml:space="preserve"> </w:t>
      </w:r>
      <w:r w:rsidR="009715F9">
        <w:rPr>
          <w:szCs w:val="24"/>
          <w:lang w:val="en"/>
        </w:rPr>
        <w:fldChar w:fldCharType="begin" w:fldLock="1"/>
      </w:r>
      <w:r w:rsidR="009715F9">
        <w:rPr>
          <w:szCs w:val="24"/>
          <w:lang w:val="en"/>
        </w:rPr>
        <w:instrText>ADDIN CSL_CITATION {"citationItems":[{"id":"ITEM-1","itemData":{"author":[{"dropping-particle":"","family":"Azam","given":"M","non-dropping-particle":"","parse-names":false,"suffix":""},{"dropping-particle":"","family":"Nida","given":"F","non-dropping-particle":"","parse-names":false,"suffix":""},{"dropping-particle":"","family":"Kasmi","given":"Oktia Woro","non-dropping-particle":"","parse-names":false,"suffix":""},{"dropping-particle":"","family":"Fibria","given":"Arulita Ika","non-dropping-particle":"","parse-names":false,"suffix":""}],"container-title":"Asian Journal of Epidemiology","id":"ITEM-1","issued":{"date-parts":[["2017"]]},"page":"116-122","title":"Lipid Profiles and Postprandial Glucose Status of Hypertensive Individuals with Stroke in Indonesia","type":"article-journal","volume":"10"},"uris":["http://www.mendeley.com/documents/?uuid=8b5b9ae2-170e-4c2e-bd8f-6809cef7f640"]}],"mendeley":{"formattedCitation":"(Azam et al., 2017)","plainTextFormattedCitation":"(Azam et al., 2017)","previouslyFormattedCitation":"(Azam et al., 2017)"},"properties":{"noteIndex":0},"schema":"https://github.com/citation-style-language/schema/raw/master/csl-citation.json"}</w:instrText>
      </w:r>
      <w:r w:rsidR="009715F9">
        <w:rPr>
          <w:szCs w:val="24"/>
          <w:lang w:val="en"/>
        </w:rPr>
        <w:fldChar w:fldCharType="separate"/>
      </w:r>
      <w:r w:rsidR="009715F9" w:rsidRPr="009715F9">
        <w:rPr>
          <w:noProof/>
          <w:szCs w:val="24"/>
          <w:lang w:val="en"/>
        </w:rPr>
        <w:t>(Azam et al., 2017)</w:t>
      </w:r>
      <w:r w:rsidR="009715F9">
        <w:rPr>
          <w:szCs w:val="24"/>
          <w:lang w:val="en"/>
        </w:rPr>
        <w:fldChar w:fldCharType="end"/>
      </w:r>
      <w:r w:rsidRPr="008B4FB4">
        <w:rPr>
          <w:szCs w:val="24"/>
          <w:lang w:val="en"/>
        </w:rPr>
        <w:t>. Excess sugar in the blood has a direct effect on the walls of blood vessels, binding to and changing the structure of proteins and molecules lining blood vessels, making the vessels thicker, less elastic, and more likely to trigger thrombosis. Thicker, less elastic blood vessels mean that blood has a harder time flowing through narrower gaps, and must do so at higher pressures. These changes cause tissue damage called final organ damage. A smaller space for blood to flow means a greater likelihood that clots can completely block blood vessels, causing a stroke or heart attack</w:t>
      </w:r>
      <w:r w:rsidR="009715F9">
        <w:rPr>
          <w:szCs w:val="24"/>
          <w:lang w:val="en"/>
        </w:rPr>
        <w:fldChar w:fldCharType="begin" w:fldLock="1"/>
      </w:r>
      <w:r w:rsidR="009715F9">
        <w:rPr>
          <w:szCs w:val="24"/>
          <w:lang w:val="en"/>
        </w:rPr>
        <w:instrText>ADDIN CSL_CITATION {"citationItems":[{"id":"ITEM-1","itemData":{"author":[{"dropping-particle":"","family":"Sorgun","given":"Mine Hayriye","non-dropping-particle":"","parse-names":false,"suffix":""},{"dropping-particle":"","family":"Kuzu","given":"Muge","non-dropping-particle":"","parse-names":false,"suffix":""},{"dropping-particle":"","family":"Ozer","given":"Inci Sule","non-dropping-particle":"","parse-names":false,"suffix":""},{"dropping-particle":"","family":"Yilmaz","given":"Volkan","non-dropping-particle":"","parse-names":false,"suffix":""},{"dropping-particle":"","family":"Ulukan","given":"Cagrı","non-dropping-particle":"","parse-names":false,"suffix":""},{"dropping-particle":"","family":"Levent","given":"Hafize Cotur","non-dropping-particle":"","parse-names":false,"suffix":""},{"dropping-particle":"","family":"Tezcan","given":"Sabiha","non-dropping-particle":"","parse-names":false,"suffix":""},{"dropping-particle":"","family":"Rzayev","given":"Sefer","non-dropping-particle":"","parse-names":false,"suffix":""},{"dropping-particle":"","family":"Rawandi","given":"Anwar","non-dropping-particle":"","parse-names":false,"suffix":""},{"dropping-particle":"","family":"Bakırarar","given":"Batuhan","non-dropping-particle":"","parse-names":false,"suffix":""}],"container-title":"Asian Pacific journal of cancer prevention: APJCP","id":"ITEM-1","issue":"3","issued":{"date-parts":[["2018"]]},"page":"649","publisher":"Shahid Beheshti University of Medical Sciences","title":"Risk factors, biomarkers, etiology, outcome and prognosis of ischemic stroke in cancer patients","type":"article-journal","volume":"19"},"uris":["http://www.mendeley.com/documents/?uuid=8e7fbc2c-48d9-437d-aa90-f22b253d3016"]},{"id":"ITEM-2","itemData":{"author":[{"dropping-particle":"","family":"Chaturvedi","given":"Poonam","non-dropping-particle":"","parse-names":false,"suffix":""},{"dropping-particle":"","family":"Singh","given":"Ajai Kumar","non-dropping-particle":"","parse-names":false,"suffix":""},{"dropping-particle":"","family":"Tiwari","given":"Vandana","non-dropping-particle":"","parse-names":false,"suffix":""},{"dropping-particle":"","family":"Thacker","given":"Anup Kumar","non-dropping-particle":"","parse-names":false,"suffix":""}],"container-title":"Brain circulation","id":"ITEM-2","issue":"3","issued":{"date-parts":[["2020"]]},"page":"185","publisher":"Wolters Kluwer--Medknow Publications","title":"Brain-derived neurotrophic factor levels in acute stroke and its clinical implications","type":"article-journal","volume":"6"},"uris":["http://www.mendeley.com/documents/?uuid=d6bbcab0-5112-4af5-8ed3-8b2d1762b1aa"]},{"id":"ITEM-3","itemData":{"DOI":"10.15294/kemas.v15i2.14349","author":[{"dropping-particle":"","family":"Sofiana","given":"Liena","non-dropping-particle":"","parse-names":false,"suffix":""},{"dropping-particle":"","family":"Rahmawati","given":"Dwy","non-dropping-particle":"","parse-names":false,"suffix":""}],"container-title":"Jurnal Kesehatan Masyarakat","id":"ITEM-3","issued":{"date-parts":[["2019","12","22"]]},"page":"147-152","title":"Hypertension and Diabetes Mellitus Increase the Risk of Stroke","type":"article-journal","volume":"15"},"uris":["http://www.mendeley.com/documents/?uuid=01fc4678-0506-4dd8-84ad-7b6a97160f77"]}],"mendeley":{"formattedCitation":"(Chaturvedi et al., 2020; Sofiana &amp; Rahmawati, 2019; Sorgun et al., 2018)","plainTextFormattedCitation":"(Chaturvedi et al., 2020; Sofiana &amp; Rahmawati, 2019; Sorgun et al., 2018)","previouslyFormattedCitation":"(Chaturvedi et al., 2020; Sofiana &amp; Rahmawati, 2019; Sorgun et al., 2018)"},"properties":{"noteIndex":0},"schema":"https://github.com/citation-style-language/schema/raw/master/csl-citation.json"}</w:instrText>
      </w:r>
      <w:r w:rsidR="009715F9">
        <w:rPr>
          <w:szCs w:val="24"/>
          <w:lang w:val="en"/>
        </w:rPr>
        <w:fldChar w:fldCharType="separate"/>
      </w:r>
      <w:r w:rsidR="009715F9" w:rsidRPr="009715F9">
        <w:rPr>
          <w:noProof/>
          <w:szCs w:val="24"/>
          <w:lang w:val="en"/>
        </w:rPr>
        <w:t>(Chaturvedi et al., 2020; Sofiana &amp; Rahmawati, 2019; Sorgun et al., 2018)</w:t>
      </w:r>
      <w:r w:rsidR="009715F9">
        <w:rPr>
          <w:szCs w:val="24"/>
          <w:lang w:val="en"/>
        </w:rPr>
        <w:fldChar w:fldCharType="end"/>
      </w:r>
      <w:r w:rsidRPr="008B4FB4">
        <w:rPr>
          <w:szCs w:val="24"/>
          <w:lang w:val="en"/>
        </w:rPr>
        <w:t>.</w:t>
      </w:r>
      <w:r w:rsidRPr="008B4FB4">
        <w:rPr>
          <w:lang w:val="en"/>
        </w:rPr>
        <w:t xml:space="preserve"> </w:t>
      </w:r>
      <w:r w:rsidRPr="008B4FB4">
        <w:rPr>
          <w:szCs w:val="24"/>
          <w:lang w:val="en"/>
        </w:rPr>
        <w:t>DM was a major risk factor for cardiovascular disease, including stroke, it also an independent risk factor in which 20% of diabetic patients will die from stroke</w:t>
      </w:r>
      <w:r w:rsidRPr="008B4FB4">
        <w:rPr>
          <w:szCs w:val="24"/>
          <w:lang w:val="en"/>
        </w:rPr>
        <w:fldChar w:fldCharType="begin" w:fldLock="1"/>
      </w:r>
      <w:r w:rsidR="009715F9">
        <w:rPr>
          <w:szCs w:val="24"/>
          <w:lang w:val="en"/>
        </w:rPr>
        <w:instrText>ADDIN CSL_CITATION {"citationItems":[{"id":"ITEM-1","itemData":{"ISSN":"2414-2409","author":[{"dropping-particle":"","family":"Mohiuddin","given":"A K","non-dropping-particle":"","parse-names":false,"suffix":""}],"container-title":"International Journal of Diabetes Research","id":"ITEM-1","issue":"1","issued":{"date-parts":[["2019"]]},"page":"14-20","title":"Diabetes fact: Bangladesh perspective","type":"article-journal","volume":"2"},"uris":["http://www.mendeley.com/documents/?uuid=0148fc36-0ed3-4e06-af7f-411c0d458aeb"]},{"id":"ITEM-2","itemData":{"ISSN":"1552-5260","author":[{"dropping-particle":"","family":"Shang","given":"Ying","non-dropping-particle":"","parse-names":false,"suffix":""},{"dropping-particle":"","family":"Fratiglioni","given":"Laura","non-dropping-particle":"","parse-names":false,"suffix":""},{"dropping-particle":"","family":"Marseglia","given":"Anna","non-dropping-particle":"","parse-names":false,"suffix":""},{"dropping-particle":"","family":"Plym","given":"Anna","non-dropping-particle":"","parse-names":false,"suffix":""},{"dropping-particle":"","family":"Welmer","given":"Anna‐Karin","non-dropping-particle":"","parse-names":false,"suffix":""},{"dropping-particle":"","family":"Wang","given":"Hui‐Xin","non-dropping-particle":"","parse-names":false,"suffix":""},{"dropping-particle":"","family":"Wang","given":"Rui","non-dropping-particle":"","parse-names":false,"suffix":""},{"dropping-particle":"","family":"Xu","given":"Weili","non-dropping-particle":"","parse-names":false,"suffix":""}],"container-title":"Alzheimer's &amp; Dementia","id":"ITEM-2","issue":"7","issued":{"date-parts":[["2020"]]},"page":"1003-1012","publisher":"Wiley Online Library","title":"Association of diabetes with stroke and post‐stroke dementia: a population‐based cohort study","type":"article-journal","volume":"16"},"uris":["http://www.mendeley.com/documents/?uuid=18368720-bb59-4c1e-b2bb-8093b1186b2a"]},{"id":"ITEM-3","itemData":{"ISSN":"2040-1116","author":[{"dropping-particle":"","family":"Lau","given":"Lik‐Hui","non-dropping-particle":"","parse-names":false,"suffix":""},{"dropping-particle":"","family":"Lew","given":"Jeremy","non-dropping-particle":"","parse-names":false,"suffix":""},{"dropping-particle":"","family":"Borschmann","given":"Karen","non-dropping-particle":"","parse-names":false,"suffix":""},{"dropping-particle":"","family":"Thijs","given":"Vincent","non-dropping-particle":"","parse-names":false,"suffix":""},{"dropping-particle":"","family":"Ekinci","given":"Elif I","non-dropping-particle":"","parse-names":false,"suffix":""}],"container-title":"Journal of diabetes investigation","id":"ITEM-3","issue":"3","issued":{"date-parts":[["2019"]]},"page":"780-792","publisher":"Wiley Online Library","title":"Prevalence of diabetes and its effects on stroke outcomes: a meta‐analysis and literature review","type":"article-journal","volume":"10"},"uris":["http://www.mendeley.com/documents/?uuid=3092be96-47f5-41fb-9f0f-d6b17e0a5115"]}],"mendeley":{"formattedCitation":"(Lau et al., 2019; Mohiuddin, 2019; Shang et al., 2020)","plainTextFormattedCitation":"(Lau et al., 2019; Mohiuddin, 2019; Shang et al., 2020)","previouslyFormattedCitation":"(Lau et al., 2019; Mohiuddin, 2019; Shang et al., 2020)"},"properties":{"noteIndex":0},"schema":"https://github.com/citation-style-language/schema/raw/master/csl-citation.json"}</w:instrText>
      </w:r>
      <w:r w:rsidRPr="008B4FB4">
        <w:rPr>
          <w:szCs w:val="24"/>
          <w:lang w:val="en"/>
        </w:rPr>
        <w:fldChar w:fldCharType="separate"/>
      </w:r>
      <w:r w:rsidRPr="008B4FB4">
        <w:rPr>
          <w:noProof/>
          <w:szCs w:val="24"/>
          <w:lang w:val="en"/>
        </w:rPr>
        <w:t>(Lau et al., 2019; Mohiuddin, 2019; Shang et al., 2020)</w:t>
      </w:r>
      <w:r w:rsidRPr="008B4FB4">
        <w:rPr>
          <w:szCs w:val="24"/>
          <w:lang w:val="en"/>
        </w:rPr>
        <w:fldChar w:fldCharType="end"/>
      </w:r>
      <w:r w:rsidRPr="008B4FB4">
        <w:rPr>
          <w:szCs w:val="24"/>
          <w:lang w:val="en"/>
        </w:rPr>
        <w:t xml:space="preserve">. </w:t>
      </w:r>
    </w:p>
    <w:p w14:paraId="16D3DAEA" w14:textId="0F57847A" w:rsidR="008B4FB4" w:rsidRPr="008B4FB4" w:rsidRDefault="008B4FB4" w:rsidP="00AD0EE3">
      <w:pPr>
        <w:spacing w:line="276" w:lineRule="auto"/>
        <w:ind w:firstLine="720"/>
        <w:jc w:val="both"/>
        <w:rPr>
          <w:szCs w:val="24"/>
        </w:rPr>
      </w:pPr>
      <w:r w:rsidRPr="008B4FB4">
        <w:rPr>
          <w:szCs w:val="24"/>
          <w:lang w:val="en"/>
        </w:rPr>
        <w:t xml:space="preserve"> Systolic blood</w:t>
      </w:r>
      <w:r w:rsidRPr="008B4FB4">
        <w:rPr>
          <w:lang w:val="en"/>
        </w:rPr>
        <w:t xml:space="preserve"> pressure</w:t>
      </w:r>
      <w:r w:rsidRPr="008B4FB4">
        <w:rPr>
          <w:szCs w:val="24"/>
          <w:lang w:val="en"/>
        </w:rPr>
        <w:t xml:space="preserve"> was shown to be a risk factor</w:t>
      </w:r>
      <w:r w:rsidRPr="008B4FB4">
        <w:rPr>
          <w:lang w:val="en"/>
        </w:rPr>
        <w:t xml:space="preserve"> for </w:t>
      </w:r>
      <w:r w:rsidRPr="008B4FB4">
        <w:rPr>
          <w:szCs w:val="24"/>
          <w:lang w:val="en"/>
        </w:rPr>
        <w:t>stroke although an increase in systolic blood pressure had a greater effect on outcomes, both systolic and diastolic hypertension independently affecting the risk of adverse cardiovascular events, regardless of the definition of hypertension (≥120 mmHg and ≥80 mmHg</w:t>
      </w:r>
      <w:r w:rsidRPr="008B4FB4">
        <w:rPr>
          <w:szCs w:val="24"/>
          <w:lang w:val="en"/>
        </w:rPr>
        <w:fldChar w:fldCharType="begin" w:fldLock="1"/>
      </w:r>
      <w:r w:rsidR="009715F9">
        <w:rPr>
          <w:szCs w:val="24"/>
          <w:lang w:val="en"/>
        </w:rPr>
        <w:instrText>ADDIN CSL_CITATION {"citationItems":[{"id":"ITEM-1","itemData":{"DOI":"10.1056/nejmoa1803180","ISSN":"0028-4793","PMID":"31314968","abstract":"© 2019 Massachusetts Medical Society. BACKGROUND The relationship between outpatient systolic and diastolic blood pressure and cardiovascular outcomes remains unclear and has been complicated by recently revised guidelines with two different thresholds (≥140/90 mm Hg and ≥130/80 mm Hg) for treating hypertension. METHODS Using data from 1.3 million adults in a general outpatient population, we performed a multivariable Cox survival analysis to determine the effect of the burden of systolic and diastolic hypertension on a composite outcome of myocardial infarction, ischemic stroke, or hemorrhagic stroke over a period of 8 years. The analysis controlled for demographic characteristics and coexisting conditions. RESULTS The burdens of systolic and diastolic hypertension each independently predicted adverse outcomes. In survival models, a continuous burden of systolic hypertension (≥140 mm Hg; hazard ratio per unit increase in z score, 1.18; 95% confidence interval [CI], 1.17 to 1.18) and diastolic hypertension (≥90 mm Hg; hazard ratio per unit increase in z score, 1.06; 95% CI, 1.06 to 1.07) independently predicted the composite outcome. Similar results were observed with the lower threshold of hypertension (≥130/80 mm Hg) and with systolic and diastolic blood pressures used as predictors without hypertension thresholds. A J-curve relation between diastolic blood pressure and outcomes was seen that was explained at least in part by age and other covariates and by a higher effect of systolic hypertension among persons in the lowest quartile of diastolic blood pressure. CONCLUSIONS Although systolic blood-pressure elevation had a greater effect on outcomes, both systolic and diastolic hypertension independently influenced the risk of adverse cardiovascular events, regardless of the definition of hypertension (≥140/90 mm Hg or ≥130/80 mm Hg).","author":[{"dropping-particle":"","family":"Flint","given":"Alexander C.","non-dropping-particle":"","parse-names":false,"suffix":""},{"dropping-particle":"","family":"Conell","given":"Carol","non-dropping-particle":"","parse-names":false,"suffix":""},{"dropping-particle":"","family":"Ren","given":"Xiushui","non-dropping-particle":"","parse-names":false,"suffix":""},{"dropping-particle":"","family":"Banki","given":"Nader M.","non-dropping-particle":"","parse-names":false,"suffix":""},{"dropping-particle":"","family":"Chan","given":"Sheila L.","non-dropping-particle":"","parse-names":false,"suffix":""},{"dropping-particle":"","family":"Rao","given":"Vivek A.","non-dropping-particle":"","parse-names":false,"suffix":""},{"dropping-particle":"","family":"Melles","given":"Ronald B.","non-dropping-particle":"","parse-names":false,"suffix":""},{"dropping-particle":"","family":"Bhatt","given":"Deepak L.","non-dropping-particle":"","parse-names":false,"suffix":""}],"container-title":"New England Journal of Medicine","id":"ITEM-1","issue":"3","issued":{"date-parts":[["2019"]]},"page":"243-251","title":"Effect of Systolic and Diastolic Blood Pressure on Cardiovascular Outcomes","type":"article-journal","volume":"381"},"uris":["http://www.mendeley.com/documents/?uuid=a536c7fd-09d7-4634-b699-be4973e03651"]}],"mendeley":{"formattedCitation":"(Flint et al., 2019)","plainTextFormattedCitation":"(Flint et al., 2019)","previouslyFormattedCitation":"(Flint et al., 2019)"},"properties":{"noteIndex":0},"schema":"https://github.com/citation-style-language/schema/raw/master/csl-citation.json"}</w:instrText>
      </w:r>
      <w:r w:rsidRPr="008B4FB4">
        <w:rPr>
          <w:szCs w:val="24"/>
          <w:lang w:val="en"/>
        </w:rPr>
        <w:fldChar w:fldCharType="separate"/>
      </w:r>
      <w:r w:rsidRPr="008B4FB4">
        <w:rPr>
          <w:noProof/>
          <w:szCs w:val="24"/>
          <w:lang w:val="en"/>
        </w:rPr>
        <w:t>(Flint et al., 2019)</w:t>
      </w:r>
      <w:r w:rsidRPr="008B4FB4">
        <w:rPr>
          <w:szCs w:val="24"/>
          <w:lang w:val="en"/>
        </w:rPr>
        <w:fldChar w:fldCharType="end"/>
      </w:r>
      <w:r w:rsidRPr="008B4FB4">
        <w:rPr>
          <w:szCs w:val="24"/>
          <w:lang w:val="en"/>
        </w:rPr>
        <w:t xml:space="preserve"> including Recurrent Stroke </w:t>
      </w:r>
      <w:r w:rsidRPr="008B4FB4">
        <w:rPr>
          <w:szCs w:val="24"/>
          <w:lang w:val="en"/>
        </w:rPr>
        <w:fldChar w:fldCharType="begin" w:fldLock="1"/>
      </w:r>
      <w:r w:rsidR="009715F9">
        <w:rPr>
          <w:szCs w:val="24"/>
          <w:lang w:val="en"/>
        </w:rPr>
        <w:instrText>ADDIN CSL_CITATION {"citationItems":[{"id":"ITEM-1","itemData":{"DOI":"10.1001/jama.2011.1650","ISSN":"1538-3598 (Electronic)","PMID":"22089721","abstract":"CONTEXT: Recurrent stroke prevention guidelines suggest that larger reductions in  systolic blood pressure (SBP) are positively associated with a greater reduction in the risk of recurrent stroke and define an SBP level of less than 120 mm Hg as normal. However, the association of SBP maintained at such levels with risk of vascular events after a recent ischemic stroke is unclear. OBJECTIVE: To assess the association of maintaining low-normal vs high-normal SBP levels with risk of recurrent stroke. DESIGN, SETTING, AND PATIENTS: Post hoc observational analysis of a multicenter trial involving 20,330 patients (age ≥50 years) with recent non-cardioembolic ischemic stroke; patients were recruited from 695 centers in 35 countries from September 2003 through July 2006 and followed up for 2.5 years (follow-up ended on February 8, 2008). Patients were categorized based on their mean SBP level: very low-normal (&lt;120 mm Hg), low-normal (120-&lt;130 mm Hg), high-normal (130-&lt;140 mm Hg), high (140-&lt;150 mm Hg), and very high (≥150 mm Hg). MAIN OUTCOME MEASURES: The primary outcome was first recurrence of stroke of any type and the secondary outcome was a composite of stroke, myocardial infarction, or death from vascular causes. RESULTS: The recurrent stroke rates were 8.0% (95% CI, 6.8%-9.2%) for the very low-normal SBP level group, 7.2% (95% CI, 6.4%-8.0%) for the low-normal SBP group, 6.8% (95% CI, 6.1%-7.4%) for the high-normal SBP group, 8.7% (95% CI, 7.9%-9.5%) for the high SBP group, and 14.1% (95% CI, 13.0%-15.2%) for the very high SBP group. Compared with patients in the high-normal SBP group, the risk of the primary outcome was higher for patients in the very low-normal SBP group (adjusted hazard ratio [AHR], 1.29; 95% CI, 1.07-1.56), in the high SBP group (AHR, 1.23; 95% CI, 1.07-1.41), and in the very high SBP group (AHR, 2.08; 95% CI, 1.83-2.37). Compared with patients in the high-normal SBP group, the risk of secondary outcome was higher for patients in the very low-normal SBP group (AHR, 1.31; 95% CI, 1.13-1.52), in the low-normal SBP group (AHR, 1.16; 95% CI, 1.03-1.31), in the high SBP group (AHR, 1.24; 95% CI, 1.11-1.39), and in the very high SBP group (AHR, 1.94; 95% CI, 1.74-2.16). CONCLUSION: Among patients with recent non-cardioembolic ischemic stroke, SBP levels during follow-up in the very low-normal (&lt;120 mm Hg), high (140-&lt;150 mm Hg), or very high (≥150 mm Hg) range were associated with increased risk of recurrent stroke. TRIAL REGISTRATION: c…","author":[{"dropping-particle":"","family":"Ovbiagele","given":"Bruce","non-dropping-particle":"","parse-names":false,"suffix":""},{"dropping-particle":"","family":"Diener","given":"Hans-Christophe","non-dropping-particle":"","parse-names":false,"suffix":""},{"dropping-particle":"","family":"Yusuf","given":"Salim","non-dropping-particle":"","parse-names":false,"suffix":""},{"dropping-particle":"","family":"Martin","given":"Reneé H","non-dropping-particle":"","parse-names":false,"suffix":""},{"dropping-particle":"","family":"Cotton","given":"Daniel","non-dropping-particle":"","parse-names":false,"suffix":""},{"dropping-particle":"","family":"Vinisko","given":"Richard","non-dropping-particle":"","parse-names":false,"suffix":""},{"dropping-particle":"","family":"Donnan","given":"Geoffrey A","non-dropping-particle":"","parse-names":false,"suffix":""},{"dropping-particle":"","family":"Bath","given":"Philip M","non-dropping-particle":"","parse-names":false,"suffix":""}],"container-title":"JAMA","id":"ITEM-1","issue":"19","issued":{"date-parts":[["2011","11"]]},"language":"eng","page":"2137-2144","publisher-place":"United States","title":"Level of systolic blood pressure within the normal range and risk of recurrent  stroke.","type":"article-journal","volume":"306"},"uris":["http://www.mendeley.com/documents/?uuid=030fac18-9a01-44c2-8a10-e14982b60863"]}],"mendeley":{"formattedCitation":"(Ovbiagele et al., 2011)","plainTextFormattedCitation":"(Ovbiagele et al., 2011)","previouslyFormattedCitation":"(Ovbiagele et al., 2011)"},"properties":{"noteIndex":0},"schema":"https://github.com/citation-style-language/schema/raw/master/csl-citation.json"}</w:instrText>
      </w:r>
      <w:r w:rsidRPr="008B4FB4">
        <w:rPr>
          <w:szCs w:val="24"/>
          <w:lang w:val="en"/>
        </w:rPr>
        <w:fldChar w:fldCharType="separate"/>
      </w:r>
      <w:r w:rsidRPr="008B4FB4">
        <w:rPr>
          <w:noProof/>
          <w:szCs w:val="24"/>
          <w:lang w:val="en"/>
        </w:rPr>
        <w:t>(Ovbiagele et al., 2011)</w:t>
      </w:r>
      <w:r w:rsidRPr="008B4FB4">
        <w:rPr>
          <w:szCs w:val="24"/>
          <w:lang w:val="en"/>
        </w:rPr>
        <w:fldChar w:fldCharType="end"/>
      </w:r>
      <w:r w:rsidRPr="008B4FB4">
        <w:rPr>
          <w:szCs w:val="24"/>
          <w:lang w:val="en"/>
        </w:rPr>
        <w:t xml:space="preserve"> and is the leading cause of cardiovascular death</w:t>
      </w:r>
      <w:r w:rsidRPr="008B4FB4">
        <w:rPr>
          <w:szCs w:val="24"/>
          <w:lang w:val="en"/>
        </w:rPr>
        <w:fldChar w:fldCharType="begin" w:fldLock="1"/>
      </w:r>
      <w:r w:rsidR="009715F9">
        <w:rPr>
          <w:szCs w:val="24"/>
          <w:lang w:val="en"/>
        </w:rPr>
        <w:instrText>ADDIN CSL_CITATION {"citationItems":[{"id":"ITEM-1","itemData":{"DOI":"10.1016/j.jacc.2021.08.035","ISSN":"1558-3597 (Electronic)","PMID":"34674811","abstract":"BACKGROUND: SBP and DBP have important associations with cardiovascular events, but  are seldom considered simultaneously. OBJECTIVES: This study sought to simultaneously analyze systolic blood pressure (SBP) and diastolic blood pressure (DBP) measurements on the associated risk of a primary composite outcome of all-cause mortality, myocardial infarction (MI), congestive heart failure (CHF), or stroke. METHODS: This study analyzed ALLHAT (Antihypertensive and Lipid-Lowering Treatment to Prevent Heart Attack Trial) data, which randomized adults to chlorthalidone, amlodipine, or lisinopril. The authors evaluated the simultaneous association of repeated SBP and DBP measurements on the primary composite outcome, and each outcome using proportional hazards regression. The authors report hazard ratios using a \"heat map\" to represent high and low risk according to SBP and DBP combinations. RESULTS: During a median follow-up of 4.4 years (interquartile range: 3.6-5.4 years), 33,357 participants experienced 2,636 MIs, 866 CHF events, 936 strokes, and 3,700 deaths; 8,138 patients (24.4%) had at least 1 event. For the composite outcome, all-cause mortality, MI, and CHF, a U-shaped association was observed with SBP and DBP, but the SBP and DBP associated with the lowest hazards differed for each outcome. For example, SBP/DBP of 140-155/70-80 mm Hg was associated with the lowest HR for all-cause mortality, compared with 110-120/85-90 mm Hg for MI and 125-135/70-75 mm Hg for CHF. In contrast, the association of SBP and stroke was linear. CONCLUSIONS: The risk pattern of SBP and DBP differs by clinical outcomes, and the SBP and DBP associated with the lowest risk. Our results suggest individualization of blood pressure targets may depend in part on the cardiovascular event for which the patient is most at risk.","author":[{"dropping-particle":"","family":"Itoga","given":"Nathan K","non-dropping-particle":"","parse-names":false,"suffix":""},{"dropping-particle":"","family":"Tawfik","given":"Daniel S","non-dropping-particle":"","parse-names":false,"suffix":""},{"dropping-particle":"","family":"Montez-Rath","given":"Maria E","non-dropping-particle":"","parse-names":false,"suffix":""},{"dropping-particle":"","family":"Chang","given":"Tara I","non-dropping-particle":"","parse-names":false,"suffix":""}],"container-title":"Journal of the American College of Cardiology","id":"ITEM-1","issue":"17","issued":{"date-parts":[["2021","10"]]},"language":"eng","page":"1671-1678","publisher-place":"United States","title":"Contributions of Systolic and Diastolic Blood Pressures to Cardiovascular Outcomes  in the ALLHAT Study.","type":"article-journal","volume":"78"},"uris":["http://www.mendeley.com/documents/?uuid=4a9e1334-2caa-4104-8d87-2189b4b43dbd"]},{"id":"ITEM-2","itemData":{"DOI":"10.1161/01.STR.0000166201.79222.4d","ISSN":"1524-4628 (Electronic)","PMID":"15879322","abstract":"BACKGROUND AND PURPOSE: Isolated systolic hypertension (ISH), systolic blood  pressure (BP) &gt; or =160 mm Hg and diastolic BP (DBP) &lt;90 mm Hg, is associated with stroke; however, the correlation between specific BP indices and stroke mortality in ISH is not defined. METHODS: In a pooled analysis of 9 epidemiological studies, we examined whether pulse pressure (PP) was more predictive of stroke mortality than systolic BP (SBP), DBP, or mean BP (MAP) in persons with ISH. Subjects (n=682; 29% male; 77% white; mean age 63.6 years) with ISH, free of cardiovascular disease, and not on antihypertensive drug therapy at baseline were followed a mean of 13.0+/-7.3 years, and 54 stroke deaths occurred. The relative importance of each BP index was compared by the decrease in the -2 log likelihood (a measure of model agreement with data) because of the addition of 1 or a combination of BP indices to a Cox regression model. Hazards ratios (HRs) for fatal stroke for a 1-SD in BP index were determined. RESULTS: PP was the best predictor of stroke mortality based on the decrease in the -2 log likelihood (10.65; P=0.001; HR=1.52), followed by SBP (7.19; P=0.007; HR=1.40), DBP (2.76; P=0.10; HR=0.80), or MAP (0.39; P=0.39; HR=1.10). Any combination of BP indices did not exceed a decrease in the -2 log likelihood of 10.72. CONCLUSIONS: These data suggest that in persons with ISH, PP is a better predictor of fatal stroke than SBP, DBP, or MAP.","author":[{"dropping-particle":"","family":"Paultre","given":"Furcy","non-dropping-particle":"","parse-names":false,"suffix":""},{"dropping-particle":"","family":"Mosca","given":"Lori","non-dropping-particle":"","parse-names":false,"suffix":""}],"container-title":"Stroke","id":"ITEM-2","issue":"6","issued":{"date-parts":[["2005","6"]]},"language":"eng","page":"1288-1290","publisher-place":"United States","title":"Association of blood pressure indices and stroke mortality in isolated systolic  hypertension.","type":"article-journal","volume":"36"},"uris":["http://www.mendeley.com/documents/?uuid=bb7d5a5e-5400-4227-9506-591b0ad6a8bf"]}],"mendeley":{"formattedCitation":"(Itoga et al., 2021; Paultre &amp; Mosca, 2005)","plainTextFormattedCitation":"(Itoga et al., 2021; Paultre &amp; Mosca, 2005)","previouslyFormattedCitation":"(Itoga et al., 2021; Paultre &amp; Mosca, 2005)"},"properties":{"noteIndex":0},"schema":"https://github.com/citation-style-language/schema/raw/master/csl-citation.json"}</w:instrText>
      </w:r>
      <w:r w:rsidRPr="008B4FB4">
        <w:rPr>
          <w:szCs w:val="24"/>
          <w:lang w:val="en"/>
        </w:rPr>
        <w:fldChar w:fldCharType="separate"/>
      </w:r>
      <w:r w:rsidRPr="008B4FB4">
        <w:rPr>
          <w:noProof/>
          <w:szCs w:val="24"/>
          <w:lang w:val="en"/>
        </w:rPr>
        <w:t>(Itoga et al., 2021; Paultre &amp; Mosca, 2005)</w:t>
      </w:r>
      <w:r w:rsidRPr="008B4FB4">
        <w:rPr>
          <w:szCs w:val="24"/>
          <w:lang w:val="en"/>
        </w:rPr>
        <w:fldChar w:fldCharType="end"/>
      </w:r>
      <w:r w:rsidRPr="008B4FB4">
        <w:rPr>
          <w:szCs w:val="24"/>
          <w:lang w:val="en"/>
        </w:rPr>
        <w:t xml:space="preserve"> The association of hypertension with stroke has been widely explained by many studies. One study by O'Donnell et al. (2010) identified as many as 3,000 cases of stroke with the results of an OR analysis of 2.64. These results can be concluded that people diagnosed with hypertension have a risk of 2.64 times the incidence of stroke compared to people who are not diagnosed with hypertension</w:t>
      </w:r>
      <w:r w:rsidRPr="008B4FB4">
        <w:rPr>
          <w:szCs w:val="24"/>
          <w:lang w:val="en"/>
        </w:rPr>
        <w:fldChar w:fldCharType="begin" w:fldLock="1"/>
      </w:r>
      <w:r w:rsidR="009715F9">
        <w:rPr>
          <w:szCs w:val="24"/>
          <w:lang w:val="en"/>
        </w:rPr>
        <w:instrText>ADDIN CSL_CITATION {"citationItems":[{"id":"ITEM-1","itemData":{"DOI":"10.1016/S0140-6736(10)60834-3","ISSN":"1474-547X (Electronic)","PMID":"20561675","abstract":"BACKGROUND: The contribution of various risk factors to the burden of stroke  worldwide is unknown, particularly in countries of low and middle income. We aimed to establish the association of known and emerging risk factors with stroke and its primary subtypes, assess the contribution of these risk factors to the burden of stroke, and explore the differences between risk factors for stroke and myocardial infarction. METHODS: We undertook a standardised case-control study in 22 countries worldwide between March 1, 2007, and April 23, 2010. Cases were patients with acute first stroke (within 5 days of symptoms onset and 72 h of hospital admission). Controls had no history of stroke, and were matched with cases for age and sex. All participants completed a structured questionnaire and a physical examination, and most provided blood and urine samples. We calculated odds ratios (ORs) and population-attributable risks (PARs) for the association of all stroke, ischaemic stroke, and intracerebral haemorrhagic stroke with selected risk factors. FINDINGS: In the first 3000 cases (n=2337, 78%, with ischaemic stroke; n=663, 22%, with intracerebral haemorrhagic stroke) and 3000 controls, significant risk factors for all stroke were: history of hypertension (OR 2.64, 99% CI 2.26-3.08; PAR 34.6%, 99% CI 30.4-39.1); current smoking (2.09, 1.75-2.51; 18.9%, 15.3-23.1); waist-to-hip ratio (1.65, 1.36-1.99 for highest vs lowest tertile; 26.5%, 18.8-36.0); diet risk score (1.35, 1.11-1.64 for highest vs lowest tertile; 18.8%, 11.2-29.7); regular physical activity (0.69, 0.53-0.90; 28.5%, 14.5-48.5); diabetes mellitus (1.36, 1.10-1.68; 5.0%, 2.6-9.5); alcohol intake (1.51, 1.18-1.92 for more than 30 drinks per month or binge drinking; 3.8%, 0.9-14.4); psychosocial stress (1.30, 1.06-1.60; 4.6%, 2.1-9.6) and depression (1.35, 1.10-1.66; 5.2%, 2.7-9.8); cardiac causes (2.38, 1.77-3.20; 6.7%, 4.8-9.1); and ratio of apolipoproteins B to A1 (1.89, 1.49-2.40 for highest vs lowest tertile; 24.9%, 15.7-37.1). Collectively, these risk factors accounted for 88.1% (99% CI 82.3-92.2) of the PAR for all stroke. When an alternate definition of hypertension was used (history of hypertension or blood pressure &gt;160/90 mm Hg), the combined PAR was 90.3% (85.3-93.7) for all stroke. These risk factors were all significant for ischaemic stroke, whereas hypertension, smoking, waist-to-hip ratio, diet, and alcohol intake were significant risk factors for intracerebral haemorrhagic stroke. INTERP…","author":[{"dropping-particle":"","family":"O'Donnell","given":"Martin J","non-dropping-particle":"","parse-names":false,"suffix":""},{"dropping-particle":"","family":"Xavier","given":"Denis","non-dropping-particle":"","parse-names":false,"suffix":""},{"dropping-particle":"","family":"Liu","given":"Lisheng","non-dropping-particle":"","parse-names":false,"suffix":""},{"dropping-particle":"","family":"Zhang","given":"Hongye","non-dropping-particle":"","parse-names":false,"suffix":""},{"dropping-particle":"","family":"Chin","given":"Siu Lim","non-dropping-particle":"","parse-names":false,"suffix":""},{"dropping-particle":"","family":"Rao-Melacini","given":"Purnima","non-dropping-particle":"","parse-names":false,"suffix":""},{"dropping-particle":"","family":"Rangarajan","given":"Sumathy","non-dropping-particle":"","parse-names":false,"suffix":""},{"dropping-particle":"","family":"Islam","given":"Shofiqul","non-dropping-particle":"","parse-names":false,"suffix":""},{"dropping-particle":"","family":"Pais","given":"Prem","non-dropping-particle":"","parse-names":false,"suffix":""},{"dropping-particle":"","family":"McQueen","given":"Matthew J","non-dropping-particle":"","parse-names":false,"suffix":""},{"dropping-particle":"","family":"Mondo","given":"Charles","non-dropping-particle":"","parse-names":false,"suffix":""},{"dropping-particle":"","family":"Damasceno","given":"Albertino","non-dropping-particle":"","parse-names":false,"suffix":""},{"dropping-particle":"","family":"Lopez-Jaramillo","given":"Patricio","non-dropping-particle":"","parse-names":false,"suffix":""},{"dropping-particle":"","family":"Hankey","given":"Graeme J","non-dropping-particle":"","parse-names":false,"suffix":""},{"dropping-particle":"","family":"Dans","given":"Antonio L","non-dropping-particle":"","parse-names":false,"suffix":""},{"dropping-particle":"","family":"Yusoff","given":"Khalid","non-dropping-particle":"","parse-names":false,"suffix":""},{"dropping-particle":"","family":"Truelsen","given":"Thomas","non-dropping-particle":"","parse-names":false,"suffix":""},{"dropping-particle":"","family":"Diener","given":"Hans-Christoph","non-dropping-particle":"","parse-names":false,"suffix":""},{"dropping-particle":"","family":"Sacco","given":"Ralph L","non-dropping-particle":"","parse-names":false,"suffix":""},{"dropping-particle":"","family":"Ryglewicz","given":"Danuta","non-dropping-particle":"","parse-names":false,"suffix":""},{"dropping-particle":"","family":"Czlonkowska","given":"Anna","non-dropping-particle":"","parse-names":false,"suffix":""},{"dropping-particle":"","family":"Weimar","given":"Christian","non-dropping-particle":"","parse-names":false,"suffix":""},{"dropping-particle":"","family":"Wang","given":"Xingyu","non-dropping-particle":"","parse-names":false,"suffix":""},{"dropping-particle":"","family":"Yusuf","given":"Salim","non-dropping-particle":"","parse-names":false,"suffix":""}],"container-title":"Lancet (London, England)","id":"ITEM-1","issue":"9735","issued":{"date-parts":[["2010","7"]]},"language":"eng","page":"112-123","publisher-place":"England","title":"Risk factors for ischaemic and intracerebral haemorrhagic stroke in 22 countries  (the INTERSTROKE study): a case-control study.","type":"article-journal","volume":"376"},"uris":["http://www.mendeley.com/documents/?uuid=508befcf-2e1f-4084-9670-3982db07a057"]}],"mendeley":{"formattedCitation":"(O’Donnell et al., 2010)","plainTextFormattedCitation":"(O’Donnell et al., 2010)","previouslyFormattedCitation":"(O’Donnell et al., 2010)"},"properties":{"noteIndex":0},"schema":"https://github.com/citation-style-language/schema/raw/master/csl-citation.json"}</w:instrText>
      </w:r>
      <w:r w:rsidRPr="008B4FB4">
        <w:rPr>
          <w:szCs w:val="24"/>
          <w:lang w:val="en"/>
        </w:rPr>
        <w:fldChar w:fldCharType="separate"/>
      </w:r>
      <w:r w:rsidRPr="008B4FB4">
        <w:rPr>
          <w:noProof/>
          <w:szCs w:val="24"/>
          <w:lang w:val="en"/>
        </w:rPr>
        <w:t>(O’Donnell et al., 2010)</w:t>
      </w:r>
      <w:r w:rsidRPr="008B4FB4">
        <w:rPr>
          <w:szCs w:val="24"/>
          <w:lang w:val="en"/>
        </w:rPr>
        <w:fldChar w:fldCharType="end"/>
      </w:r>
      <w:r w:rsidRPr="008B4FB4">
        <w:rPr>
          <w:szCs w:val="24"/>
          <w:lang w:val="en"/>
        </w:rPr>
        <w:t>. Research by Chen et al. (2014) showed Asians were at 2.84 times the risk of having a stroke with hypertension as a risk factor</w:t>
      </w:r>
      <w:r w:rsidRPr="008B4FB4">
        <w:rPr>
          <w:szCs w:val="24"/>
          <w:lang w:val="en"/>
        </w:rPr>
        <w:fldChar w:fldCharType="begin" w:fldLock="1"/>
      </w:r>
      <w:r w:rsidR="009715F9">
        <w:rPr>
          <w:szCs w:val="24"/>
          <w:lang w:val="en"/>
        </w:rPr>
        <w:instrText>ADDIN CSL_CITATION {"citationItems":[{"id":"ITEM-1","itemData":{"DOI":"10.1186/1471-2458-14-776","ISSN":"1471-2458 (Electronic)","PMID":"25081994","abstract":"BACKGROUND: There has been an increasing trend in the incidence of stroke worldwide  in recent years, and the number of studies focusing on the risk factors for stroke has also increased every year. To comprehensively evaluate the risk factors of stroke identified in prospective Western and Asian cohort studies. METHODS: Population-based cohort studies on stroke were searched in databases (PubMed, EMBASE, Web of Science, Google Scholar, etc.), and the library of the Third Military Medical University was manually searched for relevant information. A meta-analysis of Western and Asian studies on risk factors was performed. The pooled hazard ratios (HRs) with 95% confidence intervals (CIs) were calculated to assess the final group of cohort studies. RESULTS: After screening, 22 prospective cohort studies were included in the analyses of this investigation. Two factors, smoking and alcohol consumption, showed statistically significant differences between Western and Asian populations, and the results were as follows (W/A): 2.05 (95% CI, 1.68 ~ 2.49)/1.27 (95% CI, 1.04 ~ 1.55) and 0.89 (95% CI, 0.76 ~ 1.04)/1.28 (95% CI, 1.07 ~ 1.53). The factor BMI = 18.5-21.9 kg/m2 showed statistically significant differences only in Western populations, 0.96 (95% CI, 0.93 ~ 0.99); the factor SBP = 120-139 mm Hg showed statistically significant differences only in Asian populations, 2.29 (95% CI, 1.04 ~ 5.09). CONCLUSIONS: The prevalences of risk factors affect the stroke morbidity in Western and Asian populations, which may be biased by race. The meta-analysis of population-based studies suggests that different preventive measures should be adopted for Western and Asian population groups that are at high risk for stroke.","author":[{"dropping-particle":"","family":"Chen","given":"Xuetao","non-dropping-particle":"","parse-names":false,"suffix":""},{"dropping-particle":"","family":"Zhou","given":"Liang","non-dropping-particle":"","parse-names":false,"suffix":""},{"dropping-particle":"","family":"Zhang","given":"Yanqi","non-dropping-particle":"","parse-names":false,"suffix":""},{"dropping-particle":"","family":"Yi","given":"Dali","non-dropping-particle":"","parse-names":false,"suffix":""},{"dropping-particle":"","family":"Liu","given":"Ling","non-dropping-particle":"","parse-names":false,"suffix":""},{"dropping-particle":"","family":"Rao","given":"Wen","non-dropping-particle":"","parse-names":false,"suffix":""},{"dropping-particle":"","family":"Wu","given":"Yazhou","non-dropping-particle":"","parse-names":false,"suffix":""},{"dropping-particle":"","family":"Ma","given":"Dihui","non-dropping-particle":"","parse-names":false,"suffix":""},{"dropping-particle":"","family":"Liu","given":"Xiaoyu","non-dropping-particle":"","parse-names":false,"suffix":""},{"dropping-particle":"","family":"Zhou","given":"Xiao-Hua Andrew","non-dropping-particle":"","parse-names":false,"suffix":""},{"dropping-particle":"","family":"Lin","given":"Hui","non-dropping-particle":"","parse-names":false,"suffix":""},{"dropping-particle":"","family":"Cheng","given":"Dixiang","non-dropping-particle":"","parse-names":false,"suffix":""},{"dropping-particle":"","family":"Yi","given":"Dong","non-dropping-particle":"","parse-names":false,"suffix":""}],"container-title":"BMC public health","id":"ITEM-1","issued":{"date-parts":[["2014","7"]]},"language":"eng","page":"776","title":"Risk factors of stroke in Western and Asian countries: a systematic review and  meta-analysis of prospective cohort studies.","type":"article-journal","volume":"14"},"uris":["http://www.mendeley.com/documents/?uuid=338d9f71-cbaf-4198-a960-09c3d2e35427"]}],"mendeley":{"formattedCitation":"(Chen et al., 2014)","plainTextFormattedCitation":"(Chen et al., 2014)","previouslyFormattedCitation":"(Chen et al., 2014)"},"properties":{"noteIndex":0},"schema":"https://github.com/citation-style-language/schema/raw/master/csl-citation.json"}</w:instrText>
      </w:r>
      <w:r w:rsidRPr="008B4FB4">
        <w:rPr>
          <w:szCs w:val="24"/>
          <w:lang w:val="en"/>
        </w:rPr>
        <w:fldChar w:fldCharType="separate"/>
      </w:r>
      <w:r w:rsidRPr="008B4FB4">
        <w:rPr>
          <w:noProof/>
          <w:szCs w:val="24"/>
          <w:lang w:val="en"/>
        </w:rPr>
        <w:t>(Chen et al., 2014)</w:t>
      </w:r>
      <w:r w:rsidRPr="008B4FB4">
        <w:rPr>
          <w:szCs w:val="24"/>
          <w:lang w:val="en"/>
        </w:rPr>
        <w:fldChar w:fldCharType="end"/>
      </w:r>
      <w:r w:rsidRPr="008B4FB4">
        <w:rPr>
          <w:szCs w:val="24"/>
          <w:lang w:val="en"/>
        </w:rPr>
        <w:t>. Another study by Zhang et al. (2004) also stated that hypertension is the most dominant risk factor that causes stroke incidence in Asians</w:t>
      </w:r>
      <w:r w:rsidRPr="008B4FB4">
        <w:rPr>
          <w:szCs w:val="24"/>
          <w:lang w:val="en"/>
        </w:rPr>
        <w:fldChar w:fldCharType="begin" w:fldLock="1"/>
      </w:r>
      <w:r w:rsidR="009715F9">
        <w:rPr>
          <w:szCs w:val="24"/>
          <w:lang w:val="en"/>
        </w:rPr>
        <w:instrText>ADDIN CSL_CITATION {"citationItems":[{"id":"ITEM-1","itemData":{"DOI":"10.1161/01.STR.0000125305.12859.ff","ISSN":"1524-4628 (Electronic)","PMID":"15073407","abstract":"BACKGROUND AND PURPOSE: Stroke is the most common manifestation of cardiovascular  disease (CVD) among Chinese men. This study addresses the prevalence and magnitude of classic CVD risk factors associated with total, ischemic, and hemorrhagic stroke in a Chinese cohort of at-risk men, compared with white populations. We also address which blood pressure index: systolic blood pressure (SBP), diastolic blood pressure (DBP), mean arterial pressure (MAP), and pulse pressure (PP) is the best predictor of stroke. METHODS: A cohort of 5092 male steelworkers (aged 18 to 74 years) recruited between 1974 to 1980 was followed up for an average of 13.5 years. The results showed that the risk ratios (RRs) of stroke associated with classic risk factors in this Asian population were not different than in whites, except for blood pressure. The RRs of total stroke for each 10mm Hg rise in SBP and DBP in this Asian group (1.4 and 1.8, respectively) were higher than in whites (1.2 to 1.3 and 1.2 to 1.5, respectively). The population attributable risk (PAR) for hypertension (160/95 mm Hg cutoff) to stroke was higher in Asians (ie, 31% for ischemic and 42% for hemorrhagic stroke) than in whites (25% and 34%, respectively). CONCLUSIONS: Our results indicate that hypertension is a greater risk factor for stroke in Asians than whites, especially for hemorrhagic stroke. The most predictive blood pressure (BP) index for stroke is MAP. However, the prevalence or magnitude of these traditional risk factors appears unlikely to explain the differing spectrum of CVD among Asians.","author":[{"dropping-particle":"","family":"Zhang","given":"Xiao-Fei","non-dropping-particle":"","parse-names":false,"suffix":""},{"dropping-particle":"","family":"Attia","given":"John","non-dropping-particle":"","parse-names":false,"suffix":""},{"dropping-particle":"","family":"D'Este","given":"Catherine","non-dropping-particle":"","parse-names":false,"suffix":""},{"dropping-particle":"","family":"Yu","given":"Xue-Hai","non-dropping-particle":"","parse-names":false,"suffix":""}],"container-title":"Stroke","id":"ITEM-1","issue":"5","issued":{"date-parts":[["2004","5"]]},"language":"eng","page":"1052-1056","publisher-place":"United States","title":"Prevalence and magnitude of classical risk factors for stroke in a cohort of 5092  Chinese steelworkers over 13.5 years of follow-up.","type":"article-journal","volume":"35"},"uris":["http://www.mendeley.com/documents/?uuid=d8190ab1-bc28-4a1d-be9c-688545ef5856"]}],"mendeley":{"formattedCitation":"(X.-F. Zhang et al., 2004)","plainTextFormattedCitation":"(X.-F. Zhang et al., 2004)","previouslyFormattedCitation":"(X.-F. Zhang et al., 2004)"},"properties":{"noteIndex":0},"schema":"https://github.com/citation-style-language/schema/raw/master/csl-citation.json"}</w:instrText>
      </w:r>
      <w:r w:rsidRPr="008B4FB4">
        <w:rPr>
          <w:szCs w:val="24"/>
          <w:lang w:val="en"/>
        </w:rPr>
        <w:fldChar w:fldCharType="separate"/>
      </w:r>
      <w:r w:rsidRPr="008B4FB4">
        <w:rPr>
          <w:noProof/>
          <w:szCs w:val="24"/>
          <w:lang w:val="en"/>
        </w:rPr>
        <w:t>(X.-F. Zhang et al., 2004)</w:t>
      </w:r>
      <w:r w:rsidRPr="008B4FB4">
        <w:rPr>
          <w:szCs w:val="24"/>
          <w:lang w:val="en"/>
        </w:rPr>
        <w:fldChar w:fldCharType="end"/>
      </w:r>
      <w:r w:rsidRPr="008B4FB4">
        <w:rPr>
          <w:szCs w:val="24"/>
          <w:lang w:val="en"/>
        </w:rPr>
        <w:t xml:space="preserve">. The significant association between stroke and other hypertension in the Asian region is evidenced in a study conducted by Burke and </w:t>
      </w:r>
      <w:proofErr w:type="spellStart"/>
      <w:r w:rsidRPr="008B4FB4">
        <w:rPr>
          <w:szCs w:val="24"/>
          <w:lang w:val="en"/>
        </w:rPr>
        <w:t>Venketasubramanian</w:t>
      </w:r>
      <w:proofErr w:type="spellEnd"/>
      <w:r w:rsidRPr="008B4FB4">
        <w:rPr>
          <w:szCs w:val="24"/>
          <w:lang w:val="en"/>
        </w:rPr>
        <w:t xml:space="preserve"> (2006) with OR 9.03 (95% CI, 5.25–15.5) in Taiwan</w:t>
      </w:r>
      <w:r w:rsidRPr="008B4FB4">
        <w:rPr>
          <w:szCs w:val="24"/>
          <w:lang w:val="en"/>
        </w:rPr>
        <w:fldChar w:fldCharType="begin" w:fldLock="1"/>
      </w:r>
      <w:r w:rsidR="009715F9">
        <w:rPr>
          <w:szCs w:val="24"/>
          <w:lang w:val="en"/>
        </w:rPr>
        <w:instrText>ADDIN CSL_CITATION {"citationItems":[{"id":"ITEM-1","itemData":{"DOI":"10.1111/j.1747-4949.2006.00060.x","ISSN":"1747-4949 (Electronic)","PMID":"18706018","abstract":"Stroke is a leading cause of morbidity and mortality in the developed world. Our  objective was to review comparable studies of stroke incidence, prevalence, and subtypes in the East Asian region. English language epidemiologic studies of stroke published from 1984 through 2004 were identified for the East Asian region (China, Hong Kong, Taiwan, Japan, North and South Korea and the ASEAN countries). The Sudlow-Warlow criteria were modified to identify comparable studies. Stroke epidemiology is relatively well characterized in China, Taiwan, and Japan; however, little information is available for other countries. Four studies of stroke incidence, from China, Taiwan, and Japan, were identified, which reported a total of 4995 first-ever stroke events. There was an over twofold difference in the age-adjusted incidence of stroke between the Chinese Seven Cities and Okinawa study (483 vs 201 per 100,000). The 1-month case fatality rate ranged from 12.7% to 17.3%. Only one population-based study on stroke prevalence, from Taiwan, was identified: Studies show the relatively high proportion of hemorrhagic stroke (30%). Stroke epidemiology is relatively well characterized in China, Japan, and Taiwan but not in other countries in the region. More recent data are needed to monitor stroke prevention efforts and guide planning of health care resources in the region.","author":[{"dropping-particle":"","family":"Burke","given":"Thomas A","non-dropping-particle":"","parse-names":false,"suffix":""},{"dropping-particle":"","family":"Venketasubramanian","given":"Ramani N","non-dropping-particle":"","parse-names":false,"suffix":""}],"container-title":"International journal of stroke : official journal of the International Stroke  Society","id":"ITEM-1","issue":"4","issued":{"date-parts":[["2006","11"]]},"language":"eng","page":"208-215","publisher-place":"United States","title":"The epidemiology of stroke in the East Asian region: a literature-based review.","type":"article-journal","volume":"1"},"uris":["http://www.mendeley.com/documents/?uuid=7192f273-4de9-4642-8949-27bef63c978e"]}],"mendeley":{"formattedCitation":"(Burke &amp; Venketasubramanian, 2006)","plainTextFormattedCitation":"(Burke &amp; Venketasubramanian, 2006)","previouslyFormattedCitation":"(Burke &amp; Venketasubramanian, 2006)"},"properties":{"noteIndex":0},"schema":"https://github.com/citation-style-language/schema/raw/master/csl-citation.json"}</w:instrText>
      </w:r>
      <w:r w:rsidRPr="008B4FB4">
        <w:rPr>
          <w:szCs w:val="24"/>
          <w:lang w:val="en"/>
        </w:rPr>
        <w:fldChar w:fldCharType="separate"/>
      </w:r>
      <w:r w:rsidRPr="008B4FB4">
        <w:rPr>
          <w:noProof/>
          <w:szCs w:val="24"/>
          <w:lang w:val="en"/>
        </w:rPr>
        <w:t>(Burke &amp; Venketasubramanian, 2006)</w:t>
      </w:r>
      <w:r w:rsidRPr="008B4FB4">
        <w:rPr>
          <w:szCs w:val="24"/>
          <w:lang w:val="en"/>
        </w:rPr>
        <w:fldChar w:fldCharType="end"/>
      </w:r>
      <w:r w:rsidRPr="008B4FB4">
        <w:rPr>
          <w:szCs w:val="24"/>
          <w:lang w:val="en"/>
        </w:rPr>
        <w:t>. Research related to isolated systolic blood pressure in Indonesia said what the prevalence of stroke in ISH reached 8.3%. Women with smoking habits, experiencing mental and physical stress, urban living, and being poorly educated were associated with stroke status in ISH subjects in Indonesia</w:t>
      </w:r>
      <w:r w:rsidRPr="008B4FB4">
        <w:rPr>
          <w:szCs w:val="24"/>
          <w:lang w:val="en"/>
        </w:rPr>
        <w:fldChar w:fldCharType="begin" w:fldLock="1"/>
      </w:r>
      <w:r w:rsidR="009715F9">
        <w:rPr>
          <w:szCs w:val="24"/>
          <w:lang w:val="en"/>
        </w:rPr>
        <w:instrText>ADDIN CSL_CITATION {"citationItems":[{"id":"ITEM-1","itemData":{"DOI":"10.1101/2021.11.27.21265906","abstract":"Introduction Hypertension has been known to be a decisive factor for stroke in the elderly; however, limited studies reported stroke risk factors in subjects with isolated systolic hypertension (ISH).Methods This cross-sectional survey was conducted using Riskesdas 2018 secondary data. Subjects aged 55 years who had a systolic blood pressure ≥140 mmHg and diastolic &amp;amp;lt; 90 mmHg were included as the study sample. According to the National Institute of Health Research and Development, the Ministry of Health, Republic of Indonesia, all study variables were measured using household and individual questionnaires. The data were analyzed using the chi-square test and Fisher’s test.Results Of 3159 subjects with ISH 8.3% had a stroke, the risk factors that had a significant relationship with the prevalence of stroke (p&amp;amp;lt;0.005) were gender (1,790; 1,420-2,256), smoking habits (1,645; 1,291-2,096), physical and mental stress (2,080; 1,618-2,673), area of residence (1,720; 1,331-2222), and education level (0.656; 0.515-0.835).Conclusion Prevalence of stroke among ISH in Indonesia was 8.3%. Female with smoking habits, had mental and physical stress, liviing in urban area, and had low level eduatcion were associated with the status of stroke in ISH subjects in Indonesia.Competing Interest StatementThe authors have declared no competing interest.Funding StatementResearch Grant of Faculty of Sports Science, Universitas Negeri Semarang. [Grant ID: 30.9.6/UN37/PPK.4.6/2021].Author DeclarationsI confirm all relevant ethical guidelines have been followed, and any necessary IRB and/or ethics committee approvals have been obtained.YesThe details of the IRB/oversight body that provided approval or exemption for the research described are given below:The source of data is available on request in https://www.litbang.kemkes.go.id/laporan-riset-kesehatan-dasar-riskesdas//I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individuals.YesI understand that all clinical trials and any other prospective interventional studies must be registered with an ICMJE-approved registry, such as ClinicalTrials.gov. I confirm that any such study reported in the manuscript has been registered and the trial…","author":[{"dropping-particle":"","family":"Pamelasari","given":"Defi","non-dropping-particle":"","parse-names":false,"suffix":""},{"dropping-particle":"","family":"Azam","given":"Mahalul","non-dropping-particle":"","parse-names":false,"suffix":""},{"dropping-particle":"","family":"Fibriana","given":"Arulita Ika","non-dropping-particle":"","parse-names":false,"suffix":""},{"dropping-particle":"","family":"Rahadian","given":"Arief","non-dropping-particle":"","parse-names":false,"suffix":""},{"dropping-particle":"","family":"Saefurrohim","given":"Muhamad Zakki","non-dropping-particle":"","parse-names":false,"suffix":""},{"dropping-particle":"","family":"Aljunid","given":"Syed Mohamed","non-dropping-particle":"","parse-names":false,"suffix":""}],"container-title":"medRxiv","id":"ITEM-1","issued":{"date-parts":[["2021","1"]]},"page":"2021.11.27.21265906","title":"Stroke prevalence among isolated systolic hypertension subjects in Indonesia","type":"article-journal"},"uris":["http://www.mendeley.com/documents/?uuid=a5f9cc5b-e6cf-48d8-956d-5bff916bea58"]}],"mendeley":{"formattedCitation":"(Pamelasari et al., 2021)","plainTextFormattedCitation":"(Pamelasari et al., 2021)","previouslyFormattedCitation":"(Pamelasari et al., 2021)"},"properties":{"noteIndex":0},"schema":"https://github.com/citation-style-language/schema/raw/master/csl-citation.json"}</w:instrText>
      </w:r>
      <w:r w:rsidRPr="008B4FB4">
        <w:rPr>
          <w:szCs w:val="24"/>
          <w:lang w:val="en"/>
        </w:rPr>
        <w:fldChar w:fldCharType="separate"/>
      </w:r>
      <w:r w:rsidRPr="008B4FB4">
        <w:rPr>
          <w:noProof/>
          <w:szCs w:val="24"/>
          <w:lang w:val="en"/>
        </w:rPr>
        <w:t>(Pamelasari et al., 2021)</w:t>
      </w:r>
      <w:r w:rsidRPr="008B4FB4">
        <w:rPr>
          <w:szCs w:val="24"/>
          <w:lang w:val="en"/>
        </w:rPr>
        <w:fldChar w:fldCharType="end"/>
      </w:r>
      <w:r w:rsidRPr="008B4FB4">
        <w:rPr>
          <w:szCs w:val="24"/>
          <w:lang w:val="en"/>
        </w:rPr>
        <w:t>.</w:t>
      </w:r>
    </w:p>
    <w:p w14:paraId="588204DE" w14:textId="77777777" w:rsidR="008B4FB4" w:rsidRPr="008B4FB4" w:rsidRDefault="008B4FB4" w:rsidP="008014D0">
      <w:pPr>
        <w:spacing w:line="276" w:lineRule="auto"/>
        <w:ind w:firstLine="720"/>
        <w:jc w:val="both"/>
        <w:rPr>
          <w:szCs w:val="24"/>
        </w:rPr>
      </w:pPr>
      <w:r w:rsidRPr="008B4FB4">
        <w:rPr>
          <w:szCs w:val="24"/>
          <w:lang w:val="en"/>
        </w:rPr>
        <w:t>Stroke prevention strategies in this</w:t>
      </w:r>
      <w:r w:rsidRPr="008B4FB4">
        <w:rPr>
          <w:lang w:val="en"/>
        </w:rPr>
        <w:t xml:space="preserve"> </w:t>
      </w:r>
      <w:r w:rsidRPr="008B4FB4">
        <w:rPr>
          <w:szCs w:val="24"/>
          <w:lang w:val="en"/>
        </w:rPr>
        <w:t>population should include early detection and immediate</w:t>
      </w:r>
      <w:r w:rsidRPr="008B4FB4">
        <w:rPr>
          <w:lang w:val="en"/>
        </w:rPr>
        <w:t xml:space="preserve"> </w:t>
      </w:r>
      <w:r w:rsidRPr="008B4FB4">
        <w:rPr>
          <w:szCs w:val="24"/>
          <w:lang w:val="en"/>
        </w:rPr>
        <w:t>treatment. It is important to control risk factors to reduce the burden of stroke, both primary prevention</w:t>
      </w:r>
      <w:r w:rsidRPr="008B4FB4">
        <w:rPr>
          <w:lang w:val="en"/>
        </w:rPr>
        <w:t xml:space="preserve"> </w:t>
      </w:r>
      <w:r w:rsidRPr="008B4FB4">
        <w:rPr>
          <w:szCs w:val="24"/>
          <w:lang w:val="en"/>
        </w:rPr>
        <w:t>and secondary prevention such as quitting smoking, doing exercise at least 150 minutes/week, a high-fiber diet, fruit and vegetable intake and low in sugar and salt, regulating weight, and pharmacotherapy to control hypertension and blood glucose.</w:t>
      </w:r>
      <w:r w:rsidRPr="008B4FB4">
        <w:rPr>
          <w:lang w:val="en"/>
        </w:rPr>
        <w:t xml:space="preserve"> </w:t>
      </w:r>
      <w:r w:rsidRPr="008B4FB4">
        <w:rPr>
          <w:szCs w:val="24"/>
          <w:lang w:val="en"/>
        </w:rPr>
        <w:t>This research has some drawbacks. This study only covers one city</w:t>
      </w:r>
      <w:r w:rsidRPr="008B4FB4">
        <w:rPr>
          <w:lang w:val="en"/>
        </w:rPr>
        <w:t xml:space="preserve"> area in </w:t>
      </w:r>
      <w:r w:rsidRPr="008B4FB4">
        <w:rPr>
          <w:szCs w:val="24"/>
          <w:lang w:val="en"/>
        </w:rPr>
        <w:t>West Java Province, so it has not been able to represent other regions that have different characteristics; this study does not take into account the subtypes of ischemic stroke, as well as several other risk factors such as</w:t>
      </w:r>
      <w:r w:rsidRPr="008B4FB4">
        <w:rPr>
          <w:lang w:val="en"/>
        </w:rPr>
        <w:t xml:space="preserve"> other</w:t>
      </w:r>
      <w:r w:rsidRPr="008B4FB4">
        <w:rPr>
          <w:szCs w:val="24"/>
          <w:lang w:val="en"/>
        </w:rPr>
        <w:t xml:space="preserve"> accompanying diseases. not yet included. More research needs to be done to overcome these limitations. Hospital-based research on stroke and the risk factors associated with it should also be conducted in comparison to the results of this community-based study.</w:t>
      </w:r>
    </w:p>
    <w:p w14:paraId="52BBF4C7" w14:textId="1D3F7623" w:rsidR="008B4FB4" w:rsidRPr="008B4FB4" w:rsidRDefault="008B4FB4" w:rsidP="008B4FB4">
      <w:pPr>
        <w:pStyle w:val="Heading1"/>
      </w:pPr>
    </w:p>
    <w:p w14:paraId="16C4F803" w14:textId="77777777" w:rsidR="008B4FB4" w:rsidRPr="00A85ABA" w:rsidRDefault="008B4FB4" w:rsidP="00A85ABA">
      <w:pPr>
        <w:pStyle w:val="Heading1"/>
      </w:pPr>
      <w:r w:rsidRPr="00A85ABA">
        <w:t>REFERENCES</w:t>
      </w:r>
    </w:p>
    <w:p w14:paraId="4A00650C" w14:textId="5BC17F5B" w:rsidR="009715F9" w:rsidRPr="009715F9" w:rsidRDefault="008B4FB4" w:rsidP="009715F9">
      <w:pPr>
        <w:widowControl w:val="0"/>
        <w:autoSpaceDE w:val="0"/>
        <w:autoSpaceDN w:val="0"/>
        <w:adjustRightInd w:val="0"/>
        <w:ind w:left="480" w:hanging="480"/>
        <w:rPr>
          <w:noProof/>
          <w:szCs w:val="24"/>
        </w:rPr>
      </w:pPr>
      <w:r w:rsidRPr="008B4FB4">
        <w:rPr>
          <w:rFonts w:eastAsiaTheme="minorHAnsi"/>
          <w:color w:val="000000" w:themeColor="text1"/>
          <w:szCs w:val="24"/>
          <w:lang w:val="en"/>
        </w:rPr>
        <w:fldChar w:fldCharType="begin" w:fldLock="1"/>
      </w:r>
      <w:r w:rsidRPr="008B4FB4">
        <w:rPr>
          <w:color w:val="000000" w:themeColor="text1"/>
          <w:szCs w:val="24"/>
          <w:lang w:val="en"/>
        </w:rPr>
        <w:instrText xml:space="preserve">ADDIN Mendeley Bibliography CSL_BIBLIOGRAPHY </w:instrText>
      </w:r>
      <w:r w:rsidRPr="008B4FB4">
        <w:rPr>
          <w:rFonts w:eastAsiaTheme="minorHAnsi"/>
          <w:color w:val="000000" w:themeColor="text1"/>
          <w:szCs w:val="24"/>
          <w:lang w:val="en"/>
        </w:rPr>
        <w:fldChar w:fldCharType="separate"/>
      </w:r>
      <w:r w:rsidR="009715F9" w:rsidRPr="009715F9">
        <w:rPr>
          <w:noProof/>
          <w:szCs w:val="24"/>
        </w:rPr>
        <w:t xml:space="preserve">Azam, M., Nida, F., Kasmi, O. W., &amp; Fibria, A. I. (2017). Lipid Profiles and Postprandial Glucose Status of Hypertensive Individuals with Stroke in Indonesia. </w:t>
      </w:r>
      <w:r w:rsidR="009715F9" w:rsidRPr="009715F9">
        <w:rPr>
          <w:i/>
          <w:iCs/>
          <w:noProof/>
          <w:szCs w:val="24"/>
        </w:rPr>
        <w:t>Asian Journal of Epidemiology</w:t>
      </w:r>
      <w:r w:rsidR="009715F9" w:rsidRPr="009715F9">
        <w:rPr>
          <w:noProof/>
          <w:szCs w:val="24"/>
        </w:rPr>
        <w:t xml:space="preserve">, </w:t>
      </w:r>
      <w:r w:rsidR="009715F9" w:rsidRPr="009715F9">
        <w:rPr>
          <w:i/>
          <w:iCs/>
          <w:noProof/>
          <w:szCs w:val="24"/>
        </w:rPr>
        <w:t>10</w:t>
      </w:r>
      <w:r w:rsidR="009715F9" w:rsidRPr="009715F9">
        <w:rPr>
          <w:noProof/>
          <w:szCs w:val="24"/>
        </w:rPr>
        <w:t>, 116–122.</w:t>
      </w:r>
    </w:p>
    <w:p w14:paraId="0C31497D"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Badan Penelitian dan Pengembangan Kesehatan. (2018). Laporan Nasional Riskesdas 2018. In </w:t>
      </w:r>
      <w:r w:rsidRPr="009715F9">
        <w:rPr>
          <w:i/>
          <w:iCs/>
          <w:noProof/>
          <w:szCs w:val="24"/>
        </w:rPr>
        <w:t>Badan Penelitian dan Pengembangan Kesehatan</w:t>
      </w:r>
      <w:r w:rsidRPr="009715F9">
        <w:rPr>
          <w:noProof/>
          <w:szCs w:val="24"/>
        </w:rPr>
        <w:t xml:space="preserve"> (p. 198). http://labdata.litbang.kemkes.go.id/images/download/laporan/RKD/2018/Laporan_Nasional_RKD2018_FINAL.pdf</w:t>
      </w:r>
    </w:p>
    <w:p w14:paraId="59DD08DD"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Boehme, A. K., Esenwa, C., &amp; Elkind, M. S. V. (2017). Stroke Risk Factors, Genetics, and Prevention. </w:t>
      </w:r>
      <w:r w:rsidRPr="009715F9">
        <w:rPr>
          <w:i/>
          <w:iCs/>
          <w:noProof/>
          <w:szCs w:val="24"/>
        </w:rPr>
        <w:t>Circulation Research</w:t>
      </w:r>
      <w:r w:rsidRPr="009715F9">
        <w:rPr>
          <w:noProof/>
          <w:szCs w:val="24"/>
        </w:rPr>
        <w:t xml:space="preserve">, </w:t>
      </w:r>
      <w:r w:rsidRPr="009715F9">
        <w:rPr>
          <w:i/>
          <w:iCs/>
          <w:noProof/>
          <w:szCs w:val="24"/>
        </w:rPr>
        <w:t>120</w:t>
      </w:r>
      <w:r w:rsidRPr="009715F9">
        <w:rPr>
          <w:noProof/>
          <w:szCs w:val="24"/>
        </w:rPr>
        <w:t>(3), 472–495. https://doi.org/10.1161/CIRCRESAHA.116.308398</w:t>
      </w:r>
    </w:p>
    <w:p w14:paraId="0FA9F8EE"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Burke, T. A., &amp; Venketasubramanian, R. N. (2006). The epidemiology of stroke in the East Asian region: a literature-based review. </w:t>
      </w:r>
      <w:r w:rsidRPr="009715F9">
        <w:rPr>
          <w:i/>
          <w:iCs/>
          <w:noProof/>
          <w:szCs w:val="24"/>
        </w:rPr>
        <w:t>International Journal of Stroke : Official Journal of the International Stroke  Society</w:t>
      </w:r>
      <w:r w:rsidRPr="009715F9">
        <w:rPr>
          <w:noProof/>
          <w:szCs w:val="24"/>
        </w:rPr>
        <w:t xml:space="preserve">, </w:t>
      </w:r>
      <w:r w:rsidRPr="009715F9">
        <w:rPr>
          <w:i/>
          <w:iCs/>
          <w:noProof/>
          <w:szCs w:val="24"/>
        </w:rPr>
        <w:t>1</w:t>
      </w:r>
      <w:r w:rsidRPr="009715F9">
        <w:rPr>
          <w:noProof/>
          <w:szCs w:val="24"/>
        </w:rPr>
        <w:t>(4), 208–215. https://doi.org/10.1111/j.1747-4949.2006.00060.x</w:t>
      </w:r>
    </w:p>
    <w:p w14:paraId="06BF727E"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Chaturvedi, P., Singh, A. K., Tiwari, V., &amp; Thacker, A. K. (2020). Brain-derived neurotrophic factor levels in acute stroke and its clinical implications. </w:t>
      </w:r>
      <w:r w:rsidRPr="009715F9">
        <w:rPr>
          <w:i/>
          <w:iCs/>
          <w:noProof/>
          <w:szCs w:val="24"/>
        </w:rPr>
        <w:t>Brain Circulation</w:t>
      </w:r>
      <w:r w:rsidRPr="009715F9">
        <w:rPr>
          <w:noProof/>
          <w:szCs w:val="24"/>
        </w:rPr>
        <w:t xml:space="preserve">, </w:t>
      </w:r>
      <w:r w:rsidRPr="009715F9">
        <w:rPr>
          <w:i/>
          <w:iCs/>
          <w:noProof/>
          <w:szCs w:val="24"/>
        </w:rPr>
        <w:t>6</w:t>
      </w:r>
      <w:r w:rsidRPr="009715F9">
        <w:rPr>
          <w:noProof/>
          <w:szCs w:val="24"/>
        </w:rPr>
        <w:t>(3), 185.</w:t>
      </w:r>
    </w:p>
    <w:p w14:paraId="79980FCE"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Chen, X., Zhou, L., Zhang, Y., Yi, D., Liu, L., Rao, W., Wu, Y., Ma, D., Liu, X., Zhou, X.-H. A., Lin, H., Cheng, D., &amp; Yi, D. (2014). Risk factors of stroke in Western and Asian countries: a systematic review and  meta-analysis of prospective cohort studies. </w:t>
      </w:r>
      <w:r w:rsidRPr="009715F9">
        <w:rPr>
          <w:i/>
          <w:iCs/>
          <w:noProof/>
          <w:szCs w:val="24"/>
        </w:rPr>
        <w:t>BMC Public Health</w:t>
      </w:r>
      <w:r w:rsidRPr="009715F9">
        <w:rPr>
          <w:noProof/>
          <w:szCs w:val="24"/>
        </w:rPr>
        <w:t xml:space="preserve">, </w:t>
      </w:r>
      <w:r w:rsidRPr="009715F9">
        <w:rPr>
          <w:i/>
          <w:iCs/>
          <w:noProof/>
          <w:szCs w:val="24"/>
        </w:rPr>
        <w:t>14</w:t>
      </w:r>
      <w:r w:rsidRPr="009715F9">
        <w:rPr>
          <w:noProof/>
          <w:szCs w:val="24"/>
        </w:rPr>
        <w:t>, 776. https://doi.org/10.1186/1471-2458-14-776</w:t>
      </w:r>
    </w:p>
    <w:p w14:paraId="59A34F57"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Feigin, V. L., Forouzanfar, M. H., Krishnamurthi, R., Mensah, G. A., Connor, M., Bennett, D. A., Moran, A. E., Sacco, R. L., Anderson, L., Truelsen, T., O’Donnell, M., Venketasubramanian, N., Barker-Collo, S., Lawes, C. M. M., Wang, W., Shinohara, Y., Witt, E., Ezzati, M., &amp; Naghavi, M. (2014). Global and regional burden of stroke during 1990-2010: Findings from the Global Burden of Disease Study 2010. </w:t>
      </w:r>
      <w:r w:rsidRPr="009715F9">
        <w:rPr>
          <w:i/>
          <w:iCs/>
          <w:noProof/>
          <w:szCs w:val="24"/>
        </w:rPr>
        <w:t>The Lancet</w:t>
      </w:r>
      <w:r w:rsidRPr="009715F9">
        <w:rPr>
          <w:noProof/>
          <w:szCs w:val="24"/>
        </w:rPr>
        <w:t xml:space="preserve">, </w:t>
      </w:r>
      <w:r w:rsidRPr="009715F9">
        <w:rPr>
          <w:i/>
          <w:iCs/>
          <w:noProof/>
          <w:szCs w:val="24"/>
        </w:rPr>
        <w:t>383</w:t>
      </w:r>
      <w:r w:rsidRPr="009715F9">
        <w:rPr>
          <w:noProof/>
          <w:szCs w:val="24"/>
        </w:rPr>
        <w:t>(9913), 245–255. https://doi.org/10.1016/S0140-6736(13)61953-4</w:t>
      </w:r>
    </w:p>
    <w:p w14:paraId="6927A008"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Flint, A. C., Conell, C., Ren, X., Banki, N. M., Chan, S. L., Rao, V. A., Melles, R. B., &amp; Bhatt, D. L. (2019). Effect of Systolic and Diastolic Blood Pressure on Cardiovascular Outcomes. </w:t>
      </w:r>
      <w:r w:rsidRPr="009715F9">
        <w:rPr>
          <w:i/>
          <w:iCs/>
          <w:noProof/>
          <w:szCs w:val="24"/>
        </w:rPr>
        <w:t>New England Journal of Medicine</w:t>
      </w:r>
      <w:r w:rsidRPr="009715F9">
        <w:rPr>
          <w:noProof/>
          <w:szCs w:val="24"/>
        </w:rPr>
        <w:t xml:space="preserve">, </w:t>
      </w:r>
      <w:r w:rsidRPr="009715F9">
        <w:rPr>
          <w:i/>
          <w:iCs/>
          <w:noProof/>
          <w:szCs w:val="24"/>
        </w:rPr>
        <w:t>381</w:t>
      </w:r>
      <w:r w:rsidRPr="009715F9">
        <w:rPr>
          <w:noProof/>
          <w:szCs w:val="24"/>
        </w:rPr>
        <w:t>(3), 243–251. https://doi.org/10.1056/nejmoa1803180</w:t>
      </w:r>
    </w:p>
    <w:p w14:paraId="30335489"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Hasnah, F. (2020). </w:t>
      </w:r>
      <w:r w:rsidRPr="009715F9">
        <w:rPr>
          <w:i/>
          <w:iCs/>
          <w:noProof/>
          <w:szCs w:val="24"/>
        </w:rPr>
        <w:t>Meta analisis faktor risiko penyakit stroke di asia</w:t>
      </w:r>
      <w:r w:rsidRPr="009715F9">
        <w:rPr>
          <w:noProof/>
          <w:szCs w:val="24"/>
        </w:rPr>
        <w:t>. 129.</w:t>
      </w:r>
    </w:p>
    <w:p w14:paraId="3C3EC863"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Itoga, N. K., Tawfik, D. S., Montez-Rath, M. E., &amp; Chang, T. I. (2021). Contributions of Systolic and Diastolic Blood Pressures to Cardiovascular Outcomes  in the ALLHAT Study. </w:t>
      </w:r>
      <w:r w:rsidRPr="009715F9">
        <w:rPr>
          <w:i/>
          <w:iCs/>
          <w:noProof/>
          <w:szCs w:val="24"/>
        </w:rPr>
        <w:t>Journal of the American College of Cardiology</w:t>
      </w:r>
      <w:r w:rsidRPr="009715F9">
        <w:rPr>
          <w:noProof/>
          <w:szCs w:val="24"/>
        </w:rPr>
        <w:t xml:space="preserve">, </w:t>
      </w:r>
      <w:r w:rsidRPr="009715F9">
        <w:rPr>
          <w:i/>
          <w:iCs/>
          <w:noProof/>
          <w:szCs w:val="24"/>
        </w:rPr>
        <w:t>78</w:t>
      </w:r>
      <w:r w:rsidRPr="009715F9">
        <w:rPr>
          <w:noProof/>
          <w:szCs w:val="24"/>
        </w:rPr>
        <w:t>(17), 1671–1678. https://doi.org/10.1016/j.jacc.2021.08.035</w:t>
      </w:r>
    </w:p>
    <w:p w14:paraId="4F9A55C8"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Johnson, W., Onuma, O., Owolabi, M., &amp; Sachdev, S. (2016). Stroke: A global response is needed. </w:t>
      </w:r>
      <w:r w:rsidRPr="009715F9">
        <w:rPr>
          <w:i/>
          <w:iCs/>
          <w:noProof/>
          <w:szCs w:val="24"/>
        </w:rPr>
        <w:t>Bulletin of the World Health Organization</w:t>
      </w:r>
      <w:r w:rsidRPr="009715F9">
        <w:rPr>
          <w:noProof/>
          <w:szCs w:val="24"/>
        </w:rPr>
        <w:t xml:space="preserve">, </w:t>
      </w:r>
      <w:r w:rsidRPr="009715F9">
        <w:rPr>
          <w:i/>
          <w:iCs/>
          <w:noProof/>
          <w:szCs w:val="24"/>
        </w:rPr>
        <w:t>94</w:t>
      </w:r>
      <w:r w:rsidRPr="009715F9">
        <w:rPr>
          <w:noProof/>
          <w:szCs w:val="24"/>
        </w:rPr>
        <w:t>(9), 634A-635A. https://doi.org/10.2471/BLT.16.181636</w:t>
      </w:r>
    </w:p>
    <w:p w14:paraId="6ED9AEFF"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Kemenkes RI. (2012). </w:t>
      </w:r>
      <w:r w:rsidRPr="009715F9">
        <w:rPr>
          <w:i/>
          <w:iCs/>
          <w:noProof/>
          <w:szCs w:val="24"/>
        </w:rPr>
        <w:t>Buletin-Ptm</w:t>
      </w:r>
      <w:r w:rsidRPr="009715F9">
        <w:rPr>
          <w:noProof/>
          <w:szCs w:val="24"/>
        </w:rPr>
        <w:t>.</w:t>
      </w:r>
    </w:p>
    <w:p w14:paraId="301B6892"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Kemenkes RI. (2016). </w:t>
      </w:r>
      <w:r w:rsidRPr="009715F9">
        <w:rPr>
          <w:i/>
          <w:iCs/>
          <w:noProof/>
          <w:szCs w:val="24"/>
        </w:rPr>
        <w:t>Dukungan Penelitian dan Pengembangan dan Kualitas Pencegahan dan Pengendalian Penyakit</w:t>
      </w:r>
      <w:r w:rsidRPr="009715F9">
        <w:rPr>
          <w:noProof/>
          <w:szCs w:val="24"/>
        </w:rPr>
        <w:t>.</w:t>
      </w:r>
    </w:p>
    <w:p w14:paraId="26876D4D"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Kim, J., Thayabaranathan, T., Donnan, G. A., Howard, G., Howard, V. J., Rothwell, P. M., Feigin, V., Norrving, B., Owolabi, M., Pandian, J., Liu, L., Cadilhac, D. A., &amp; Thrift, A. G. (2020). Global Stroke Statistics 2019. </w:t>
      </w:r>
      <w:r w:rsidRPr="009715F9">
        <w:rPr>
          <w:i/>
          <w:iCs/>
          <w:noProof/>
          <w:szCs w:val="24"/>
        </w:rPr>
        <w:t>International Journal of Stroke</w:t>
      </w:r>
      <w:r w:rsidRPr="009715F9">
        <w:rPr>
          <w:noProof/>
          <w:szCs w:val="24"/>
        </w:rPr>
        <w:t xml:space="preserve">, </w:t>
      </w:r>
      <w:r w:rsidRPr="009715F9">
        <w:rPr>
          <w:i/>
          <w:iCs/>
          <w:noProof/>
          <w:szCs w:val="24"/>
        </w:rPr>
        <w:t>15</w:t>
      </w:r>
      <w:r w:rsidRPr="009715F9">
        <w:rPr>
          <w:noProof/>
          <w:szCs w:val="24"/>
        </w:rPr>
        <w:t>(8), 819–838. https://doi.org/10.1177/1747493020909545</w:t>
      </w:r>
    </w:p>
    <w:p w14:paraId="3478E8A8"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Lau, L., Lew, J., Borschmann, K., Thijs, V., &amp; Ekinci, E. I. (2019). Prevalence of diabetes and its effects on stroke outcomes: a meta‐analysis and literature review. </w:t>
      </w:r>
      <w:r w:rsidRPr="009715F9">
        <w:rPr>
          <w:i/>
          <w:iCs/>
          <w:noProof/>
          <w:szCs w:val="24"/>
        </w:rPr>
        <w:t>Journal of Diabetes Investigation</w:t>
      </w:r>
      <w:r w:rsidRPr="009715F9">
        <w:rPr>
          <w:noProof/>
          <w:szCs w:val="24"/>
        </w:rPr>
        <w:t xml:space="preserve">, </w:t>
      </w:r>
      <w:r w:rsidRPr="009715F9">
        <w:rPr>
          <w:i/>
          <w:iCs/>
          <w:noProof/>
          <w:szCs w:val="24"/>
        </w:rPr>
        <w:t>10</w:t>
      </w:r>
      <w:r w:rsidRPr="009715F9">
        <w:rPr>
          <w:noProof/>
          <w:szCs w:val="24"/>
        </w:rPr>
        <w:t>(3), 780–792.</w:t>
      </w:r>
    </w:p>
    <w:p w14:paraId="1D824C07"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Lee, H. J., Choi, E. K., Lee, S. H., Kim, Y. J., Han, K. Do, &amp; Oh, S. (2018). Risk of ischemic stroke in metabolically healthy obesity: A nationwide population-based study. </w:t>
      </w:r>
      <w:r w:rsidRPr="009715F9">
        <w:rPr>
          <w:i/>
          <w:iCs/>
          <w:noProof/>
          <w:szCs w:val="24"/>
        </w:rPr>
        <w:t>PLoS ONE</w:t>
      </w:r>
      <w:r w:rsidRPr="009715F9">
        <w:rPr>
          <w:noProof/>
          <w:szCs w:val="24"/>
        </w:rPr>
        <w:t xml:space="preserve">, </w:t>
      </w:r>
      <w:r w:rsidRPr="009715F9">
        <w:rPr>
          <w:i/>
          <w:iCs/>
          <w:noProof/>
          <w:szCs w:val="24"/>
        </w:rPr>
        <w:t>13</w:t>
      </w:r>
      <w:r w:rsidRPr="009715F9">
        <w:rPr>
          <w:noProof/>
          <w:szCs w:val="24"/>
        </w:rPr>
        <w:t>(3), 1–14. https://doi.org/10.1371/journal.pone.0195210</w:t>
      </w:r>
    </w:p>
    <w:p w14:paraId="2AAB5799"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Lindsay, M. P., Norrving, B., Sacco, R. L., Brainin, M., Hacke, W., Martins, S., Pandian, J., &amp; Feigin, V. (2019). World Stroke Organization (WSO): Global Stroke Fact Sheet 2019. </w:t>
      </w:r>
      <w:r w:rsidRPr="009715F9">
        <w:rPr>
          <w:i/>
          <w:iCs/>
          <w:noProof/>
          <w:szCs w:val="24"/>
        </w:rPr>
        <w:t>International Journal of Stroke : Official Journal of the International Stroke  Society</w:t>
      </w:r>
      <w:r w:rsidRPr="009715F9">
        <w:rPr>
          <w:noProof/>
          <w:szCs w:val="24"/>
        </w:rPr>
        <w:t xml:space="preserve">, </w:t>
      </w:r>
      <w:r w:rsidRPr="009715F9">
        <w:rPr>
          <w:i/>
          <w:iCs/>
          <w:noProof/>
          <w:szCs w:val="24"/>
        </w:rPr>
        <w:t>14</w:t>
      </w:r>
      <w:r w:rsidRPr="009715F9">
        <w:rPr>
          <w:noProof/>
          <w:szCs w:val="24"/>
        </w:rPr>
        <w:t>(8), 806–817. https://doi.org/10.1177/1747493019881353</w:t>
      </w:r>
    </w:p>
    <w:p w14:paraId="0A4C651F"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Meschia, J. F., Bushnell, C., Boden-Albala, B., Braun, L. T., Bravata, D. M., Chaturvedi, S., Creager, M. A., Eckel, R. H., Elkind, M. S. V., Fornage, M., Goldstein, L. B., Greenberg, S. M., Horvath, S. E., Iadecola, C., Jauch, E. C., Moore, W. S., &amp; Wilson, J. A. (2014). Guidelines for the primary prevention of stroke: A statement for healthcare professionals from the American heart association/American stroke association. In </w:t>
      </w:r>
      <w:r w:rsidRPr="009715F9">
        <w:rPr>
          <w:i/>
          <w:iCs/>
          <w:noProof/>
          <w:szCs w:val="24"/>
        </w:rPr>
        <w:t>Stroke</w:t>
      </w:r>
      <w:r w:rsidRPr="009715F9">
        <w:rPr>
          <w:noProof/>
          <w:szCs w:val="24"/>
        </w:rPr>
        <w:t xml:space="preserve"> (Vol. 45, Issue 12). https://doi.org/10.1161/STR.0000000000000046</w:t>
      </w:r>
    </w:p>
    <w:p w14:paraId="2FD01640"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Mohiuddin, A. K. (2019). Diabetes fact: Bangladesh perspective. </w:t>
      </w:r>
      <w:r w:rsidRPr="009715F9">
        <w:rPr>
          <w:i/>
          <w:iCs/>
          <w:noProof/>
          <w:szCs w:val="24"/>
        </w:rPr>
        <w:t>International Journal of Diabetes Research</w:t>
      </w:r>
      <w:r w:rsidRPr="009715F9">
        <w:rPr>
          <w:noProof/>
          <w:szCs w:val="24"/>
        </w:rPr>
        <w:t xml:space="preserve">, </w:t>
      </w:r>
      <w:r w:rsidRPr="009715F9">
        <w:rPr>
          <w:i/>
          <w:iCs/>
          <w:noProof/>
          <w:szCs w:val="24"/>
        </w:rPr>
        <w:t>2</w:t>
      </w:r>
      <w:r w:rsidRPr="009715F9">
        <w:rPr>
          <w:noProof/>
          <w:szCs w:val="24"/>
        </w:rPr>
        <w:t>(1), 14–20.</w:t>
      </w:r>
    </w:p>
    <w:p w14:paraId="5CF273BC"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Mozaffarian, D., Benjamin, E. J., Go, A. S., Arnett, D. K., Blaha, M. J., Cushman, M., de Ferranti, S., Després, J.-P., Fullerton, H. J., Howard, V. J., Huffman, M. D., Judd, S. E., Kissela, B. M., Lackland, D. T., Lichtman, J. H., Lisabeth, L. D., Liu, S., Mackey, R. H., Matchar, D. B., … Turner, M. B. (2015). Heart disease and stroke statistics--2015 update: a report from the American Heart  Association. </w:t>
      </w:r>
      <w:r w:rsidRPr="009715F9">
        <w:rPr>
          <w:i/>
          <w:iCs/>
          <w:noProof/>
          <w:szCs w:val="24"/>
        </w:rPr>
        <w:t>Circulation</w:t>
      </w:r>
      <w:r w:rsidRPr="009715F9">
        <w:rPr>
          <w:noProof/>
          <w:szCs w:val="24"/>
        </w:rPr>
        <w:t xml:space="preserve">, </w:t>
      </w:r>
      <w:r w:rsidRPr="009715F9">
        <w:rPr>
          <w:i/>
          <w:iCs/>
          <w:noProof/>
          <w:szCs w:val="24"/>
        </w:rPr>
        <w:t>131</w:t>
      </w:r>
      <w:r w:rsidRPr="009715F9">
        <w:rPr>
          <w:noProof/>
          <w:szCs w:val="24"/>
        </w:rPr>
        <w:t>(4), e29-322. https://doi.org/10.1161/CIR.0000000000000152</w:t>
      </w:r>
    </w:p>
    <w:p w14:paraId="5C4ECF02"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O’Donnell, M. J., Xavier, D., Liu, L., Zhang, H., Chin, S. L., Rao-Melacini, P., Rangarajan, S., Islam, S., Pais, P., McQueen, M. J., Mondo, C., Damasceno, A., Lopez-Jaramillo, P., Hankey, G. J., Dans, A. L., Yusoff, K., Truelsen, T., Diener, H.-C., Sacco, R. L., … Yusuf, S. (2010). Risk factors for ischaemic and intracerebral haemorrhagic stroke in 22 countries  (the INTERSTROKE study): a case-control study. </w:t>
      </w:r>
      <w:r w:rsidRPr="009715F9">
        <w:rPr>
          <w:i/>
          <w:iCs/>
          <w:noProof/>
          <w:szCs w:val="24"/>
        </w:rPr>
        <w:t>Lancet (London, England)</w:t>
      </w:r>
      <w:r w:rsidRPr="009715F9">
        <w:rPr>
          <w:noProof/>
          <w:szCs w:val="24"/>
        </w:rPr>
        <w:t xml:space="preserve">, </w:t>
      </w:r>
      <w:r w:rsidRPr="009715F9">
        <w:rPr>
          <w:i/>
          <w:iCs/>
          <w:noProof/>
          <w:szCs w:val="24"/>
        </w:rPr>
        <w:t>376</w:t>
      </w:r>
      <w:r w:rsidRPr="009715F9">
        <w:rPr>
          <w:noProof/>
          <w:szCs w:val="24"/>
        </w:rPr>
        <w:t>(9735), 112–123. https://doi.org/10.1016/S0140-6736(10)60834-3</w:t>
      </w:r>
    </w:p>
    <w:p w14:paraId="56686627"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Ovbiagele, B., Diener, H.-C., Yusuf, S., Martin, R. H., Cotton, D., Vinisko, R., Donnan, G. A., &amp; Bath, P. M. (2011). Level of systolic blood pressure within the normal range and risk of recurrent  stroke. </w:t>
      </w:r>
      <w:r w:rsidRPr="009715F9">
        <w:rPr>
          <w:i/>
          <w:iCs/>
          <w:noProof/>
          <w:szCs w:val="24"/>
        </w:rPr>
        <w:t>JAMA</w:t>
      </w:r>
      <w:r w:rsidRPr="009715F9">
        <w:rPr>
          <w:noProof/>
          <w:szCs w:val="24"/>
        </w:rPr>
        <w:t xml:space="preserve">, </w:t>
      </w:r>
      <w:r w:rsidRPr="009715F9">
        <w:rPr>
          <w:i/>
          <w:iCs/>
          <w:noProof/>
          <w:szCs w:val="24"/>
        </w:rPr>
        <w:t>306</w:t>
      </w:r>
      <w:r w:rsidRPr="009715F9">
        <w:rPr>
          <w:noProof/>
          <w:szCs w:val="24"/>
        </w:rPr>
        <w:t>(19), 2137–2144. https://doi.org/10.1001/jama.2011.1650</w:t>
      </w:r>
    </w:p>
    <w:p w14:paraId="7E23CB9E"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Pamelasari, D., Azam, M., Fibriana, A. I., Rahadian, A., Saefurrohim, M. Z., &amp; Aljunid, S. M. (2021). Stroke prevalence among isolated systolic hypertension subjects in Indonesia. </w:t>
      </w:r>
      <w:r w:rsidRPr="009715F9">
        <w:rPr>
          <w:i/>
          <w:iCs/>
          <w:noProof/>
          <w:szCs w:val="24"/>
        </w:rPr>
        <w:t>MedRxiv</w:t>
      </w:r>
      <w:r w:rsidRPr="009715F9">
        <w:rPr>
          <w:noProof/>
          <w:szCs w:val="24"/>
        </w:rPr>
        <w:t>, 2021.11.27.21265906. https://doi.org/10.1101/2021.11.27.21265906</w:t>
      </w:r>
    </w:p>
    <w:p w14:paraId="3E476A5A"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Paultre, F., &amp; Mosca, L. (2005). Association of blood pressure indices and stroke mortality in isolated systolic  hypertension. </w:t>
      </w:r>
      <w:r w:rsidRPr="009715F9">
        <w:rPr>
          <w:i/>
          <w:iCs/>
          <w:noProof/>
          <w:szCs w:val="24"/>
        </w:rPr>
        <w:t>Stroke</w:t>
      </w:r>
      <w:r w:rsidRPr="009715F9">
        <w:rPr>
          <w:noProof/>
          <w:szCs w:val="24"/>
        </w:rPr>
        <w:t xml:space="preserve">, </w:t>
      </w:r>
      <w:r w:rsidRPr="009715F9">
        <w:rPr>
          <w:i/>
          <w:iCs/>
          <w:noProof/>
          <w:szCs w:val="24"/>
        </w:rPr>
        <w:t>36</w:t>
      </w:r>
      <w:r w:rsidRPr="009715F9">
        <w:rPr>
          <w:noProof/>
          <w:szCs w:val="24"/>
        </w:rPr>
        <w:t>(6), 1288–1290. https://doi.org/10.1161/01.STR.0000166201.79222.4d</w:t>
      </w:r>
    </w:p>
    <w:p w14:paraId="54C7E592"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Riyadina, W., &amp; Rahajeng, E. (2013). Determinan Penyakit Stroke. </w:t>
      </w:r>
      <w:r w:rsidRPr="009715F9">
        <w:rPr>
          <w:i/>
          <w:iCs/>
          <w:noProof/>
          <w:szCs w:val="24"/>
        </w:rPr>
        <w:t>Kesmas: National Public Health Journal</w:t>
      </w:r>
      <w:r w:rsidRPr="009715F9">
        <w:rPr>
          <w:noProof/>
          <w:szCs w:val="24"/>
        </w:rPr>
        <w:t xml:space="preserve">, </w:t>
      </w:r>
      <w:r w:rsidRPr="009715F9">
        <w:rPr>
          <w:i/>
          <w:iCs/>
          <w:noProof/>
          <w:szCs w:val="24"/>
        </w:rPr>
        <w:t>7</w:t>
      </w:r>
      <w:r w:rsidRPr="009715F9">
        <w:rPr>
          <w:noProof/>
          <w:szCs w:val="24"/>
        </w:rPr>
        <w:t>(7), 324. https://doi.org/10.21109/kesmas.v7i7.31</w:t>
      </w:r>
    </w:p>
    <w:p w14:paraId="13BEFAF1"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Setyopranoto, I., Bayuangga, H. F., Panggabean, A. S., Alifaningdyah, S., Lazuardi, L., Dewi, F. S. T., &amp; Malueka, R. G. (2019). Prevalence of Stroke and Associated Risk Factors in Sleman District of Yogyakarta Special Region, Indonesia. </w:t>
      </w:r>
      <w:r w:rsidRPr="009715F9">
        <w:rPr>
          <w:i/>
          <w:iCs/>
          <w:noProof/>
          <w:szCs w:val="24"/>
        </w:rPr>
        <w:t>Stroke Research and Treatment</w:t>
      </w:r>
      <w:r w:rsidRPr="009715F9">
        <w:rPr>
          <w:noProof/>
          <w:szCs w:val="24"/>
        </w:rPr>
        <w:t xml:space="preserve">, </w:t>
      </w:r>
      <w:r w:rsidRPr="009715F9">
        <w:rPr>
          <w:i/>
          <w:iCs/>
          <w:noProof/>
          <w:szCs w:val="24"/>
        </w:rPr>
        <w:t>2019</w:t>
      </w:r>
      <w:r w:rsidRPr="009715F9">
        <w:rPr>
          <w:noProof/>
          <w:szCs w:val="24"/>
        </w:rPr>
        <w:t>, 2642458. https://doi.org/10.1155/2019/2642458</w:t>
      </w:r>
    </w:p>
    <w:p w14:paraId="20ADAE6B"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Shang, Y., Fratiglioni, L., Marseglia, A., Plym, A., Welmer, A., Wang, H., Wang, R., &amp; Xu, W. (2020). Association of diabetes with stroke and post‐stroke dementia: a population‐based cohort study. </w:t>
      </w:r>
      <w:r w:rsidRPr="009715F9">
        <w:rPr>
          <w:i/>
          <w:iCs/>
          <w:noProof/>
          <w:szCs w:val="24"/>
        </w:rPr>
        <w:t>Alzheimer’s &amp; Dementia</w:t>
      </w:r>
      <w:r w:rsidRPr="009715F9">
        <w:rPr>
          <w:noProof/>
          <w:szCs w:val="24"/>
        </w:rPr>
        <w:t xml:space="preserve">, </w:t>
      </w:r>
      <w:r w:rsidRPr="009715F9">
        <w:rPr>
          <w:i/>
          <w:iCs/>
          <w:noProof/>
          <w:szCs w:val="24"/>
        </w:rPr>
        <w:t>16</w:t>
      </w:r>
      <w:r w:rsidRPr="009715F9">
        <w:rPr>
          <w:noProof/>
          <w:szCs w:val="24"/>
        </w:rPr>
        <w:t>(7), 1003–1012.</w:t>
      </w:r>
    </w:p>
    <w:p w14:paraId="4209018F"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Sofiana, L., &amp; Rahmawati, D. (2019). Hypertension and Diabetes Mellitus Increase the Risk of Stroke. </w:t>
      </w:r>
      <w:r w:rsidRPr="009715F9">
        <w:rPr>
          <w:i/>
          <w:iCs/>
          <w:noProof/>
          <w:szCs w:val="24"/>
        </w:rPr>
        <w:t>Jurnal Kesehatan Masyarakat</w:t>
      </w:r>
      <w:r w:rsidRPr="009715F9">
        <w:rPr>
          <w:noProof/>
          <w:szCs w:val="24"/>
        </w:rPr>
        <w:t xml:space="preserve">, </w:t>
      </w:r>
      <w:r w:rsidRPr="009715F9">
        <w:rPr>
          <w:i/>
          <w:iCs/>
          <w:noProof/>
          <w:szCs w:val="24"/>
        </w:rPr>
        <w:t>15</w:t>
      </w:r>
      <w:r w:rsidRPr="009715F9">
        <w:rPr>
          <w:noProof/>
          <w:szCs w:val="24"/>
        </w:rPr>
        <w:t>, 147–152. https://doi.org/10.15294/kemas.v15i2.14349</w:t>
      </w:r>
    </w:p>
    <w:p w14:paraId="6E8D97C0"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Sorgun, M. H., Kuzu, M., Ozer, I. S., Yilmaz, V., Ulukan, C., Levent, H. C., Tezcan, S., Rzayev, S., Rawandi, A., &amp; Bakırarar, B. (2018). Risk factors, biomarkers, etiology, outcome and prognosis of ischemic stroke in cancer patients. </w:t>
      </w:r>
      <w:r w:rsidRPr="009715F9">
        <w:rPr>
          <w:i/>
          <w:iCs/>
          <w:noProof/>
          <w:szCs w:val="24"/>
        </w:rPr>
        <w:t>Asian Pacific Journal of Cancer Prevention: APJCP</w:t>
      </w:r>
      <w:r w:rsidRPr="009715F9">
        <w:rPr>
          <w:noProof/>
          <w:szCs w:val="24"/>
        </w:rPr>
        <w:t xml:space="preserve">, </w:t>
      </w:r>
      <w:r w:rsidRPr="009715F9">
        <w:rPr>
          <w:i/>
          <w:iCs/>
          <w:noProof/>
          <w:szCs w:val="24"/>
        </w:rPr>
        <w:t>19</w:t>
      </w:r>
      <w:r w:rsidRPr="009715F9">
        <w:rPr>
          <w:noProof/>
          <w:szCs w:val="24"/>
        </w:rPr>
        <w:t>(3), 649.</w:t>
      </w:r>
    </w:p>
    <w:p w14:paraId="4903818F"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Thomas, H., Diamond, J., Vieco, A., Chaudhuri, S., Shinnar, E., Cromer, S., Perel, P., Mensah, G. A., Narula, J., Johnson, C. O., Roth, G. A., &amp; Moran, A. E. (2018). Global Atlas of Cardiovascular Disease 2000-2016: The Path to Prevention and Control. </w:t>
      </w:r>
      <w:r w:rsidRPr="009715F9">
        <w:rPr>
          <w:i/>
          <w:iCs/>
          <w:noProof/>
          <w:szCs w:val="24"/>
        </w:rPr>
        <w:t>Global Heart</w:t>
      </w:r>
      <w:r w:rsidRPr="009715F9">
        <w:rPr>
          <w:noProof/>
          <w:szCs w:val="24"/>
        </w:rPr>
        <w:t xml:space="preserve">, </w:t>
      </w:r>
      <w:r w:rsidRPr="009715F9">
        <w:rPr>
          <w:i/>
          <w:iCs/>
          <w:noProof/>
          <w:szCs w:val="24"/>
        </w:rPr>
        <w:t>13</w:t>
      </w:r>
      <w:r w:rsidRPr="009715F9">
        <w:rPr>
          <w:noProof/>
          <w:szCs w:val="24"/>
        </w:rPr>
        <w:t>(3), 143–163. https://doi.org/10.1016/j.gheart.2018.09.511</w:t>
      </w:r>
    </w:p>
    <w:p w14:paraId="268E1880"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WHO. (2018). </w:t>
      </w:r>
      <w:r w:rsidRPr="009715F9">
        <w:rPr>
          <w:i/>
          <w:iCs/>
          <w:noProof/>
          <w:szCs w:val="24"/>
        </w:rPr>
        <w:t>Noncommnicable Disease : Key Facts</w:t>
      </w:r>
      <w:r w:rsidRPr="009715F9">
        <w:rPr>
          <w:noProof/>
          <w:szCs w:val="24"/>
        </w:rPr>
        <w:t>. World Health Organization. https://www.who.int/news-room/fact-sheets/detail/noncommunicablediseases</w:t>
      </w:r>
    </w:p>
    <w:p w14:paraId="344EC044"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World Stroke Organization. (2019). </w:t>
      </w:r>
      <w:r w:rsidRPr="009715F9">
        <w:rPr>
          <w:i/>
          <w:iCs/>
          <w:noProof/>
          <w:szCs w:val="24"/>
        </w:rPr>
        <w:t>Global Stroke Fact Sheet</w:t>
      </w:r>
      <w:r w:rsidRPr="009715F9">
        <w:rPr>
          <w:noProof/>
          <w:szCs w:val="24"/>
        </w:rPr>
        <w:t>. World Stroke Organization 2021.</w:t>
      </w:r>
    </w:p>
    <w:p w14:paraId="4C32BB68" w14:textId="77777777" w:rsidR="009715F9" w:rsidRPr="009715F9" w:rsidRDefault="009715F9" w:rsidP="009715F9">
      <w:pPr>
        <w:widowControl w:val="0"/>
        <w:autoSpaceDE w:val="0"/>
        <w:autoSpaceDN w:val="0"/>
        <w:adjustRightInd w:val="0"/>
        <w:ind w:left="480" w:hanging="480"/>
        <w:rPr>
          <w:noProof/>
          <w:szCs w:val="24"/>
        </w:rPr>
      </w:pPr>
      <w:r w:rsidRPr="009715F9">
        <w:rPr>
          <w:noProof/>
          <w:szCs w:val="24"/>
        </w:rPr>
        <w:t xml:space="preserve">Zhang, X.-F., Attia, J., D’Este, C., &amp; Yu, X.-H. (2004). Prevalence and magnitude of classical risk factors for stroke in a cohort of 5092  Chinese steelworkers over 13.5 years of follow-up. </w:t>
      </w:r>
      <w:r w:rsidRPr="009715F9">
        <w:rPr>
          <w:i/>
          <w:iCs/>
          <w:noProof/>
          <w:szCs w:val="24"/>
        </w:rPr>
        <w:t>Stroke</w:t>
      </w:r>
      <w:r w:rsidRPr="009715F9">
        <w:rPr>
          <w:noProof/>
          <w:szCs w:val="24"/>
        </w:rPr>
        <w:t xml:space="preserve">, </w:t>
      </w:r>
      <w:r w:rsidRPr="009715F9">
        <w:rPr>
          <w:i/>
          <w:iCs/>
          <w:noProof/>
          <w:szCs w:val="24"/>
        </w:rPr>
        <w:t>35</w:t>
      </w:r>
      <w:r w:rsidRPr="009715F9">
        <w:rPr>
          <w:noProof/>
          <w:szCs w:val="24"/>
        </w:rPr>
        <w:t>(5), 1052–1056. https://doi.org/10.1161/01.STR.0000125305.12859.ff</w:t>
      </w:r>
    </w:p>
    <w:p w14:paraId="514C624B" w14:textId="77777777" w:rsidR="009715F9" w:rsidRPr="009715F9" w:rsidRDefault="009715F9" w:rsidP="009715F9">
      <w:pPr>
        <w:widowControl w:val="0"/>
        <w:autoSpaceDE w:val="0"/>
        <w:autoSpaceDN w:val="0"/>
        <w:adjustRightInd w:val="0"/>
        <w:ind w:left="480" w:hanging="480"/>
        <w:rPr>
          <w:noProof/>
        </w:rPr>
      </w:pPr>
      <w:r w:rsidRPr="009715F9">
        <w:rPr>
          <w:noProof/>
          <w:szCs w:val="24"/>
        </w:rPr>
        <w:t xml:space="preserve">Zhang, Y., Chapman, A.-M., Plested, M., Jackson, D., &amp; Purroy, F. (2012). The Incidence, Prevalence, and Mortality of Stroke in France, Germany, Italy, Spain,  the UK, and the US: A Literature Review. </w:t>
      </w:r>
      <w:r w:rsidRPr="009715F9">
        <w:rPr>
          <w:i/>
          <w:iCs/>
          <w:noProof/>
          <w:szCs w:val="24"/>
        </w:rPr>
        <w:t>Stroke Research and Treatment</w:t>
      </w:r>
      <w:r w:rsidRPr="009715F9">
        <w:rPr>
          <w:noProof/>
          <w:szCs w:val="24"/>
        </w:rPr>
        <w:t xml:space="preserve">, </w:t>
      </w:r>
      <w:r w:rsidRPr="009715F9">
        <w:rPr>
          <w:i/>
          <w:iCs/>
          <w:noProof/>
          <w:szCs w:val="24"/>
        </w:rPr>
        <w:t>2012</w:t>
      </w:r>
      <w:r w:rsidRPr="009715F9">
        <w:rPr>
          <w:noProof/>
          <w:szCs w:val="24"/>
        </w:rPr>
        <w:t>, 436125. https://doi.org/10.1155/2012/436125</w:t>
      </w:r>
    </w:p>
    <w:p w14:paraId="145197F9" w14:textId="77777777" w:rsidR="008B4FB4" w:rsidRPr="008B4FB4" w:rsidRDefault="008B4FB4" w:rsidP="0097039D">
      <w:pPr>
        <w:spacing w:line="276" w:lineRule="auto"/>
        <w:jc w:val="both"/>
        <w:rPr>
          <w:rFonts w:eastAsia="Calibri"/>
          <w:color w:val="000000" w:themeColor="text1"/>
          <w:szCs w:val="24"/>
        </w:rPr>
      </w:pPr>
      <w:r w:rsidRPr="008B4FB4">
        <w:rPr>
          <w:rFonts w:eastAsia="Calibri"/>
          <w:color w:val="000000" w:themeColor="text1"/>
          <w:szCs w:val="24"/>
        </w:rPr>
        <w:fldChar w:fldCharType="end"/>
      </w:r>
    </w:p>
    <w:p w14:paraId="193FEE4C" w14:textId="77777777" w:rsidR="008B4FB4" w:rsidRPr="008B4FB4" w:rsidRDefault="008B4FB4" w:rsidP="0097039D">
      <w:pPr>
        <w:spacing w:line="276" w:lineRule="auto"/>
        <w:ind w:firstLine="720"/>
        <w:jc w:val="both"/>
        <w:rPr>
          <w:rFonts w:eastAsia="Calibri"/>
          <w:color w:val="000000" w:themeColor="text1"/>
          <w:szCs w:val="24"/>
          <w:vertAlign w:val="superscript"/>
        </w:rPr>
      </w:pPr>
    </w:p>
    <w:bookmarkEnd w:id="0"/>
    <w:p w14:paraId="44A58DFC" w14:textId="77777777" w:rsidR="008B4FB4" w:rsidRPr="008B4FB4" w:rsidRDefault="008B4FB4" w:rsidP="0097039D">
      <w:pPr>
        <w:spacing w:line="276" w:lineRule="auto"/>
        <w:jc w:val="both"/>
        <w:rPr>
          <w:szCs w:val="24"/>
        </w:rPr>
      </w:pPr>
    </w:p>
    <w:p w14:paraId="44E5ACFC" w14:textId="77777777" w:rsidR="008B4FB4" w:rsidRPr="008B4FB4" w:rsidRDefault="008B4FB4" w:rsidP="008B4FB4">
      <w:pPr>
        <w:pStyle w:val="Paragraph"/>
      </w:pPr>
    </w:p>
    <w:sectPr w:rsidR="008B4FB4" w:rsidRPr="008B4FB4"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1D5DE4"/>
    <w:multiLevelType w:val="multilevel"/>
    <w:tmpl w:val="B14095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06D6867"/>
    <w:multiLevelType w:val="hybridMultilevel"/>
    <w:tmpl w:val="BAE2E2F0"/>
    <w:lvl w:ilvl="0" w:tplc="32508B1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F52B40"/>
    <w:multiLevelType w:val="hybridMultilevel"/>
    <w:tmpl w:val="7D464390"/>
    <w:lvl w:ilvl="0" w:tplc="A0A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8"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16cid:durableId="944116015">
    <w:abstractNumId w:val="1"/>
  </w:num>
  <w:num w:numId="2" w16cid:durableId="2003700504">
    <w:abstractNumId w:val="3"/>
  </w:num>
  <w:num w:numId="3" w16cid:durableId="2137983406">
    <w:abstractNumId w:val="2"/>
  </w:num>
  <w:num w:numId="4" w16cid:durableId="1654724294">
    <w:abstractNumId w:val="7"/>
    <w:lvlOverride w:ilvl="0">
      <w:startOverride w:val="1"/>
    </w:lvlOverride>
  </w:num>
  <w:num w:numId="5" w16cid:durableId="1262447263">
    <w:abstractNumId w:val="7"/>
    <w:lvlOverride w:ilvl="0">
      <w:startOverride w:val="1"/>
    </w:lvlOverride>
  </w:num>
  <w:num w:numId="6" w16cid:durableId="834108791">
    <w:abstractNumId w:val="7"/>
  </w:num>
  <w:num w:numId="7" w16cid:durableId="1285691482">
    <w:abstractNumId w:val="6"/>
  </w:num>
  <w:num w:numId="8" w16cid:durableId="628125836">
    <w:abstractNumId w:val="4"/>
  </w:num>
  <w:num w:numId="9" w16cid:durableId="53932570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wtjCwMDIwMDK1sLRU0lEKTi0uzszPAykwqgUANtxBiywAAAA="/>
  </w:docVars>
  <w:rsids>
    <w:rsidRoot w:val="00FD7F15"/>
    <w:rsid w:val="00000091"/>
    <w:rsid w:val="00014140"/>
    <w:rsid w:val="00031EC9"/>
    <w:rsid w:val="00066FED"/>
    <w:rsid w:val="00075EA6"/>
    <w:rsid w:val="0007709F"/>
    <w:rsid w:val="00086F62"/>
    <w:rsid w:val="0009320B"/>
    <w:rsid w:val="00096AE0"/>
    <w:rsid w:val="000B1B74"/>
    <w:rsid w:val="000B3A2D"/>
    <w:rsid w:val="000B49C0"/>
    <w:rsid w:val="000E382F"/>
    <w:rsid w:val="001036BA"/>
    <w:rsid w:val="001146DC"/>
    <w:rsid w:val="00114AB1"/>
    <w:rsid w:val="001230FF"/>
    <w:rsid w:val="00130BD7"/>
    <w:rsid w:val="00155B67"/>
    <w:rsid w:val="001562AF"/>
    <w:rsid w:val="00161A5B"/>
    <w:rsid w:val="0016385D"/>
    <w:rsid w:val="0016782F"/>
    <w:rsid w:val="00182865"/>
    <w:rsid w:val="001937E9"/>
    <w:rsid w:val="001B263B"/>
    <w:rsid w:val="001B476A"/>
    <w:rsid w:val="001C764F"/>
    <w:rsid w:val="001C7BB3"/>
    <w:rsid w:val="001D469C"/>
    <w:rsid w:val="0023171B"/>
    <w:rsid w:val="00236BFC"/>
    <w:rsid w:val="00237437"/>
    <w:rsid w:val="002502FD"/>
    <w:rsid w:val="00274622"/>
    <w:rsid w:val="00285D24"/>
    <w:rsid w:val="00290390"/>
    <w:rsid w:val="002915D3"/>
    <w:rsid w:val="002941DA"/>
    <w:rsid w:val="002E3C35"/>
    <w:rsid w:val="002F5298"/>
    <w:rsid w:val="00337E4F"/>
    <w:rsid w:val="00340C36"/>
    <w:rsid w:val="00346A9D"/>
    <w:rsid w:val="0039376F"/>
    <w:rsid w:val="003A287B"/>
    <w:rsid w:val="003A5C85"/>
    <w:rsid w:val="003A61B1"/>
    <w:rsid w:val="003D7855"/>
    <w:rsid w:val="003E7C74"/>
    <w:rsid w:val="003F1766"/>
    <w:rsid w:val="003F31C6"/>
    <w:rsid w:val="0040225B"/>
    <w:rsid w:val="00402DA2"/>
    <w:rsid w:val="00425AC2"/>
    <w:rsid w:val="0044085B"/>
    <w:rsid w:val="0044771F"/>
    <w:rsid w:val="004B151D"/>
    <w:rsid w:val="004B2301"/>
    <w:rsid w:val="004C7243"/>
    <w:rsid w:val="004E21DE"/>
    <w:rsid w:val="004E3C57"/>
    <w:rsid w:val="004E3CB2"/>
    <w:rsid w:val="004F610B"/>
    <w:rsid w:val="00525813"/>
    <w:rsid w:val="0053513F"/>
    <w:rsid w:val="00556713"/>
    <w:rsid w:val="00573F1B"/>
    <w:rsid w:val="00574405"/>
    <w:rsid w:val="005A0E21"/>
    <w:rsid w:val="005B3A34"/>
    <w:rsid w:val="005D49AF"/>
    <w:rsid w:val="005E415C"/>
    <w:rsid w:val="005E7946"/>
    <w:rsid w:val="005F7475"/>
    <w:rsid w:val="00611299"/>
    <w:rsid w:val="00616365"/>
    <w:rsid w:val="00616F3B"/>
    <w:rsid w:val="006249A7"/>
    <w:rsid w:val="00631178"/>
    <w:rsid w:val="0064225B"/>
    <w:rsid w:val="006949BC"/>
    <w:rsid w:val="006D1229"/>
    <w:rsid w:val="006D7A18"/>
    <w:rsid w:val="00723B7F"/>
    <w:rsid w:val="00725861"/>
    <w:rsid w:val="0073393A"/>
    <w:rsid w:val="0073539D"/>
    <w:rsid w:val="00767B8A"/>
    <w:rsid w:val="00775481"/>
    <w:rsid w:val="00783D7F"/>
    <w:rsid w:val="007A233B"/>
    <w:rsid w:val="007B4863"/>
    <w:rsid w:val="007C65E6"/>
    <w:rsid w:val="007C7A4B"/>
    <w:rsid w:val="007D406B"/>
    <w:rsid w:val="007D4407"/>
    <w:rsid w:val="007E1CA3"/>
    <w:rsid w:val="00821713"/>
    <w:rsid w:val="00827050"/>
    <w:rsid w:val="0083278B"/>
    <w:rsid w:val="00834538"/>
    <w:rsid w:val="00850E89"/>
    <w:rsid w:val="008930E4"/>
    <w:rsid w:val="00893821"/>
    <w:rsid w:val="008A7B9C"/>
    <w:rsid w:val="008B4754"/>
    <w:rsid w:val="008B4FB4"/>
    <w:rsid w:val="008E6A7A"/>
    <w:rsid w:val="008F1038"/>
    <w:rsid w:val="008F7046"/>
    <w:rsid w:val="009005FC"/>
    <w:rsid w:val="00943315"/>
    <w:rsid w:val="009715F9"/>
    <w:rsid w:val="009B696B"/>
    <w:rsid w:val="009B7671"/>
    <w:rsid w:val="009E2B96"/>
    <w:rsid w:val="009F056E"/>
    <w:rsid w:val="00A26DCD"/>
    <w:rsid w:val="00A314BB"/>
    <w:rsid w:val="00A32B7D"/>
    <w:rsid w:val="00A5596B"/>
    <w:rsid w:val="00A646B3"/>
    <w:rsid w:val="00A6739B"/>
    <w:rsid w:val="00A85ABA"/>
    <w:rsid w:val="00A90413"/>
    <w:rsid w:val="00AB0A9C"/>
    <w:rsid w:val="00AB7119"/>
    <w:rsid w:val="00AC5F21"/>
    <w:rsid w:val="00AD5855"/>
    <w:rsid w:val="00AE7500"/>
    <w:rsid w:val="00AE7F87"/>
    <w:rsid w:val="00AF3542"/>
    <w:rsid w:val="00AF5ABE"/>
    <w:rsid w:val="00AF71A6"/>
    <w:rsid w:val="00B00415"/>
    <w:rsid w:val="00B1000D"/>
    <w:rsid w:val="00B10134"/>
    <w:rsid w:val="00B16BFE"/>
    <w:rsid w:val="00B500E5"/>
    <w:rsid w:val="00BA39BB"/>
    <w:rsid w:val="00BA3B3D"/>
    <w:rsid w:val="00BD1909"/>
    <w:rsid w:val="00BE35E0"/>
    <w:rsid w:val="00BE5E16"/>
    <w:rsid w:val="00BE5FD1"/>
    <w:rsid w:val="00C06E05"/>
    <w:rsid w:val="00C17370"/>
    <w:rsid w:val="00C26EC0"/>
    <w:rsid w:val="00C56C77"/>
    <w:rsid w:val="00CB2318"/>
    <w:rsid w:val="00CB7B3E"/>
    <w:rsid w:val="00CC739D"/>
    <w:rsid w:val="00D024B1"/>
    <w:rsid w:val="00D04468"/>
    <w:rsid w:val="00D36257"/>
    <w:rsid w:val="00D4687E"/>
    <w:rsid w:val="00D53A12"/>
    <w:rsid w:val="00D5465B"/>
    <w:rsid w:val="00DB0C43"/>
    <w:rsid w:val="00DE3354"/>
    <w:rsid w:val="00DF7DCD"/>
    <w:rsid w:val="00E62EE1"/>
    <w:rsid w:val="00EB7D28"/>
    <w:rsid w:val="00EC0D0C"/>
    <w:rsid w:val="00ED4A2C"/>
    <w:rsid w:val="00EF6940"/>
    <w:rsid w:val="00F2044A"/>
    <w:rsid w:val="00F20BFC"/>
    <w:rsid w:val="00F24D5F"/>
    <w:rsid w:val="00F726C3"/>
    <w:rsid w:val="00F8554C"/>
    <w:rsid w:val="00F97A90"/>
    <w:rsid w:val="00FC2F35"/>
    <w:rsid w:val="00FC3FD7"/>
    <w:rsid w:val="00FD1FC6"/>
    <w:rsid w:val="00FD7F15"/>
    <w:rsid w:val="00FE58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82774"/>
  <w15:docId w15:val="{B8DFF5F2-44DF-4728-9AC9-6124A24F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link w:val="Heading2Char"/>
    <w:uiPriority w:val="9"/>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 w:type="character" w:styleId="UnresolvedMention">
    <w:name w:val="Unresolved Mention"/>
    <w:basedOn w:val="DefaultParagraphFont"/>
    <w:uiPriority w:val="99"/>
    <w:semiHidden/>
    <w:unhideWhenUsed/>
    <w:rsid w:val="0044085B"/>
    <w:rPr>
      <w:color w:val="605E5C"/>
      <w:shd w:val="clear" w:color="auto" w:fill="E1DFDD"/>
    </w:rPr>
  </w:style>
  <w:style w:type="character" w:customStyle="1" w:styleId="Heading2Char">
    <w:name w:val="Heading 2 Char"/>
    <w:basedOn w:val="DefaultParagraphFont"/>
    <w:link w:val="Heading2"/>
    <w:uiPriority w:val="9"/>
    <w:rsid w:val="008B4FB4"/>
    <w:rPr>
      <w:b/>
      <w:sz w:val="24"/>
      <w:lang w:val="en-US" w:eastAsia="en-US"/>
    </w:rPr>
  </w:style>
  <w:style w:type="paragraph" w:styleId="ListParagraph">
    <w:name w:val="List Paragraph"/>
    <w:basedOn w:val="Normal"/>
    <w:uiPriority w:val="34"/>
    <w:qFormat/>
    <w:rsid w:val="008B4FB4"/>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8B4FB4"/>
    <w:rPr>
      <w:color w:val="808080"/>
    </w:rPr>
  </w:style>
  <w:style w:type="paragraph" w:styleId="Revision">
    <w:name w:val="Revision"/>
    <w:hidden/>
    <w:uiPriority w:val="99"/>
    <w:semiHidden/>
    <w:rsid w:val="008B4FB4"/>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alul.azam@mail.unnes.ac.id"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AppData\Local\Temp\Rar$DI00.126\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967D-7B6B-4DB9-BA42-A324F642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117</TotalTime>
  <Pages>3</Pages>
  <Words>19308</Words>
  <Characters>110060</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129110</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Muhamad Zakki Saefurrohim</dc:creator>
  <cp:lastModifiedBy>ASUS</cp:lastModifiedBy>
  <cp:revision>9</cp:revision>
  <cp:lastPrinted>2022-03-18T00:48:00Z</cp:lastPrinted>
  <dcterms:created xsi:type="dcterms:W3CDTF">2022-03-03T22:36:00Z</dcterms:created>
  <dcterms:modified xsi:type="dcterms:W3CDTF">2022-04-08T05:50:00Z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http://www.zotero.org/styles/vancouver-brackets</vt:lpwstr>
  </property>
  <property fmtid="{D5CDD505-2E9C-101B-9397-08002B2CF9AE}" pid="17" name="Mendeley Recent Style Name 7_1">
    <vt:lpwstr>Vancouver (brackets)</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http://www.zotero.org/styles/vancouver-superscript-brackets-only-year</vt:lpwstr>
  </property>
  <property fmtid="{D5CDD505-2E9C-101B-9397-08002B2CF9AE}" pid="21" name="Mendeley Recent Style Name 9_1">
    <vt:lpwstr>Vancouver (superscript, brackets, only year in date)</vt:lpwstr>
  </property>
  <property fmtid="{D5CDD505-2E9C-101B-9397-08002B2CF9AE}" pid="22" name="Mendeley Document_1">
    <vt:lpwstr>True</vt:lpwstr>
  </property>
  <property fmtid="{D5CDD505-2E9C-101B-9397-08002B2CF9AE}" pid="23" name="Mendeley Unique User Id_1">
    <vt:lpwstr>1eab9c2d-4a3b-3c0d-b05e-cebfc552728c</vt:lpwstr>
  </property>
  <property fmtid="{D5CDD505-2E9C-101B-9397-08002B2CF9AE}" pid="24" name="Mendeley Citation Style_1">
    <vt:lpwstr>http://www.zotero.org/styles/apa</vt:lpwstr>
  </property>
</Properties>
</file>